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2AFD8" w14:textId="77777777" w:rsidR="00624A46" w:rsidRDefault="0077711D" w:rsidP="00624A46">
      <w:pPr>
        <w:jc w:val="center"/>
        <w:rPr>
          <w:rFonts w:ascii="Calibri" w:hAnsi="Calibri"/>
          <w:b/>
          <w:u w:val="single"/>
        </w:rPr>
      </w:pPr>
      <w:r>
        <w:rPr>
          <w:rFonts w:ascii="Calibri" w:hAnsi="Calibri"/>
          <w:b/>
          <w:u w:val="single"/>
        </w:rPr>
        <w:t>Respuesta a o</w:t>
      </w:r>
      <w:r w:rsidR="004F2547" w:rsidRPr="004F2547">
        <w:rPr>
          <w:rFonts w:ascii="Calibri" w:hAnsi="Calibri"/>
          <w:b/>
          <w:u w:val="single"/>
        </w:rPr>
        <w:t>bservaciones</w:t>
      </w:r>
      <w:r>
        <w:rPr>
          <w:rFonts w:ascii="Calibri" w:hAnsi="Calibri"/>
          <w:b/>
          <w:u w:val="single"/>
        </w:rPr>
        <w:t xml:space="preserve"> recibidas </w:t>
      </w:r>
      <w:r w:rsidR="004F2547" w:rsidRPr="004F2547">
        <w:rPr>
          <w:rFonts w:ascii="Calibri" w:hAnsi="Calibri"/>
          <w:b/>
          <w:u w:val="single"/>
        </w:rPr>
        <w:t>a</w:t>
      </w:r>
    </w:p>
    <w:p w14:paraId="5EC5284A" w14:textId="7C63CE84" w:rsidR="004F2547" w:rsidRDefault="00624A46" w:rsidP="00624A46">
      <w:pPr>
        <w:jc w:val="center"/>
        <w:rPr>
          <w:rFonts w:ascii="Calibri" w:hAnsi="Calibri"/>
          <w:b/>
          <w:u w:val="single"/>
        </w:rPr>
      </w:pPr>
      <w:r w:rsidRPr="00624A46">
        <w:rPr>
          <w:rFonts w:ascii="Calibri" w:hAnsi="Calibri"/>
          <w:b/>
          <w:u w:val="single"/>
        </w:rPr>
        <w:t>Prorratas de financiamiento Estudios de Transmisión</w:t>
      </w:r>
      <w:r>
        <w:rPr>
          <w:rFonts w:ascii="Calibri" w:hAnsi="Calibri"/>
          <w:b/>
          <w:u w:val="single"/>
        </w:rPr>
        <w:t xml:space="preserve"> p</w:t>
      </w:r>
      <w:r w:rsidRPr="00624A46">
        <w:rPr>
          <w:rFonts w:ascii="Calibri" w:hAnsi="Calibri"/>
          <w:b/>
          <w:u w:val="single"/>
        </w:rPr>
        <w:t xml:space="preserve">eriodo 2024 </w:t>
      </w:r>
      <w:r w:rsidR="00277DF3">
        <w:rPr>
          <w:rFonts w:ascii="Calibri" w:hAnsi="Calibri"/>
          <w:b/>
          <w:u w:val="single"/>
        </w:rPr>
        <w:t>–</w:t>
      </w:r>
      <w:r w:rsidRPr="00624A46">
        <w:rPr>
          <w:rFonts w:ascii="Calibri" w:hAnsi="Calibri"/>
          <w:b/>
          <w:u w:val="single"/>
        </w:rPr>
        <w:t xml:space="preserve"> 2027</w:t>
      </w:r>
    </w:p>
    <w:p w14:paraId="6B1A3455" w14:textId="77777777" w:rsidR="00277DF3" w:rsidRDefault="00277DF3" w:rsidP="00624A46">
      <w:pPr>
        <w:jc w:val="center"/>
        <w:rPr>
          <w:rFonts w:ascii="Calibri" w:hAnsi="Calibri"/>
          <w:b/>
          <w:u w:val="single"/>
        </w:rPr>
      </w:pPr>
    </w:p>
    <w:p w14:paraId="5CB9F1E6" w14:textId="77777777" w:rsidR="00277DF3" w:rsidRPr="004F2547" w:rsidRDefault="00277DF3" w:rsidP="00624A46">
      <w:pPr>
        <w:jc w:val="center"/>
        <w:rPr>
          <w:rFonts w:ascii="Calibri" w:hAnsi="Calibri"/>
          <w:b/>
          <w:u w:val="single"/>
        </w:rPr>
      </w:pPr>
    </w:p>
    <w:tbl>
      <w:tblPr>
        <w:tblW w:w="5000" w:type="pct"/>
        <w:tblLayout w:type="fixed"/>
        <w:tblCellMar>
          <w:left w:w="70" w:type="dxa"/>
          <w:right w:w="70" w:type="dxa"/>
        </w:tblCellMar>
        <w:tblLook w:val="04A0" w:firstRow="1" w:lastRow="0" w:firstColumn="1" w:lastColumn="0" w:noHBand="0" w:noVBand="1"/>
      </w:tblPr>
      <w:tblGrid>
        <w:gridCol w:w="983"/>
        <w:gridCol w:w="1273"/>
        <w:gridCol w:w="5164"/>
        <w:gridCol w:w="2776"/>
        <w:gridCol w:w="2708"/>
        <w:gridCol w:w="1214"/>
      </w:tblGrid>
      <w:tr w:rsidR="00A87C18" w:rsidRPr="00277DF3" w14:paraId="395D2BBB" w14:textId="77777777" w:rsidTr="0042745E">
        <w:trPr>
          <w:trHeight w:val="390"/>
          <w:tblHeader/>
        </w:trPr>
        <w:tc>
          <w:tcPr>
            <w:tcW w:w="348" w:type="pct"/>
            <w:tcBorders>
              <w:top w:val="single" w:sz="8" w:space="0" w:color="auto"/>
              <w:left w:val="single" w:sz="8" w:space="0" w:color="auto"/>
              <w:bottom w:val="nil"/>
              <w:right w:val="single" w:sz="8" w:space="0" w:color="auto"/>
            </w:tcBorders>
            <w:shd w:val="clear" w:color="000000" w:fill="B8CCE4"/>
            <w:hideMark/>
          </w:tcPr>
          <w:p w14:paraId="76B1C44D" w14:textId="77777777" w:rsidR="00277DF3" w:rsidRPr="00277DF3" w:rsidRDefault="00277DF3" w:rsidP="00277DF3">
            <w:pPr>
              <w:jc w:val="center"/>
              <w:rPr>
                <w:rFonts w:ascii="Calibri" w:eastAsia="Times New Roman" w:hAnsi="Calibri" w:cs="Calibri"/>
                <w:b/>
                <w:bCs/>
                <w:color w:val="000000"/>
                <w:sz w:val="20"/>
                <w:szCs w:val="20"/>
                <w:lang w:val="es-CL" w:eastAsia="es-CL"/>
              </w:rPr>
            </w:pPr>
            <w:proofErr w:type="spellStart"/>
            <w:r w:rsidRPr="00277DF3">
              <w:rPr>
                <w:rFonts w:ascii="Calibri" w:eastAsia="Times New Roman" w:hAnsi="Calibri" w:cs="Calibri"/>
                <w:b/>
                <w:bCs/>
                <w:color w:val="000000"/>
                <w:sz w:val="20"/>
                <w:szCs w:val="20"/>
                <w:lang w:val="es-CL" w:eastAsia="es-CL"/>
              </w:rPr>
              <w:t>N°</w:t>
            </w:r>
            <w:proofErr w:type="spellEnd"/>
          </w:p>
        </w:tc>
        <w:tc>
          <w:tcPr>
            <w:tcW w:w="451" w:type="pct"/>
            <w:tcBorders>
              <w:top w:val="single" w:sz="8" w:space="0" w:color="auto"/>
              <w:left w:val="nil"/>
              <w:bottom w:val="nil"/>
              <w:right w:val="single" w:sz="8" w:space="0" w:color="auto"/>
            </w:tcBorders>
            <w:shd w:val="clear" w:color="000000" w:fill="B8CCE4"/>
            <w:hideMark/>
          </w:tcPr>
          <w:p w14:paraId="1CC4A7EC" w14:textId="77777777" w:rsidR="00277DF3" w:rsidRPr="00277DF3" w:rsidRDefault="00277DF3" w:rsidP="00277DF3">
            <w:pPr>
              <w:jc w:val="center"/>
              <w:rPr>
                <w:rFonts w:ascii="Calibri" w:eastAsia="Times New Roman" w:hAnsi="Calibri" w:cs="Calibri"/>
                <w:b/>
                <w:bCs/>
                <w:color w:val="000000"/>
                <w:sz w:val="20"/>
                <w:szCs w:val="20"/>
                <w:lang w:val="es-CL" w:eastAsia="es-CL"/>
              </w:rPr>
            </w:pPr>
            <w:r w:rsidRPr="00277DF3">
              <w:rPr>
                <w:rFonts w:ascii="Calibri" w:eastAsia="Times New Roman" w:hAnsi="Calibri" w:cs="Calibri"/>
                <w:b/>
                <w:bCs/>
                <w:color w:val="000000"/>
                <w:sz w:val="20"/>
                <w:szCs w:val="20"/>
                <w:lang w:val="es-CL" w:eastAsia="es-CL"/>
              </w:rPr>
              <w:t>Empresa</w:t>
            </w:r>
          </w:p>
        </w:tc>
        <w:tc>
          <w:tcPr>
            <w:tcW w:w="1829" w:type="pct"/>
            <w:tcBorders>
              <w:top w:val="single" w:sz="8" w:space="0" w:color="auto"/>
              <w:left w:val="nil"/>
              <w:bottom w:val="nil"/>
              <w:right w:val="single" w:sz="8" w:space="0" w:color="auto"/>
            </w:tcBorders>
            <w:shd w:val="clear" w:color="000000" w:fill="B8CCE4"/>
            <w:hideMark/>
          </w:tcPr>
          <w:p w14:paraId="3F6ADC94" w14:textId="77777777" w:rsidR="00277DF3" w:rsidRPr="00277DF3" w:rsidRDefault="00277DF3" w:rsidP="00277DF3">
            <w:pPr>
              <w:jc w:val="center"/>
              <w:rPr>
                <w:rFonts w:ascii="Calibri" w:eastAsia="Times New Roman" w:hAnsi="Calibri" w:cs="Calibri"/>
                <w:b/>
                <w:bCs/>
                <w:color w:val="000000"/>
                <w:sz w:val="20"/>
                <w:szCs w:val="20"/>
                <w:lang w:val="es-CL" w:eastAsia="es-CL"/>
              </w:rPr>
            </w:pPr>
            <w:r w:rsidRPr="00277DF3">
              <w:rPr>
                <w:rFonts w:ascii="Calibri" w:eastAsia="Times New Roman" w:hAnsi="Calibri" w:cs="Calibri"/>
                <w:b/>
                <w:bCs/>
                <w:color w:val="000000"/>
                <w:sz w:val="20"/>
                <w:szCs w:val="20"/>
                <w:lang w:val="es-CL" w:eastAsia="es-CL"/>
              </w:rPr>
              <w:t>Observación</w:t>
            </w:r>
          </w:p>
        </w:tc>
        <w:tc>
          <w:tcPr>
            <w:tcW w:w="983" w:type="pct"/>
            <w:tcBorders>
              <w:top w:val="single" w:sz="8" w:space="0" w:color="auto"/>
              <w:left w:val="nil"/>
              <w:bottom w:val="nil"/>
              <w:right w:val="single" w:sz="8" w:space="0" w:color="auto"/>
            </w:tcBorders>
            <w:shd w:val="clear" w:color="000000" w:fill="B8CCE4"/>
            <w:hideMark/>
          </w:tcPr>
          <w:p w14:paraId="019CFD6D" w14:textId="77777777" w:rsidR="00277DF3" w:rsidRPr="00277DF3" w:rsidRDefault="00277DF3" w:rsidP="00AD4960">
            <w:pPr>
              <w:jc w:val="center"/>
              <w:rPr>
                <w:rFonts w:ascii="Calibri" w:eastAsia="Times New Roman" w:hAnsi="Calibri" w:cs="Calibri"/>
                <w:b/>
                <w:bCs/>
                <w:color w:val="000000"/>
                <w:sz w:val="20"/>
                <w:szCs w:val="20"/>
                <w:lang w:val="es-CL" w:eastAsia="es-CL"/>
              </w:rPr>
            </w:pPr>
            <w:r w:rsidRPr="00277DF3">
              <w:rPr>
                <w:rFonts w:ascii="Calibri" w:eastAsia="Times New Roman" w:hAnsi="Calibri" w:cs="Calibri"/>
                <w:b/>
                <w:bCs/>
                <w:color w:val="000000"/>
                <w:sz w:val="20"/>
                <w:szCs w:val="20"/>
                <w:lang w:val="es-CL" w:eastAsia="es-CL"/>
              </w:rPr>
              <w:t>Propuesta</w:t>
            </w:r>
          </w:p>
        </w:tc>
        <w:tc>
          <w:tcPr>
            <w:tcW w:w="959" w:type="pct"/>
            <w:tcBorders>
              <w:top w:val="single" w:sz="8" w:space="0" w:color="auto"/>
              <w:left w:val="nil"/>
              <w:bottom w:val="nil"/>
              <w:right w:val="single" w:sz="8" w:space="0" w:color="auto"/>
            </w:tcBorders>
            <w:shd w:val="clear" w:color="000000" w:fill="B8CCE4"/>
            <w:hideMark/>
          </w:tcPr>
          <w:p w14:paraId="7EB2E209" w14:textId="77777777" w:rsidR="00277DF3" w:rsidRPr="00277DF3" w:rsidRDefault="00277DF3" w:rsidP="00AD4960">
            <w:pPr>
              <w:jc w:val="center"/>
              <w:rPr>
                <w:rFonts w:ascii="Calibri" w:eastAsia="Times New Roman" w:hAnsi="Calibri" w:cs="Calibri"/>
                <w:b/>
                <w:bCs/>
                <w:color w:val="000000"/>
                <w:sz w:val="20"/>
                <w:szCs w:val="20"/>
                <w:lang w:val="es-CL" w:eastAsia="es-CL"/>
              </w:rPr>
            </w:pPr>
            <w:r w:rsidRPr="00277DF3">
              <w:rPr>
                <w:rFonts w:ascii="Calibri" w:eastAsia="Times New Roman" w:hAnsi="Calibri" w:cs="Calibri"/>
                <w:b/>
                <w:bCs/>
                <w:color w:val="000000"/>
                <w:sz w:val="20"/>
                <w:szCs w:val="20"/>
                <w:lang w:val="es-CL" w:eastAsia="es-CL"/>
              </w:rPr>
              <w:t>Respuesta Coordinador</w:t>
            </w:r>
          </w:p>
        </w:tc>
        <w:tc>
          <w:tcPr>
            <w:tcW w:w="430" w:type="pct"/>
            <w:tcBorders>
              <w:top w:val="single" w:sz="8" w:space="0" w:color="auto"/>
              <w:left w:val="nil"/>
              <w:bottom w:val="nil"/>
              <w:right w:val="single" w:sz="8" w:space="0" w:color="auto"/>
            </w:tcBorders>
            <w:shd w:val="clear" w:color="000000" w:fill="B8CCE4"/>
            <w:hideMark/>
          </w:tcPr>
          <w:p w14:paraId="2F967041" w14:textId="77777777" w:rsidR="00277DF3" w:rsidRPr="00277DF3" w:rsidRDefault="00277DF3" w:rsidP="00AD4960">
            <w:pPr>
              <w:jc w:val="center"/>
              <w:rPr>
                <w:rFonts w:ascii="Calibri" w:eastAsia="Times New Roman" w:hAnsi="Calibri" w:cs="Calibri"/>
                <w:b/>
                <w:bCs/>
                <w:color w:val="000000"/>
                <w:sz w:val="20"/>
                <w:szCs w:val="20"/>
                <w:lang w:val="es-CL" w:eastAsia="es-CL"/>
              </w:rPr>
            </w:pPr>
            <w:r w:rsidRPr="00277DF3">
              <w:rPr>
                <w:rFonts w:ascii="Calibri" w:eastAsia="Times New Roman" w:hAnsi="Calibri" w:cs="Calibri"/>
                <w:b/>
                <w:bCs/>
                <w:color w:val="000000"/>
                <w:sz w:val="20"/>
                <w:szCs w:val="20"/>
                <w:lang w:val="es-CL" w:eastAsia="es-CL"/>
              </w:rPr>
              <w:t>Estado</w:t>
            </w:r>
          </w:p>
        </w:tc>
      </w:tr>
      <w:tr w:rsidR="00A87C18" w:rsidRPr="00277DF3" w14:paraId="2F9A4885" w14:textId="77777777" w:rsidTr="0042745E">
        <w:trPr>
          <w:trHeight w:val="525"/>
        </w:trPr>
        <w:tc>
          <w:tcPr>
            <w:tcW w:w="348" w:type="pct"/>
            <w:tcBorders>
              <w:top w:val="single" w:sz="8" w:space="0" w:color="auto"/>
              <w:left w:val="single" w:sz="8" w:space="0" w:color="auto"/>
              <w:bottom w:val="single" w:sz="8" w:space="0" w:color="auto"/>
              <w:right w:val="single" w:sz="8" w:space="0" w:color="auto"/>
            </w:tcBorders>
            <w:shd w:val="clear" w:color="auto" w:fill="auto"/>
            <w:noWrap/>
            <w:hideMark/>
          </w:tcPr>
          <w:p w14:paraId="46636EAA"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O2024-0030100</w:t>
            </w:r>
          </w:p>
        </w:tc>
        <w:tc>
          <w:tcPr>
            <w:tcW w:w="451" w:type="pct"/>
            <w:tcBorders>
              <w:top w:val="single" w:sz="8" w:space="0" w:color="auto"/>
              <w:left w:val="nil"/>
              <w:bottom w:val="single" w:sz="8" w:space="0" w:color="auto"/>
              <w:right w:val="single" w:sz="8" w:space="0" w:color="auto"/>
            </w:tcBorders>
            <w:shd w:val="clear" w:color="auto" w:fill="auto"/>
            <w:hideMark/>
          </w:tcPr>
          <w:p w14:paraId="6F993F67"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KELTI S.A.</w:t>
            </w:r>
          </w:p>
        </w:tc>
        <w:tc>
          <w:tcPr>
            <w:tcW w:w="1829" w:type="pct"/>
            <w:tcBorders>
              <w:top w:val="single" w:sz="8" w:space="0" w:color="auto"/>
              <w:left w:val="nil"/>
              <w:bottom w:val="single" w:sz="8" w:space="0" w:color="auto"/>
              <w:right w:val="single" w:sz="8" w:space="0" w:color="auto"/>
            </w:tcBorders>
            <w:shd w:val="clear" w:color="auto" w:fill="auto"/>
            <w:hideMark/>
          </w:tcPr>
          <w:p w14:paraId="652255D7"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Se observan diferencias en las prorratas nacionales en </w:t>
            </w:r>
            <w:proofErr w:type="spellStart"/>
            <w:r w:rsidRPr="00277DF3">
              <w:rPr>
                <w:rFonts w:ascii="Calibri" w:eastAsia="Times New Roman" w:hAnsi="Calibri" w:cs="Calibri"/>
                <w:color w:val="000000"/>
                <w:sz w:val="20"/>
                <w:szCs w:val="20"/>
                <w:lang w:val="es-CL" w:eastAsia="es-CL"/>
              </w:rPr>
              <w:t>excel</w:t>
            </w:r>
            <w:proofErr w:type="spellEnd"/>
            <w:r w:rsidRPr="00277DF3">
              <w:rPr>
                <w:rFonts w:ascii="Calibri" w:eastAsia="Times New Roman" w:hAnsi="Calibri" w:cs="Calibri"/>
                <w:color w:val="000000"/>
                <w:sz w:val="20"/>
                <w:szCs w:val="20"/>
                <w:lang w:val="es-CL" w:eastAsia="es-CL"/>
              </w:rPr>
              <w:t xml:space="preserve"> "Prorratas-Of.CNE-N°642-2024" respecto a lo publicado en la página web el regulador.</w:t>
            </w:r>
          </w:p>
        </w:tc>
        <w:tc>
          <w:tcPr>
            <w:tcW w:w="983" w:type="pct"/>
            <w:tcBorders>
              <w:top w:val="single" w:sz="8" w:space="0" w:color="auto"/>
              <w:left w:val="nil"/>
              <w:bottom w:val="single" w:sz="8" w:space="0" w:color="auto"/>
              <w:right w:val="single" w:sz="8" w:space="0" w:color="auto"/>
            </w:tcBorders>
            <w:shd w:val="clear" w:color="auto" w:fill="auto"/>
            <w:hideMark/>
          </w:tcPr>
          <w:p w14:paraId="71440A05"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Se solicita aclaración respecto a la diferencia en la prorrata publicada en la </w:t>
            </w:r>
            <w:proofErr w:type="gramStart"/>
            <w:r w:rsidRPr="00277DF3">
              <w:rPr>
                <w:rFonts w:ascii="Calibri" w:eastAsia="Times New Roman" w:hAnsi="Calibri" w:cs="Calibri"/>
                <w:color w:val="000000"/>
                <w:sz w:val="20"/>
                <w:szCs w:val="20"/>
                <w:lang w:val="es-CL" w:eastAsia="es-CL"/>
              </w:rPr>
              <w:t xml:space="preserve">RE </w:t>
            </w:r>
            <w:proofErr w:type="spellStart"/>
            <w:r w:rsidRPr="00277DF3">
              <w:rPr>
                <w:rFonts w:ascii="Calibri" w:eastAsia="Times New Roman" w:hAnsi="Calibri" w:cs="Calibri"/>
                <w:color w:val="000000"/>
                <w:sz w:val="20"/>
                <w:szCs w:val="20"/>
                <w:lang w:val="es-CL" w:eastAsia="es-CL"/>
              </w:rPr>
              <w:t>N</w:t>
            </w:r>
            <w:proofErr w:type="gramEnd"/>
            <w:r w:rsidRPr="00277DF3">
              <w:rPr>
                <w:rFonts w:ascii="Calibri" w:eastAsia="Times New Roman" w:hAnsi="Calibri" w:cs="Calibri"/>
                <w:color w:val="000000"/>
                <w:sz w:val="20"/>
                <w:szCs w:val="20"/>
                <w:lang w:val="es-CL" w:eastAsia="es-CL"/>
              </w:rPr>
              <w:t>°</w:t>
            </w:r>
            <w:proofErr w:type="spellEnd"/>
            <w:r w:rsidRPr="00277DF3">
              <w:rPr>
                <w:rFonts w:ascii="Calibri" w:eastAsia="Times New Roman" w:hAnsi="Calibri" w:cs="Calibri"/>
                <w:color w:val="000000"/>
                <w:sz w:val="20"/>
                <w:szCs w:val="20"/>
                <w:lang w:val="es-CL" w:eastAsia="es-CL"/>
              </w:rPr>
              <w:t xml:space="preserve"> 547 y la planilla adjunta por vuestro Coordinador en carta DE06011-24.</w:t>
            </w:r>
          </w:p>
        </w:tc>
        <w:tc>
          <w:tcPr>
            <w:tcW w:w="959" w:type="pct"/>
            <w:tcBorders>
              <w:top w:val="single" w:sz="8" w:space="0" w:color="auto"/>
              <w:left w:val="nil"/>
              <w:bottom w:val="single" w:sz="8" w:space="0" w:color="auto"/>
              <w:right w:val="single" w:sz="8" w:space="0" w:color="auto"/>
            </w:tcBorders>
            <w:shd w:val="clear" w:color="auto" w:fill="auto"/>
            <w:hideMark/>
          </w:tcPr>
          <w:p w14:paraId="5A4157C1" w14:textId="2A523248" w:rsidR="00692546" w:rsidRPr="00277DF3" w:rsidRDefault="006B0D87"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 xml:space="preserve">Con motivo de </w:t>
            </w:r>
            <w:r w:rsidR="00EF0912">
              <w:rPr>
                <w:rFonts w:ascii="Calibri" w:eastAsia="Times New Roman" w:hAnsi="Calibri" w:cs="Calibri"/>
                <w:color w:val="000000"/>
                <w:sz w:val="20"/>
                <w:szCs w:val="20"/>
                <w:lang w:val="es-CL" w:eastAsia="es-CL"/>
              </w:rPr>
              <w:t xml:space="preserve">las </w:t>
            </w:r>
            <w:r>
              <w:rPr>
                <w:rFonts w:ascii="Calibri" w:eastAsia="Times New Roman" w:hAnsi="Calibri" w:cs="Calibri"/>
                <w:color w:val="000000"/>
                <w:sz w:val="20"/>
                <w:szCs w:val="20"/>
                <w:lang w:val="es-CL" w:eastAsia="es-CL"/>
              </w:rPr>
              <w:t xml:space="preserve">observaciones </w:t>
            </w:r>
            <w:r w:rsidR="00C209AA">
              <w:rPr>
                <w:rFonts w:ascii="Calibri" w:eastAsia="Times New Roman" w:hAnsi="Calibri" w:cs="Calibri"/>
                <w:color w:val="000000"/>
                <w:sz w:val="20"/>
                <w:szCs w:val="20"/>
                <w:lang w:val="es-CL" w:eastAsia="es-CL"/>
              </w:rPr>
              <w:t xml:space="preserve">recibidas por parte de las empresas Transmisoras </w:t>
            </w:r>
            <w:r>
              <w:rPr>
                <w:rFonts w:ascii="Calibri" w:eastAsia="Times New Roman" w:hAnsi="Calibri" w:cs="Calibri"/>
                <w:color w:val="000000"/>
                <w:sz w:val="20"/>
                <w:szCs w:val="20"/>
                <w:lang w:val="es-CL" w:eastAsia="es-CL"/>
              </w:rPr>
              <w:t xml:space="preserve">a los antecedentes que respaldan el cálculo de las prorratas publicadas en </w:t>
            </w:r>
            <w:proofErr w:type="gramStart"/>
            <w:r>
              <w:rPr>
                <w:rFonts w:ascii="Calibri" w:eastAsia="Times New Roman" w:hAnsi="Calibri" w:cs="Calibri"/>
                <w:color w:val="000000"/>
                <w:sz w:val="20"/>
                <w:szCs w:val="20"/>
                <w:lang w:val="es-CL" w:eastAsia="es-CL"/>
              </w:rPr>
              <w:t>RE</w:t>
            </w:r>
            <w:r w:rsidR="002A1157">
              <w:rPr>
                <w:rFonts w:ascii="Calibri" w:eastAsia="Times New Roman" w:hAnsi="Calibri" w:cs="Calibri"/>
                <w:color w:val="000000"/>
                <w:sz w:val="20"/>
                <w:szCs w:val="20"/>
                <w:lang w:val="es-CL" w:eastAsia="es-CL"/>
              </w:rPr>
              <w:t xml:space="preserve"> </w:t>
            </w:r>
            <w:proofErr w:type="spellStart"/>
            <w:r>
              <w:rPr>
                <w:rFonts w:ascii="Calibri" w:eastAsia="Times New Roman" w:hAnsi="Calibri" w:cs="Calibri"/>
                <w:color w:val="000000"/>
                <w:sz w:val="20"/>
                <w:szCs w:val="20"/>
                <w:lang w:val="es-CL" w:eastAsia="es-CL"/>
              </w:rPr>
              <w:t>N</w:t>
            </w:r>
            <w:proofErr w:type="gramEnd"/>
            <w:r>
              <w:rPr>
                <w:rFonts w:ascii="Calibri" w:eastAsia="Times New Roman" w:hAnsi="Calibri" w:cs="Calibri"/>
                <w:color w:val="000000"/>
                <w:sz w:val="20"/>
                <w:szCs w:val="20"/>
                <w:lang w:val="es-CL" w:eastAsia="es-CL"/>
              </w:rPr>
              <w:t>°</w:t>
            </w:r>
            <w:proofErr w:type="spellEnd"/>
            <w:r>
              <w:rPr>
                <w:rFonts w:ascii="Calibri" w:eastAsia="Times New Roman" w:hAnsi="Calibri" w:cs="Calibri"/>
                <w:color w:val="000000"/>
                <w:sz w:val="20"/>
                <w:szCs w:val="20"/>
                <w:lang w:val="es-CL" w:eastAsia="es-CL"/>
              </w:rPr>
              <w:t xml:space="preserve"> 547, se incluyeron y/o retiraron instalaciones de transmisión </w:t>
            </w:r>
            <w:r w:rsidR="00EF0912">
              <w:rPr>
                <w:rFonts w:ascii="Calibri" w:eastAsia="Times New Roman" w:hAnsi="Calibri" w:cs="Calibri"/>
                <w:color w:val="000000"/>
                <w:sz w:val="20"/>
                <w:szCs w:val="20"/>
                <w:lang w:val="es-CL" w:eastAsia="es-CL"/>
              </w:rPr>
              <w:t xml:space="preserve">motivo por </w:t>
            </w:r>
            <w:r w:rsidR="00C209AA">
              <w:rPr>
                <w:rFonts w:ascii="Calibri" w:eastAsia="Times New Roman" w:hAnsi="Calibri" w:cs="Calibri"/>
                <w:color w:val="000000"/>
                <w:sz w:val="20"/>
                <w:szCs w:val="20"/>
                <w:lang w:val="es-CL" w:eastAsia="es-CL"/>
              </w:rPr>
              <w:t>lo</w:t>
            </w:r>
            <w:r w:rsidR="00EF0912">
              <w:rPr>
                <w:rFonts w:ascii="Calibri" w:eastAsia="Times New Roman" w:hAnsi="Calibri" w:cs="Calibri"/>
                <w:color w:val="000000"/>
                <w:sz w:val="20"/>
                <w:szCs w:val="20"/>
                <w:lang w:val="es-CL" w:eastAsia="es-CL"/>
              </w:rPr>
              <w:t xml:space="preserve"> cual</w:t>
            </w:r>
            <w:r w:rsidR="00C209AA">
              <w:rPr>
                <w:rFonts w:ascii="Calibri" w:eastAsia="Times New Roman" w:hAnsi="Calibri" w:cs="Calibri"/>
                <w:color w:val="000000"/>
                <w:sz w:val="20"/>
                <w:szCs w:val="20"/>
                <w:lang w:val="es-CL" w:eastAsia="es-CL"/>
              </w:rPr>
              <w:t xml:space="preserve"> se modificaron las prorratas </w:t>
            </w:r>
            <w:r w:rsidR="001B2FA9">
              <w:rPr>
                <w:rFonts w:ascii="Calibri" w:eastAsia="Times New Roman" w:hAnsi="Calibri" w:cs="Calibri"/>
                <w:color w:val="000000"/>
                <w:sz w:val="20"/>
                <w:szCs w:val="20"/>
                <w:lang w:val="es-CL" w:eastAsia="es-CL"/>
              </w:rPr>
              <w:t>de pago</w:t>
            </w:r>
            <w:r w:rsidR="00C209AA">
              <w:rPr>
                <w:rFonts w:ascii="Calibri" w:eastAsia="Times New Roman" w:hAnsi="Calibri" w:cs="Calibri"/>
                <w:color w:val="000000"/>
                <w:sz w:val="20"/>
                <w:szCs w:val="20"/>
                <w:lang w:val="es-CL" w:eastAsia="es-CL"/>
              </w:rPr>
              <w:t>.</w:t>
            </w:r>
          </w:p>
        </w:tc>
        <w:tc>
          <w:tcPr>
            <w:tcW w:w="430" w:type="pct"/>
            <w:tcBorders>
              <w:top w:val="single" w:sz="8" w:space="0" w:color="auto"/>
              <w:left w:val="nil"/>
              <w:bottom w:val="single" w:sz="8" w:space="0" w:color="auto"/>
              <w:right w:val="single" w:sz="8" w:space="0" w:color="auto"/>
            </w:tcBorders>
            <w:shd w:val="clear" w:color="auto" w:fill="auto"/>
            <w:hideMark/>
          </w:tcPr>
          <w:p w14:paraId="17D05D5C" w14:textId="19BE2A2C"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692546">
              <w:rPr>
                <w:rFonts w:ascii="Calibri" w:eastAsia="Times New Roman" w:hAnsi="Calibri" w:cs="Calibri"/>
                <w:color w:val="000000"/>
                <w:sz w:val="20"/>
                <w:szCs w:val="20"/>
                <w:lang w:val="es-CL" w:eastAsia="es-CL"/>
              </w:rPr>
              <w:t>Acogida</w:t>
            </w:r>
          </w:p>
        </w:tc>
      </w:tr>
      <w:tr w:rsidR="00A87C18" w:rsidRPr="00277DF3" w14:paraId="694E8794" w14:textId="77777777" w:rsidTr="0042745E">
        <w:trPr>
          <w:trHeight w:val="1290"/>
        </w:trPr>
        <w:tc>
          <w:tcPr>
            <w:tcW w:w="348" w:type="pct"/>
            <w:tcBorders>
              <w:top w:val="nil"/>
              <w:left w:val="single" w:sz="8" w:space="0" w:color="auto"/>
              <w:bottom w:val="single" w:sz="8" w:space="0" w:color="auto"/>
              <w:right w:val="single" w:sz="8" w:space="0" w:color="auto"/>
            </w:tcBorders>
            <w:shd w:val="clear" w:color="auto" w:fill="auto"/>
            <w:noWrap/>
            <w:hideMark/>
          </w:tcPr>
          <w:p w14:paraId="4CDCF5B3"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O2024-0030099</w:t>
            </w:r>
          </w:p>
        </w:tc>
        <w:tc>
          <w:tcPr>
            <w:tcW w:w="451" w:type="pct"/>
            <w:tcBorders>
              <w:top w:val="nil"/>
              <w:left w:val="nil"/>
              <w:bottom w:val="single" w:sz="8" w:space="0" w:color="auto"/>
              <w:right w:val="single" w:sz="8" w:space="0" w:color="auto"/>
            </w:tcBorders>
            <w:shd w:val="clear" w:color="auto" w:fill="auto"/>
            <w:hideMark/>
          </w:tcPr>
          <w:p w14:paraId="53CAB6A2" w14:textId="77777777" w:rsidR="00277DF3" w:rsidRPr="00277DF3" w:rsidRDefault="00277DF3" w:rsidP="00277DF3">
            <w:pPr>
              <w:rPr>
                <w:rFonts w:ascii="Calibri" w:eastAsia="Times New Roman" w:hAnsi="Calibri" w:cs="Calibri"/>
                <w:color w:val="000000"/>
                <w:sz w:val="20"/>
                <w:szCs w:val="20"/>
                <w:lang w:val="es-CL" w:eastAsia="es-CL"/>
              </w:rPr>
            </w:pPr>
            <w:proofErr w:type="spellStart"/>
            <w:r w:rsidRPr="00277DF3">
              <w:rPr>
                <w:rFonts w:ascii="Calibri" w:eastAsia="Times New Roman" w:hAnsi="Calibri" w:cs="Calibri"/>
                <w:color w:val="000000"/>
                <w:sz w:val="20"/>
                <w:szCs w:val="20"/>
                <w:lang w:val="es-CL" w:eastAsia="es-CL"/>
              </w:rPr>
              <w:t>Transelec</w:t>
            </w:r>
            <w:proofErr w:type="spellEnd"/>
            <w:r w:rsidRPr="00277DF3">
              <w:rPr>
                <w:rFonts w:ascii="Calibri" w:eastAsia="Times New Roman" w:hAnsi="Calibri" w:cs="Calibri"/>
                <w:color w:val="000000"/>
                <w:sz w:val="20"/>
                <w:szCs w:val="20"/>
                <w:lang w:val="es-CL" w:eastAsia="es-CL"/>
              </w:rPr>
              <w:t xml:space="preserve"> S.A.</w:t>
            </w:r>
          </w:p>
        </w:tc>
        <w:tc>
          <w:tcPr>
            <w:tcW w:w="1829" w:type="pct"/>
            <w:tcBorders>
              <w:top w:val="nil"/>
              <w:left w:val="nil"/>
              <w:bottom w:val="single" w:sz="8" w:space="0" w:color="auto"/>
              <w:right w:val="single" w:sz="8" w:space="0" w:color="auto"/>
            </w:tcBorders>
            <w:shd w:val="clear" w:color="auto" w:fill="auto"/>
            <w:hideMark/>
          </w:tcPr>
          <w:p w14:paraId="22CD4031"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Para el segmento Zonal </w:t>
            </w:r>
            <w:proofErr w:type="gramStart"/>
            <w:r w:rsidRPr="00277DF3">
              <w:rPr>
                <w:rFonts w:ascii="Calibri" w:eastAsia="Times New Roman" w:hAnsi="Calibri" w:cs="Calibri"/>
                <w:color w:val="000000"/>
                <w:sz w:val="20"/>
                <w:szCs w:val="20"/>
                <w:lang w:val="es-CL" w:eastAsia="es-CL"/>
              </w:rPr>
              <w:t>considerar</w:t>
            </w:r>
            <w:proofErr w:type="gramEnd"/>
            <w:r w:rsidRPr="00277DF3">
              <w:rPr>
                <w:rFonts w:ascii="Calibri" w:eastAsia="Times New Roman" w:hAnsi="Calibri" w:cs="Calibri"/>
                <w:color w:val="000000"/>
                <w:sz w:val="20"/>
                <w:szCs w:val="20"/>
                <w:lang w:val="es-CL" w:eastAsia="es-CL"/>
              </w:rPr>
              <w:t xml:space="preserve"> que las siguientes obras son indexadas por D06T por lo que deben considerar el dólar t-2:</w:t>
            </w:r>
            <w:r w:rsidRPr="00277DF3">
              <w:rPr>
                <w:rFonts w:ascii="Calibri" w:eastAsia="Times New Roman" w:hAnsi="Calibri" w:cs="Calibri"/>
                <w:color w:val="000000"/>
                <w:sz w:val="20"/>
                <w:szCs w:val="20"/>
                <w:lang w:val="es-CL" w:eastAsia="es-CL"/>
              </w:rPr>
              <w:br/>
              <w:t>Sistema E:</w:t>
            </w:r>
            <w:r w:rsidRPr="00277DF3">
              <w:rPr>
                <w:rFonts w:ascii="Calibri" w:eastAsia="Times New Roman" w:hAnsi="Calibri" w:cs="Calibri"/>
                <w:color w:val="000000"/>
                <w:sz w:val="20"/>
                <w:szCs w:val="20"/>
                <w:lang w:val="es-CL" w:eastAsia="es-CL"/>
              </w:rPr>
              <w:br/>
              <w:t xml:space="preserve"> - Nuevo Transformador 220/154 kV y adecuaciones SE Tinguiririca - Etapa 2</w:t>
            </w:r>
            <w:r w:rsidRPr="00277DF3">
              <w:rPr>
                <w:rFonts w:ascii="Calibri" w:eastAsia="Times New Roman" w:hAnsi="Calibri" w:cs="Calibri"/>
                <w:color w:val="000000"/>
                <w:sz w:val="20"/>
                <w:szCs w:val="20"/>
                <w:lang w:val="es-CL" w:eastAsia="es-CL"/>
              </w:rPr>
              <w:br/>
              <w:t>Sistema B:</w:t>
            </w:r>
            <w:r w:rsidRPr="00277DF3">
              <w:rPr>
                <w:rFonts w:ascii="Calibri" w:eastAsia="Times New Roman" w:hAnsi="Calibri" w:cs="Calibri"/>
                <w:color w:val="000000"/>
                <w:sz w:val="20"/>
                <w:szCs w:val="20"/>
                <w:lang w:val="es-CL" w:eastAsia="es-CL"/>
              </w:rPr>
              <w:br/>
              <w:t xml:space="preserve"> - Nuevo Transformador en S/E Pan de Azúcar</w:t>
            </w:r>
          </w:p>
        </w:tc>
        <w:tc>
          <w:tcPr>
            <w:tcW w:w="983" w:type="pct"/>
            <w:tcBorders>
              <w:top w:val="nil"/>
              <w:left w:val="nil"/>
              <w:bottom w:val="single" w:sz="8" w:space="0" w:color="auto"/>
              <w:right w:val="single" w:sz="8" w:space="0" w:color="auto"/>
            </w:tcBorders>
            <w:shd w:val="clear" w:color="auto" w:fill="auto"/>
            <w:hideMark/>
          </w:tcPr>
          <w:p w14:paraId="37245B63"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Corregir el tipo de cambio de las obras indicadas para la determinación de las prorratas de pago</w:t>
            </w:r>
          </w:p>
        </w:tc>
        <w:tc>
          <w:tcPr>
            <w:tcW w:w="959" w:type="pct"/>
            <w:tcBorders>
              <w:top w:val="nil"/>
              <w:left w:val="nil"/>
              <w:bottom w:val="single" w:sz="8" w:space="0" w:color="auto"/>
              <w:right w:val="single" w:sz="8" w:space="0" w:color="auto"/>
            </w:tcBorders>
            <w:shd w:val="clear" w:color="auto" w:fill="auto"/>
            <w:hideMark/>
          </w:tcPr>
          <w:p w14:paraId="08D2B8AA" w14:textId="06F7DF88"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8A46AF">
              <w:rPr>
                <w:rFonts w:ascii="Calibri" w:eastAsia="Times New Roman" w:hAnsi="Calibri" w:cs="Calibri"/>
                <w:color w:val="000000"/>
                <w:sz w:val="20"/>
                <w:szCs w:val="20"/>
                <w:lang w:val="es-CL" w:eastAsia="es-CL"/>
              </w:rPr>
              <w:t>Se acoge observación.</w:t>
            </w:r>
          </w:p>
        </w:tc>
        <w:tc>
          <w:tcPr>
            <w:tcW w:w="430" w:type="pct"/>
            <w:tcBorders>
              <w:top w:val="nil"/>
              <w:left w:val="nil"/>
              <w:bottom w:val="single" w:sz="8" w:space="0" w:color="auto"/>
              <w:right w:val="single" w:sz="8" w:space="0" w:color="auto"/>
            </w:tcBorders>
            <w:shd w:val="clear" w:color="auto" w:fill="auto"/>
            <w:hideMark/>
          </w:tcPr>
          <w:p w14:paraId="1703011E" w14:textId="3A1577A2"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8A46AF">
              <w:rPr>
                <w:rFonts w:ascii="Calibri" w:eastAsia="Times New Roman" w:hAnsi="Calibri" w:cs="Calibri"/>
                <w:color w:val="000000"/>
                <w:sz w:val="20"/>
                <w:szCs w:val="20"/>
                <w:lang w:val="es-CL" w:eastAsia="es-CL"/>
              </w:rPr>
              <w:t>Acogida</w:t>
            </w:r>
          </w:p>
        </w:tc>
      </w:tr>
      <w:tr w:rsidR="00A87C18" w:rsidRPr="00277DF3" w14:paraId="4D42505A" w14:textId="77777777" w:rsidTr="0042745E">
        <w:trPr>
          <w:trHeight w:val="4095"/>
        </w:trPr>
        <w:tc>
          <w:tcPr>
            <w:tcW w:w="348" w:type="pct"/>
            <w:tcBorders>
              <w:top w:val="nil"/>
              <w:left w:val="single" w:sz="8" w:space="0" w:color="auto"/>
              <w:bottom w:val="single" w:sz="8" w:space="0" w:color="auto"/>
              <w:right w:val="single" w:sz="8" w:space="0" w:color="auto"/>
            </w:tcBorders>
            <w:shd w:val="clear" w:color="auto" w:fill="auto"/>
            <w:noWrap/>
            <w:hideMark/>
          </w:tcPr>
          <w:p w14:paraId="04B43500"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lastRenderedPageBreak/>
              <w:t>O2024-0030098</w:t>
            </w:r>
          </w:p>
        </w:tc>
        <w:tc>
          <w:tcPr>
            <w:tcW w:w="451" w:type="pct"/>
            <w:tcBorders>
              <w:top w:val="nil"/>
              <w:left w:val="nil"/>
              <w:bottom w:val="single" w:sz="8" w:space="0" w:color="auto"/>
              <w:right w:val="single" w:sz="8" w:space="0" w:color="auto"/>
            </w:tcBorders>
            <w:shd w:val="clear" w:color="auto" w:fill="auto"/>
            <w:hideMark/>
          </w:tcPr>
          <w:p w14:paraId="1061FAA0" w14:textId="77777777" w:rsidR="00277DF3" w:rsidRPr="00277DF3" w:rsidRDefault="00277DF3" w:rsidP="00277DF3">
            <w:pPr>
              <w:rPr>
                <w:rFonts w:ascii="Calibri" w:eastAsia="Times New Roman" w:hAnsi="Calibri" w:cs="Calibri"/>
                <w:color w:val="000000"/>
                <w:sz w:val="20"/>
                <w:szCs w:val="20"/>
                <w:lang w:val="es-CL" w:eastAsia="es-CL"/>
              </w:rPr>
            </w:pPr>
            <w:proofErr w:type="spellStart"/>
            <w:r w:rsidRPr="00277DF3">
              <w:rPr>
                <w:rFonts w:ascii="Calibri" w:eastAsia="Times New Roman" w:hAnsi="Calibri" w:cs="Calibri"/>
                <w:color w:val="000000"/>
                <w:sz w:val="20"/>
                <w:szCs w:val="20"/>
                <w:lang w:val="es-CL" w:eastAsia="es-CL"/>
              </w:rPr>
              <w:t>Transelec</w:t>
            </w:r>
            <w:proofErr w:type="spellEnd"/>
            <w:r w:rsidRPr="00277DF3">
              <w:rPr>
                <w:rFonts w:ascii="Calibri" w:eastAsia="Times New Roman" w:hAnsi="Calibri" w:cs="Calibri"/>
                <w:color w:val="000000"/>
                <w:sz w:val="20"/>
                <w:szCs w:val="20"/>
                <w:lang w:val="es-CL" w:eastAsia="es-CL"/>
              </w:rPr>
              <w:t xml:space="preserve"> S.A.</w:t>
            </w:r>
          </w:p>
        </w:tc>
        <w:tc>
          <w:tcPr>
            <w:tcW w:w="1829" w:type="pct"/>
            <w:tcBorders>
              <w:top w:val="nil"/>
              <w:left w:val="nil"/>
              <w:bottom w:val="single" w:sz="8" w:space="0" w:color="auto"/>
              <w:right w:val="single" w:sz="8" w:space="0" w:color="auto"/>
            </w:tcBorders>
            <w:shd w:val="clear" w:color="auto" w:fill="auto"/>
            <w:hideMark/>
          </w:tcPr>
          <w:p w14:paraId="19D87364"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Para el segmento Nacional considerar en el cálculo de prorratas las siguientes obras de ampliación de </w:t>
            </w:r>
            <w:proofErr w:type="spellStart"/>
            <w:r w:rsidRPr="00277DF3">
              <w:rPr>
                <w:rFonts w:ascii="Calibri" w:eastAsia="Times New Roman" w:hAnsi="Calibri" w:cs="Calibri"/>
                <w:color w:val="000000"/>
                <w:sz w:val="20"/>
                <w:szCs w:val="20"/>
                <w:lang w:val="es-CL" w:eastAsia="es-CL"/>
              </w:rPr>
              <w:t>Transelec</w:t>
            </w:r>
            <w:proofErr w:type="spellEnd"/>
            <w:r w:rsidRPr="00277DF3">
              <w:rPr>
                <w:rFonts w:ascii="Calibri" w:eastAsia="Times New Roman" w:hAnsi="Calibri" w:cs="Calibri"/>
                <w:color w:val="000000"/>
                <w:sz w:val="20"/>
                <w:szCs w:val="20"/>
                <w:lang w:val="es-CL" w:eastAsia="es-CL"/>
              </w:rPr>
              <w:t>:</w:t>
            </w:r>
            <w:r w:rsidRPr="00277DF3">
              <w:rPr>
                <w:rFonts w:ascii="Calibri" w:eastAsia="Times New Roman" w:hAnsi="Calibri" w:cs="Calibri"/>
                <w:color w:val="000000"/>
                <w:sz w:val="20"/>
                <w:szCs w:val="20"/>
                <w:lang w:val="es-CL" w:eastAsia="es-CL"/>
              </w:rPr>
              <w:br/>
              <w:t xml:space="preserve"> - Aumento de capacidad de barras en S/E Encuentro 220 kV</w:t>
            </w:r>
            <w:r w:rsidRPr="00277DF3">
              <w:rPr>
                <w:rFonts w:ascii="Calibri" w:eastAsia="Times New Roman" w:hAnsi="Calibri" w:cs="Calibri"/>
                <w:color w:val="000000"/>
                <w:sz w:val="20"/>
                <w:szCs w:val="20"/>
                <w:lang w:val="es-CL" w:eastAsia="es-CL"/>
              </w:rPr>
              <w:br/>
              <w:t xml:space="preserve"> - Aumento de capacidad de barras en S/E Encuentro 220 kV  (Reasignación por Seccionamiento en S/E Ana María)</w:t>
            </w:r>
            <w:r w:rsidRPr="00277DF3">
              <w:rPr>
                <w:rFonts w:ascii="Calibri" w:eastAsia="Times New Roman" w:hAnsi="Calibri" w:cs="Calibri"/>
                <w:color w:val="000000"/>
                <w:sz w:val="20"/>
                <w:szCs w:val="20"/>
                <w:lang w:val="es-CL" w:eastAsia="es-CL"/>
              </w:rPr>
              <w:br/>
              <w:t xml:space="preserve"> - Aumento de capacidad de barras en S/E Encuentro 220 kV Reasignación por seccionamiento S/E </w:t>
            </w:r>
            <w:proofErr w:type="spellStart"/>
            <w:r w:rsidRPr="00277DF3">
              <w:rPr>
                <w:rFonts w:ascii="Calibri" w:eastAsia="Times New Roman" w:hAnsi="Calibri" w:cs="Calibri"/>
                <w:color w:val="000000"/>
                <w:sz w:val="20"/>
                <w:szCs w:val="20"/>
                <w:lang w:val="es-CL" w:eastAsia="es-CL"/>
              </w:rPr>
              <w:t>Kimal</w:t>
            </w:r>
            <w:proofErr w:type="spellEnd"/>
            <w:r w:rsidRPr="00277DF3">
              <w:rPr>
                <w:rFonts w:ascii="Calibri" w:eastAsia="Times New Roman" w:hAnsi="Calibri" w:cs="Calibri"/>
                <w:color w:val="000000"/>
                <w:sz w:val="20"/>
                <w:szCs w:val="20"/>
                <w:lang w:val="es-CL" w:eastAsia="es-CL"/>
              </w:rPr>
              <w:br/>
              <w:t xml:space="preserve"> - Incorporación de paño de Línea 1 x220 kV Tarapacá - Cóndores en S/E Cóndores</w:t>
            </w:r>
            <w:r w:rsidRPr="00277DF3">
              <w:rPr>
                <w:rFonts w:ascii="Calibri" w:eastAsia="Times New Roman" w:hAnsi="Calibri" w:cs="Calibri"/>
                <w:color w:val="000000"/>
                <w:sz w:val="20"/>
                <w:szCs w:val="20"/>
                <w:lang w:val="es-CL" w:eastAsia="es-CL"/>
              </w:rPr>
              <w:br/>
              <w:t xml:space="preserve"> - Incorporación de paño de Línea 1x220 kV Cóndores - Parinacota en S/E Parinacota</w:t>
            </w:r>
            <w:r w:rsidRPr="00277DF3">
              <w:rPr>
                <w:rFonts w:ascii="Calibri" w:eastAsia="Times New Roman" w:hAnsi="Calibri" w:cs="Calibri"/>
                <w:color w:val="000000"/>
                <w:sz w:val="20"/>
                <w:szCs w:val="20"/>
                <w:lang w:val="es-CL" w:eastAsia="es-CL"/>
              </w:rPr>
              <w:br/>
              <w:t xml:space="preserve"> - Normalización de paños J3 y J4 en S/E Chena 220 kV (D373-16)</w:t>
            </w:r>
            <w:r w:rsidRPr="00277DF3">
              <w:rPr>
                <w:rFonts w:ascii="Calibri" w:eastAsia="Times New Roman" w:hAnsi="Calibri" w:cs="Calibri"/>
                <w:color w:val="000000"/>
                <w:sz w:val="20"/>
                <w:szCs w:val="20"/>
                <w:lang w:val="es-CL" w:eastAsia="es-CL"/>
              </w:rPr>
              <w:br/>
              <w:t xml:space="preserve"> - Normalización en S/E Charrúa 220 kV (D373-16)</w:t>
            </w:r>
            <w:r w:rsidRPr="00277DF3">
              <w:rPr>
                <w:rFonts w:ascii="Calibri" w:eastAsia="Times New Roman" w:hAnsi="Calibri" w:cs="Calibri"/>
                <w:color w:val="000000"/>
                <w:sz w:val="20"/>
                <w:szCs w:val="20"/>
                <w:lang w:val="es-CL" w:eastAsia="es-CL"/>
              </w:rPr>
              <w:br/>
              <w:t xml:space="preserve"> - Normalización en S/E Pan de Azúcar 220 kV (D373-16)</w:t>
            </w:r>
            <w:r w:rsidRPr="00277DF3">
              <w:rPr>
                <w:rFonts w:ascii="Calibri" w:eastAsia="Times New Roman" w:hAnsi="Calibri" w:cs="Calibri"/>
                <w:color w:val="000000"/>
                <w:sz w:val="20"/>
                <w:szCs w:val="20"/>
                <w:lang w:val="es-CL" w:eastAsia="es-CL"/>
              </w:rPr>
              <w:br/>
              <w:t xml:space="preserve"> - Normalización en S/E Pan de Azúcar 220 kV (D373-16) Reasignación por seccionamiento en S/E Don Goyo</w:t>
            </w:r>
            <w:r w:rsidRPr="00277DF3">
              <w:rPr>
                <w:rFonts w:ascii="Calibri" w:eastAsia="Times New Roman" w:hAnsi="Calibri" w:cs="Calibri"/>
                <w:color w:val="000000"/>
                <w:sz w:val="20"/>
                <w:szCs w:val="20"/>
                <w:lang w:val="es-CL" w:eastAsia="es-CL"/>
              </w:rPr>
              <w:br/>
              <w:t xml:space="preserve"> - Normalización en S/E Puerto Montt 220 kV (D373-16)</w:t>
            </w:r>
            <w:r w:rsidRPr="00277DF3">
              <w:rPr>
                <w:rFonts w:ascii="Calibri" w:eastAsia="Times New Roman" w:hAnsi="Calibri" w:cs="Calibri"/>
                <w:color w:val="000000"/>
                <w:sz w:val="20"/>
                <w:szCs w:val="20"/>
                <w:lang w:val="es-CL" w:eastAsia="es-CL"/>
              </w:rPr>
              <w:br/>
              <w:t xml:space="preserve"> - Normalización en S/E Puerto Montt 220 kV (D373-16) (Seccionamiento en S/E Aurora 1 </w:t>
            </w:r>
            <w:proofErr w:type="spellStart"/>
            <w:r w:rsidRPr="00277DF3">
              <w:rPr>
                <w:rFonts w:ascii="Calibri" w:eastAsia="Times New Roman" w:hAnsi="Calibri" w:cs="Calibri"/>
                <w:color w:val="000000"/>
                <w:sz w:val="20"/>
                <w:szCs w:val="20"/>
                <w:lang w:val="es-CL" w:eastAsia="es-CL"/>
              </w:rPr>
              <w:t>cto</w:t>
            </w:r>
            <w:proofErr w:type="spellEnd"/>
            <w:r w:rsidRPr="00277DF3">
              <w:rPr>
                <w:rFonts w:ascii="Calibri" w:eastAsia="Times New Roman" w:hAnsi="Calibri" w:cs="Calibri"/>
                <w:color w:val="000000"/>
                <w:sz w:val="20"/>
                <w:szCs w:val="20"/>
                <w:lang w:val="es-CL" w:eastAsia="es-CL"/>
              </w:rPr>
              <w:t>)</w:t>
            </w:r>
            <w:r w:rsidRPr="00277DF3">
              <w:rPr>
                <w:rFonts w:ascii="Calibri" w:eastAsia="Times New Roman" w:hAnsi="Calibri" w:cs="Calibri"/>
                <w:color w:val="000000"/>
                <w:sz w:val="20"/>
                <w:szCs w:val="20"/>
                <w:lang w:val="es-CL" w:eastAsia="es-CL"/>
              </w:rPr>
              <w:br/>
              <w:t xml:space="preserve"> - Normalización en S/E Puerto Montt 220 kV (D373-16) (Seccionamiento en S/E Aurora 1 </w:t>
            </w:r>
            <w:proofErr w:type="spellStart"/>
            <w:r w:rsidRPr="00277DF3">
              <w:rPr>
                <w:rFonts w:ascii="Calibri" w:eastAsia="Times New Roman" w:hAnsi="Calibri" w:cs="Calibri"/>
                <w:color w:val="000000"/>
                <w:sz w:val="20"/>
                <w:szCs w:val="20"/>
                <w:lang w:val="es-CL" w:eastAsia="es-CL"/>
              </w:rPr>
              <w:t>cto</w:t>
            </w:r>
            <w:proofErr w:type="spellEnd"/>
            <w:r w:rsidRPr="00277DF3">
              <w:rPr>
                <w:rFonts w:ascii="Calibri" w:eastAsia="Times New Roman" w:hAnsi="Calibri" w:cs="Calibri"/>
                <w:color w:val="000000"/>
                <w:sz w:val="20"/>
                <w:szCs w:val="20"/>
                <w:lang w:val="es-CL" w:eastAsia="es-CL"/>
              </w:rPr>
              <w:t>, y luego en S/E Frutillar Norte)</w:t>
            </w:r>
            <w:r w:rsidRPr="00277DF3">
              <w:rPr>
                <w:rFonts w:ascii="Calibri" w:eastAsia="Times New Roman" w:hAnsi="Calibri" w:cs="Calibri"/>
                <w:color w:val="000000"/>
                <w:sz w:val="20"/>
                <w:szCs w:val="20"/>
                <w:lang w:val="es-CL" w:eastAsia="es-CL"/>
              </w:rPr>
              <w:br/>
              <w:t xml:space="preserve"> - Nueva S/E Seccionadora Quillagua 220 kV</w:t>
            </w:r>
            <w:r w:rsidRPr="00277DF3">
              <w:rPr>
                <w:rFonts w:ascii="Calibri" w:eastAsia="Times New Roman" w:hAnsi="Calibri" w:cs="Calibri"/>
                <w:color w:val="000000"/>
                <w:sz w:val="20"/>
                <w:szCs w:val="20"/>
                <w:lang w:val="es-CL" w:eastAsia="es-CL"/>
              </w:rPr>
              <w:br/>
              <w:t xml:space="preserve"> - S/E Seccionadora Nueva Valdivia 220 kV (D373-16)</w:t>
            </w:r>
            <w:r w:rsidRPr="00277DF3">
              <w:rPr>
                <w:rFonts w:ascii="Calibri" w:eastAsia="Times New Roman" w:hAnsi="Calibri" w:cs="Calibri"/>
                <w:color w:val="000000"/>
                <w:sz w:val="20"/>
                <w:szCs w:val="20"/>
                <w:lang w:val="es-CL" w:eastAsia="es-CL"/>
              </w:rPr>
              <w:br/>
              <w:t xml:space="preserve"> - Seccionamiento del segundo circuito de la línea Polpaico - Alto Jahuel 2x500 kV en S/E Lo Aguirre 500 kV (D373-16).</w:t>
            </w:r>
          </w:p>
        </w:tc>
        <w:tc>
          <w:tcPr>
            <w:tcW w:w="983" w:type="pct"/>
            <w:tcBorders>
              <w:top w:val="nil"/>
              <w:left w:val="nil"/>
              <w:bottom w:val="single" w:sz="8" w:space="0" w:color="auto"/>
              <w:right w:val="single" w:sz="8" w:space="0" w:color="auto"/>
            </w:tcBorders>
            <w:shd w:val="clear" w:color="auto" w:fill="auto"/>
            <w:hideMark/>
          </w:tcPr>
          <w:p w14:paraId="1FCF7DB3"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Incorporar el listado de obras de ampliación de </w:t>
            </w:r>
            <w:proofErr w:type="spellStart"/>
            <w:r w:rsidRPr="00277DF3">
              <w:rPr>
                <w:rFonts w:ascii="Calibri" w:eastAsia="Times New Roman" w:hAnsi="Calibri" w:cs="Calibri"/>
                <w:color w:val="000000"/>
                <w:sz w:val="20"/>
                <w:szCs w:val="20"/>
                <w:lang w:val="es-CL" w:eastAsia="es-CL"/>
              </w:rPr>
              <w:t>Transelec</w:t>
            </w:r>
            <w:proofErr w:type="spellEnd"/>
            <w:r w:rsidRPr="00277DF3">
              <w:rPr>
                <w:rFonts w:ascii="Calibri" w:eastAsia="Times New Roman" w:hAnsi="Calibri" w:cs="Calibri"/>
                <w:color w:val="000000"/>
                <w:sz w:val="20"/>
                <w:szCs w:val="20"/>
                <w:lang w:val="es-CL" w:eastAsia="es-CL"/>
              </w:rPr>
              <w:t xml:space="preserve"> para el cálculo de prorratas de pago</w:t>
            </w:r>
          </w:p>
        </w:tc>
        <w:tc>
          <w:tcPr>
            <w:tcW w:w="959" w:type="pct"/>
            <w:tcBorders>
              <w:top w:val="nil"/>
              <w:left w:val="nil"/>
              <w:bottom w:val="single" w:sz="8" w:space="0" w:color="auto"/>
              <w:right w:val="single" w:sz="8" w:space="0" w:color="auto"/>
            </w:tcBorders>
            <w:shd w:val="clear" w:color="auto" w:fill="auto"/>
            <w:hideMark/>
          </w:tcPr>
          <w:p w14:paraId="7616029B" w14:textId="63822105"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085429">
              <w:rPr>
                <w:rFonts w:ascii="Calibri" w:eastAsia="Times New Roman" w:hAnsi="Calibri" w:cs="Calibri"/>
                <w:color w:val="000000"/>
                <w:sz w:val="20"/>
                <w:szCs w:val="20"/>
                <w:lang w:val="es-CL" w:eastAsia="es-CL"/>
              </w:rPr>
              <w:t>Se acoge observación.</w:t>
            </w:r>
          </w:p>
        </w:tc>
        <w:tc>
          <w:tcPr>
            <w:tcW w:w="430" w:type="pct"/>
            <w:tcBorders>
              <w:top w:val="nil"/>
              <w:left w:val="nil"/>
              <w:bottom w:val="single" w:sz="8" w:space="0" w:color="auto"/>
              <w:right w:val="single" w:sz="8" w:space="0" w:color="auto"/>
            </w:tcBorders>
            <w:shd w:val="clear" w:color="auto" w:fill="auto"/>
            <w:hideMark/>
          </w:tcPr>
          <w:p w14:paraId="456EF88F" w14:textId="6F708F8B"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085429">
              <w:rPr>
                <w:rFonts w:ascii="Calibri" w:eastAsia="Times New Roman" w:hAnsi="Calibri" w:cs="Calibri"/>
                <w:color w:val="000000"/>
                <w:sz w:val="20"/>
                <w:szCs w:val="20"/>
                <w:lang w:val="es-CL" w:eastAsia="es-CL"/>
              </w:rPr>
              <w:t>Acogida</w:t>
            </w:r>
          </w:p>
        </w:tc>
      </w:tr>
      <w:tr w:rsidR="00A87C18" w:rsidRPr="00277DF3" w14:paraId="729AA2B4" w14:textId="77777777" w:rsidTr="0042745E">
        <w:trPr>
          <w:trHeight w:val="1035"/>
        </w:trPr>
        <w:tc>
          <w:tcPr>
            <w:tcW w:w="348" w:type="pct"/>
            <w:tcBorders>
              <w:top w:val="nil"/>
              <w:left w:val="single" w:sz="8" w:space="0" w:color="auto"/>
              <w:bottom w:val="single" w:sz="8" w:space="0" w:color="auto"/>
              <w:right w:val="single" w:sz="8" w:space="0" w:color="auto"/>
            </w:tcBorders>
            <w:shd w:val="clear" w:color="auto" w:fill="auto"/>
            <w:noWrap/>
            <w:hideMark/>
          </w:tcPr>
          <w:p w14:paraId="041174B3"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O2024-0030096</w:t>
            </w:r>
          </w:p>
        </w:tc>
        <w:tc>
          <w:tcPr>
            <w:tcW w:w="451" w:type="pct"/>
            <w:tcBorders>
              <w:top w:val="nil"/>
              <w:left w:val="nil"/>
              <w:bottom w:val="single" w:sz="8" w:space="0" w:color="auto"/>
              <w:right w:val="single" w:sz="8" w:space="0" w:color="auto"/>
            </w:tcBorders>
            <w:shd w:val="clear" w:color="auto" w:fill="auto"/>
            <w:hideMark/>
          </w:tcPr>
          <w:p w14:paraId="2CB6AF00"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Colbún S.A.</w:t>
            </w:r>
          </w:p>
        </w:tc>
        <w:tc>
          <w:tcPr>
            <w:tcW w:w="1829" w:type="pct"/>
            <w:tcBorders>
              <w:top w:val="nil"/>
              <w:left w:val="nil"/>
              <w:bottom w:val="single" w:sz="8" w:space="0" w:color="auto"/>
              <w:right w:val="single" w:sz="8" w:space="0" w:color="auto"/>
            </w:tcBorders>
            <w:shd w:val="clear" w:color="auto" w:fill="auto"/>
            <w:hideMark/>
          </w:tcPr>
          <w:p w14:paraId="776460C6"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Hemos detectado que a </w:t>
            </w:r>
            <w:proofErr w:type="spellStart"/>
            <w:r w:rsidRPr="00277DF3">
              <w:rPr>
                <w:rFonts w:ascii="Calibri" w:eastAsia="Times New Roman" w:hAnsi="Calibri" w:cs="Calibri"/>
                <w:color w:val="000000"/>
                <w:sz w:val="20"/>
                <w:szCs w:val="20"/>
                <w:lang w:val="es-CL" w:eastAsia="es-CL"/>
              </w:rPr>
              <w:t>colbún</w:t>
            </w:r>
            <w:proofErr w:type="spellEnd"/>
            <w:r w:rsidRPr="00277DF3">
              <w:rPr>
                <w:rFonts w:ascii="Calibri" w:eastAsia="Times New Roman" w:hAnsi="Calibri" w:cs="Calibri"/>
                <w:color w:val="000000"/>
                <w:sz w:val="20"/>
                <w:szCs w:val="20"/>
                <w:lang w:val="es-CL" w:eastAsia="es-CL"/>
              </w:rPr>
              <w:t xml:space="preserve"> se le asigna VATT nacional correspondiente al tramo "Crucero" con los códigos "SE-N_19_P_521_S_CUT" y "SE-N_19_P_521_S_Peajes". Respaldándonos en los anexos correspondientes al estudio de valorización de la transmisión 2020-2023, debemos indicar que en "Anexos VI\01-Anexo VI_1_Analisis </w:t>
            </w:r>
            <w:proofErr w:type="spellStart"/>
            <w:r w:rsidRPr="00277DF3">
              <w:rPr>
                <w:rFonts w:ascii="Calibri" w:eastAsia="Times New Roman" w:hAnsi="Calibri" w:cs="Calibri"/>
                <w:color w:val="000000"/>
                <w:sz w:val="20"/>
                <w:szCs w:val="20"/>
                <w:lang w:val="es-CL" w:eastAsia="es-CL"/>
              </w:rPr>
              <w:t>Info</w:t>
            </w:r>
            <w:proofErr w:type="spellEnd"/>
            <w:r w:rsidRPr="00277DF3">
              <w:rPr>
                <w:rFonts w:ascii="Calibri" w:eastAsia="Times New Roman" w:hAnsi="Calibri" w:cs="Calibri"/>
                <w:color w:val="000000"/>
                <w:sz w:val="20"/>
                <w:szCs w:val="20"/>
                <w:lang w:val="es-CL" w:eastAsia="es-CL"/>
              </w:rPr>
              <w:t xml:space="preserve"> recibida\1-Archivos originales\Inventario SSEE Base Datos </w:t>
            </w:r>
            <w:r w:rsidRPr="00277DF3">
              <w:rPr>
                <w:rFonts w:ascii="Calibri" w:eastAsia="Times New Roman" w:hAnsi="Calibri" w:cs="Calibri"/>
                <w:color w:val="000000"/>
                <w:sz w:val="20"/>
                <w:szCs w:val="20"/>
                <w:lang w:val="es-CL" w:eastAsia="es-CL"/>
              </w:rPr>
              <w:lastRenderedPageBreak/>
              <w:t>original_IFD.xlsx" no se identifica ningún activo imputado a la empresa Colbún, por lo que esta asignación es un error.</w:t>
            </w:r>
          </w:p>
        </w:tc>
        <w:tc>
          <w:tcPr>
            <w:tcW w:w="983" w:type="pct"/>
            <w:tcBorders>
              <w:top w:val="nil"/>
              <w:left w:val="nil"/>
              <w:bottom w:val="single" w:sz="8" w:space="0" w:color="auto"/>
              <w:right w:val="single" w:sz="8" w:space="0" w:color="auto"/>
            </w:tcBorders>
            <w:shd w:val="clear" w:color="auto" w:fill="auto"/>
            <w:hideMark/>
          </w:tcPr>
          <w:p w14:paraId="60E17A99"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lastRenderedPageBreak/>
              <w:t xml:space="preserve">Solicitamos que no se le impute al </w:t>
            </w:r>
            <w:proofErr w:type="spellStart"/>
            <w:r w:rsidRPr="00277DF3">
              <w:rPr>
                <w:rFonts w:ascii="Calibri" w:eastAsia="Times New Roman" w:hAnsi="Calibri" w:cs="Calibri"/>
                <w:color w:val="000000"/>
                <w:sz w:val="20"/>
                <w:szCs w:val="20"/>
                <w:lang w:val="es-CL" w:eastAsia="es-CL"/>
              </w:rPr>
              <w:t>colbún</w:t>
            </w:r>
            <w:proofErr w:type="spellEnd"/>
            <w:r w:rsidRPr="00277DF3">
              <w:rPr>
                <w:rFonts w:ascii="Calibri" w:eastAsia="Times New Roman" w:hAnsi="Calibri" w:cs="Calibri"/>
                <w:color w:val="000000"/>
                <w:sz w:val="20"/>
                <w:szCs w:val="20"/>
                <w:lang w:val="es-CL" w:eastAsia="es-CL"/>
              </w:rPr>
              <w:t xml:space="preserve"> el VATT nacional indicado.</w:t>
            </w:r>
          </w:p>
        </w:tc>
        <w:tc>
          <w:tcPr>
            <w:tcW w:w="959" w:type="pct"/>
            <w:tcBorders>
              <w:top w:val="nil"/>
              <w:left w:val="nil"/>
              <w:bottom w:val="single" w:sz="8" w:space="0" w:color="auto"/>
              <w:right w:val="single" w:sz="8" w:space="0" w:color="auto"/>
            </w:tcBorders>
            <w:shd w:val="clear" w:color="auto" w:fill="auto"/>
          </w:tcPr>
          <w:p w14:paraId="4E84705A" w14:textId="77777777" w:rsidR="00277DF3" w:rsidRDefault="00AC6380" w:rsidP="00AD4960">
            <w:pPr>
              <w:rPr>
                <w:rFonts w:ascii="Calibri" w:eastAsia="Times New Roman" w:hAnsi="Calibri" w:cs="Calibri"/>
                <w:color w:val="000000"/>
                <w:sz w:val="20"/>
                <w:szCs w:val="20"/>
                <w:lang w:val="es-CL" w:eastAsia="es-CL"/>
              </w:rPr>
            </w:pPr>
            <w:r w:rsidRPr="00AC6380">
              <w:rPr>
                <w:rFonts w:ascii="Calibri" w:eastAsia="Times New Roman" w:hAnsi="Calibri" w:cs="Calibri"/>
                <w:color w:val="000000"/>
                <w:sz w:val="20"/>
                <w:szCs w:val="20"/>
                <w:lang w:val="es-CL" w:eastAsia="es-CL"/>
              </w:rPr>
              <w:t>La asig</w:t>
            </w:r>
            <w:r>
              <w:rPr>
                <w:rFonts w:ascii="Calibri" w:eastAsia="Times New Roman" w:hAnsi="Calibri" w:cs="Calibri"/>
                <w:color w:val="000000"/>
                <w:sz w:val="20"/>
                <w:szCs w:val="20"/>
                <w:lang w:val="es-CL" w:eastAsia="es-CL"/>
              </w:rPr>
              <w:t xml:space="preserve">nación de VATT </w:t>
            </w:r>
            <w:r w:rsidR="002A34D1">
              <w:rPr>
                <w:rFonts w:ascii="Calibri" w:eastAsia="Times New Roman" w:hAnsi="Calibri" w:cs="Calibri"/>
                <w:color w:val="000000"/>
                <w:sz w:val="20"/>
                <w:szCs w:val="20"/>
                <w:lang w:val="es-CL" w:eastAsia="es-CL"/>
              </w:rPr>
              <w:t>corresponde a lo indicado en planilla “</w:t>
            </w:r>
            <w:r w:rsidR="002A34D1" w:rsidRPr="002A34D1">
              <w:rPr>
                <w:rFonts w:ascii="Calibri" w:eastAsia="Times New Roman" w:hAnsi="Calibri" w:cs="Calibri"/>
                <w:color w:val="000000"/>
                <w:sz w:val="20"/>
                <w:szCs w:val="20"/>
                <w:lang w:val="es-CL" w:eastAsia="es-CL"/>
              </w:rPr>
              <w:t>Resultados_ITD.xlsx”</w:t>
            </w:r>
            <w:r w:rsidR="00FC180C">
              <w:rPr>
                <w:rFonts w:ascii="Calibri" w:eastAsia="Times New Roman" w:hAnsi="Calibri" w:cs="Calibri"/>
                <w:color w:val="000000"/>
                <w:sz w:val="20"/>
                <w:szCs w:val="20"/>
                <w:lang w:val="es-CL" w:eastAsia="es-CL"/>
              </w:rPr>
              <w:t xml:space="preserve"> del Anexo 1 del ITD Valorización de los </w:t>
            </w:r>
            <w:r w:rsidR="00355ECD">
              <w:rPr>
                <w:rFonts w:ascii="Calibri" w:eastAsia="Times New Roman" w:hAnsi="Calibri" w:cs="Calibri"/>
                <w:color w:val="000000"/>
                <w:sz w:val="20"/>
                <w:szCs w:val="20"/>
                <w:lang w:val="es-CL" w:eastAsia="es-CL"/>
              </w:rPr>
              <w:t>Sistemas de Transmisión Cuatrienio 2020 – 2023</w:t>
            </w:r>
            <w:r w:rsidR="003D7113">
              <w:rPr>
                <w:rFonts w:ascii="Calibri" w:eastAsia="Times New Roman" w:hAnsi="Calibri" w:cs="Calibri"/>
                <w:color w:val="000000"/>
                <w:sz w:val="20"/>
                <w:szCs w:val="20"/>
                <w:lang w:val="es-CL" w:eastAsia="es-CL"/>
              </w:rPr>
              <w:t>, de la CNE</w:t>
            </w:r>
            <w:r w:rsidR="00355ECD">
              <w:rPr>
                <w:rFonts w:ascii="Calibri" w:eastAsia="Times New Roman" w:hAnsi="Calibri" w:cs="Calibri"/>
                <w:color w:val="000000"/>
                <w:sz w:val="20"/>
                <w:szCs w:val="20"/>
                <w:lang w:val="es-CL" w:eastAsia="es-CL"/>
              </w:rPr>
              <w:t xml:space="preserve">. En esa planilla bajo los códigos Tipo de </w:t>
            </w:r>
            <w:r w:rsidR="00355ECD">
              <w:rPr>
                <w:rFonts w:ascii="Calibri" w:eastAsia="Times New Roman" w:hAnsi="Calibri" w:cs="Calibri"/>
                <w:color w:val="000000"/>
                <w:sz w:val="20"/>
                <w:szCs w:val="20"/>
                <w:lang w:val="es-CL" w:eastAsia="es-CL"/>
              </w:rPr>
              <w:lastRenderedPageBreak/>
              <w:t xml:space="preserve">Tramo: Subestaciones, </w:t>
            </w:r>
            <w:proofErr w:type="spellStart"/>
            <w:r w:rsidR="00355ECD">
              <w:rPr>
                <w:rFonts w:ascii="Calibri" w:eastAsia="Times New Roman" w:hAnsi="Calibri" w:cs="Calibri"/>
                <w:color w:val="000000"/>
                <w:sz w:val="20"/>
                <w:szCs w:val="20"/>
                <w:lang w:val="es-CL" w:eastAsia="es-CL"/>
              </w:rPr>
              <w:t>CodigoTramo</w:t>
            </w:r>
            <w:proofErr w:type="spellEnd"/>
            <w:r w:rsidR="00355ECD">
              <w:rPr>
                <w:rFonts w:ascii="Calibri" w:eastAsia="Times New Roman" w:hAnsi="Calibri" w:cs="Calibri"/>
                <w:color w:val="000000"/>
                <w:sz w:val="20"/>
                <w:szCs w:val="20"/>
                <w:lang w:val="es-CL" w:eastAsia="es-CL"/>
              </w:rPr>
              <w:t xml:space="preserve">: SE-N_19, </w:t>
            </w:r>
            <w:proofErr w:type="spellStart"/>
            <w:r w:rsidR="00355ECD">
              <w:rPr>
                <w:rFonts w:ascii="Calibri" w:eastAsia="Times New Roman" w:hAnsi="Calibri" w:cs="Calibri"/>
                <w:color w:val="000000"/>
                <w:sz w:val="20"/>
                <w:szCs w:val="20"/>
                <w:lang w:val="es-CL" w:eastAsia="es-CL"/>
              </w:rPr>
              <w:t>NombreTramo</w:t>
            </w:r>
            <w:proofErr w:type="spellEnd"/>
            <w:r w:rsidR="00355ECD">
              <w:rPr>
                <w:rFonts w:ascii="Calibri" w:eastAsia="Times New Roman" w:hAnsi="Calibri" w:cs="Calibri"/>
                <w:color w:val="000000"/>
                <w:sz w:val="20"/>
                <w:szCs w:val="20"/>
                <w:lang w:val="es-CL" w:eastAsia="es-CL"/>
              </w:rPr>
              <w:t xml:space="preserve">: Crucero, se asigna VATT a la empresa </w:t>
            </w:r>
            <w:r w:rsidR="00355ECD" w:rsidRPr="00355ECD">
              <w:rPr>
                <w:rFonts w:ascii="Calibri" w:eastAsia="Times New Roman" w:hAnsi="Calibri" w:cs="Calibri"/>
                <w:color w:val="000000"/>
                <w:sz w:val="20"/>
                <w:szCs w:val="20"/>
                <w:lang w:val="es-CL" w:eastAsia="es-CL"/>
              </w:rPr>
              <w:t>ELECTRICA INDUSTRIAL</w:t>
            </w:r>
            <w:r w:rsidR="00355ECD">
              <w:rPr>
                <w:rFonts w:ascii="Calibri" w:eastAsia="Times New Roman" w:hAnsi="Calibri" w:cs="Calibri"/>
                <w:color w:val="000000"/>
                <w:sz w:val="20"/>
                <w:szCs w:val="20"/>
                <w:lang w:val="es-CL" w:eastAsia="es-CL"/>
              </w:rPr>
              <w:t xml:space="preserve"> la cual fue reemplazada por Colbún </w:t>
            </w:r>
            <w:r w:rsidR="003D7113">
              <w:rPr>
                <w:rFonts w:ascii="Calibri" w:eastAsia="Times New Roman" w:hAnsi="Calibri" w:cs="Calibri"/>
                <w:color w:val="000000"/>
                <w:sz w:val="20"/>
                <w:szCs w:val="20"/>
                <w:lang w:val="es-CL" w:eastAsia="es-CL"/>
              </w:rPr>
              <w:t xml:space="preserve">S.A. </w:t>
            </w:r>
            <w:r w:rsidR="00355ECD">
              <w:rPr>
                <w:rFonts w:ascii="Calibri" w:eastAsia="Times New Roman" w:hAnsi="Calibri" w:cs="Calibri"/>
                <w:color w:val="000000"/>
                <w:sz w:val="20"/>
                <w:szCs w:val="20"/>
                <w:lang w:val="es-CL" w:eastAsia="es-CL"/>
              </w:rPr>
              <w:t>según se indica en la plataforma de Registro Único de Coordinados, REUC.</w:t>
            </w:r>
          </w:p>
          <w:p w14:paraId="5B758CAB" w14:textId="77777777" w:rsidR="003D7113" w:rsidRPr="003D7113" w:rsidRDefault="003D7113" w:rsidP="00AD4960">
            <w:pPr>
              <w:rPr>
                <w:rFonts w:ascii="Calibri" w:eastAsia="Times New Roman" w:hAnsi="Calibri" w:cs="Calibri"/>
                <w:color w:val="000000"/>
                <w:sz w:val="20"/>
                <w:szCs w:val="20"/>
                <w:lang w:val="es-CL" w:eastAsia="es-CL"/>
              </w:rPr>
            </w:pPr>
          </w:p>
          <w:p w14:paraId="4529245C" w14:textId="11D56AFC" w:rsidR="003D7113" w:rsidRPr="0065245A" w:rsidRDefault="003D7113" w:rsidP="00AD4960">
            <w:pPr>
              <w:rPr>
                <w:rFonts w:ascii="Calibri" w:eastAsia="Times New Roman" w:hAnsi="Calibri" w:cs="Calibri"/>
                <w:color w:val="000000"/>
                <w:sz w:val="20"/>
                <w:szCs w:val="20"/>
                <w:highlight w:val="yellow"/>
                <w:lang w:val="es-CL" w:eastAsia="es-CL"/>
              </w:rPr>
            </w:pPr>
            <w:r w:rsidRPr="003D7113">
              <w:rPr>
                <w:rFonts w:ascii="Calibri" w:eastAsia="Times New Roman" w:hAnsi="Calibri" w:cs="Calibri"/>
                <w:color w:val="000000"/>
                <w:sz w:val="20"/>
                <w:szCs w:val="20"/>
                <w:lang w:val="es-CL" w:eastAsia="es-CL"/>
              </w:rPr>
              <w:t xml:space="preserve">Por </w:t>
            </w:r>
            <w:proofErr w:type="gramStart"/>
            <w:r w:rsidRPr="003D7113">
              <w:rPr>
                <w:rFonts w:ascii="Calibri" w:eastAsia="Times New Roman" w:hAnsi="Calibri" w:cs="Calibri"/>
                <w:color w:val="000000"/>
                <w:sz w:val="20"/>
                <w:szCs w:val="20"/>
                <w:lang w:val="es-CL" w:eastAsia="es-CL"/>
              </w:rPr>
              <w:t>tanto</w:t>
            </w:r>
            <w:proofErr w:type="gramEnd"/>
            <w:r w:rsidRPr="003D7113">
              <w:rPr>
                <w:rFonts w:ascii="Calibri" w:eastAsia="Times New Roman" w:hAnsi="Calibri" w:cs="Calibri"/>
                <w:color w:val="000000"/>
                <w:sz w:val="20"/>
                <w:szCs w:val="20"/>
                <w:lang w:val="es-CL" w:eastAsia="es-CL"/>
              </w:rPr>
              <w:t xml:space="preserve"> </w:t>
            </w:r>
            <w:r>
              <w:rPr>
                <w:rFonts w:ascii="Calibri" w:eastAsia="Times New Roman" w:hAnsi="Calibri" w:cs="Calibri"/>
                <w:color w:val="000000"/>
                <w:sz w:val="20"/>
                <w:szCs w:val="20"/>
                <w:lang w:val="es-CL" w:eastAsia="es-CL"/>
              </w:rPr>
              <w:t>no se acoge la observación.</w:t>
            </w:r>
          </w:p>
        </w:tc>
        <w:tc>
          <w:tcPr>
            <w:tcW w:w="430" w:type="pct"/>
            <w:tcBorders>
              <w:top w:val="nil"/>
              <w:left w:val="nil"/>
              <w:bottom w:val="single" w:sz="8" w:space="0" w:color="auto"/>
              <w:right w:val="single" w:sz="8" w:space="0" w:color="auto"/>
            </w:tcBorders>
            <w:shd w:val="clear" w:color="auto" w:fill="auto"/>
            <w:hideMark/>
          </w:tcPr>
          <w:p w14:paraId="5664C306" w14:textId="630FEE7C"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lastRenderedPageBreak/>
              <w:t> </w:t>
            </w:r>
            <w:r w:rsidR="003D7113">
              <w:rPr>
                <w:rFonts w:ascii="Calibri" w:eastAsia="Times New Roman" w:hAnsi="Calibri" w:cs="Calibri"/>
                <w:color w:val="000000"/>
                <w:sz w:val="20"/>
                <w:szCs w:val="20"/>
                <w:lang w:val="es-CL" w:eastAsia="es-CL"/>
              </w:rPr>
              <w:t>No acogida</w:t>
            </w:r>
          </w:p>
        </w:tc>
      </w:tr>
      <w:tr w:rsidR="00A87C18" w:rsidRPr="00277DF3" w14:paraId="19ABA20B" w14:textId="77777777" w:rsidTr="0042745E">
        <w:trPr>
          <w:trHeight w:val="1290"/>
        </w:trPr>
        <w:tc>
          <w:tcPr>
            <w:tcW w:w="348" w:type="pct"/>
            <w:tcBorders>
              <w:top w:val="nil"/>
              <w:left w:val="single" w:sz="8" w:space="0" w:color="auto"/>
              <w:bottom w:val="single" w:sz="8" w:space="0" w:color="auto"/>
              <w:right w:val="single" w:sz="8" w:space="0" w:color="auto"/>
            </w:tcBorders>
            <w:shd w:val="clear" w:color="auto" w:fill="auto"/>
            <w:noWrap/>
            <w:hideMark/>
          </w:tcPr>
          <w:p w14:paraId="3160D851"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O2024-0030095</w:t>
            </w:r>
          </w:p>
        </w:tc>
        <w:tc>
          <w:tcPr>
            <w:tcW w:w="451" w:type="pct"/>
            <w:tcBorders>
              <w:top w:val="nil"/>
              <w:left w:val="nil"/>
              <w:bottom w:val="single" w:sz="8" w:space="0" w:color="auto"/>
              <w:right w:val="single" w:sz="8" w:space="0" w:color="auto"/>
            </w:tcBorders>
            <w:shd w:val="clear" w:color="auto" w:fill="auto"/>
            <w:hideMark/>
          </w:tcPr>
          <w:p w14:paraId="6B5757E4"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Colbún S.A.</w:t>
            </w:r>
          </w:p>
        </w:tc>
        <w:tc>
          <w:tcPr>
            <w:tcW w:w="1829" w:type="pct"/>
            <w:tcBorders>
              <w:top w:val="nil"/>
              <w:left w:val="nil"/>
              <w:bottom w:val="single" w:sz="8" w:space="0" w:color="auto"/>
              <w:right w:val="single" w:sz="8" w:space="0" w:color="auto"/>
            </w:tcBorders>
            <w:shd w:val="clear" w:color="auto" w:fill="auto"/>
            <w:hideMark/>
          </w:tcPr>
          <w:p w14:paraId="10D3B613"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Como ya mencionamos en la observación de correlativo "O2024-0029588", hemos identificado un error en un activo zonal en el sistema E, el cual pertenece a Colbún S.A. El activo corresponde al código Z_543 “</w:t>
            </w:r>
            <w:proofErr w:type="spellStart"/>
            <w:r w:rsidRPr="00277DF3">
              <w:rPr>
                <w:rFonts w:ascii="Calibri" w:eastAsia="Times New Roman" w:hAnsi="Calibri" w:cs="Calibri"/>
                <w:color w:val="000000"/>
                <w:sz w:val="20"/>
                <w:szCs w:val="20"/>
                <w:lang w:val="es-CL" w:eastAsia="es-CL"/>
              </w:rPr>
              <w:t>Colbun</w:t>
            </w:r>
            <w:proofErr w:type="spellEnd"/>
            <w:r w:rsidRPr="00277DF3">
              <w:rPr>
                <w:rFonts w:ascii="Calibri" w:eastAsia="Times New Roman" w:hAnsi="Calibri" w:cs="Calibri"/>
                <w:color w:val="000000"/>
                <w:sz w:val="20"/>
                <w:szCs w:val="20"/>
                <w:lang w:val="es-CL" w:eastAsia="es-CL"/>
              </w:rPr>
              <w:t xml:space="preserve"> </w:t>
            </w:r>
            <w:proofErr w:type="gramStart"/>
            <w:r w:rsidRPr="00277DF3">
              <w:rPr>
                <w:rFonts w:ascii="Calibri" w:eastAsia="Times New Roman" w:hAnsi="Calibri" w:cs="Calibri"/>
                <w:color w:val="000000"/>
                <w:sz w:val="20"/>
                <w:szCs w:val="20"/>
                <w:lang w:val="es-CL" w:eastAsia="es-CL"/>
              </w:rPr>
              <w:t>13.8-&gt;</w:t>
            </w:r>
            <w:proofErr w:type="spellStart"/>
            <w:proofErr w:type="gramEnd"/>
            <w:r w:rsidRPr="00277DF3">
              <w:rPr>
                <w:rFonts w:ascii="Calibri" w:eastAsia="Times New Roman" w:hAnsi="Calibri" w:cs="Calibri"/>
                <w:color w:val="000000"/>
                <w:sz w:val="20"/>
                <w:szCs w:val="20"/>
                <w:lang w:val="es-CL" w:eastAsia="es-CL"/>
              </w:rPr>
              <w:t>Colbun</w:t>
            </w:r>
            <w:proofErr w:type="spellEnd"/>
            <w:r w:rsidRPr="00277DF3">
              <w:rPr>
                <w:rFonts w:ascii="Calibri" w:eastAsia="Times New Roman" w:hAnsi="Calibri" w:cs="Calibri"/>
                <w:color w:val="000000"/>
                <w:sz w:val="20"/>
                <w:szCs w:val="20"/>
                <w:lang w:val="es-CL" w:eastAsia="es-CL"/>
              </w:rPr>
              <w:t xml:space="preserve"> 220”, el cual se refiere a un transformador de 10 MW 230/13,8 kV que actualmente suministra alimentadores de CGE. En la planilla “Saldos Transmisión Zonal y Dedicado D7T 2409” este activo figura adjudicado a ALFA_TRANSMISIÓN, sin embargo, debería estar asignado a COLBUN S.A, en </w:t>
            </w:r>
            <w:proofErr w:type="spellStart"/>
            <w:r w:rsidRPr="00277DF3">
              <w:rPr>
                <w:rFonts w:ascii="Calibri" w:eastAsia="Times New Roman" w:hAnsi="Calibri" w:cs="Calibri"/>
                <w:color w:val="000000"/>
                <w:sz w:val="20"/>
                <w:szCs w:val="20"/>
                <w:lang w:val="es-CL" w:eastAsia="es-CL"/>
              </w:rPr>
              <w:t>infotécnica</w:t>
            </w:r>
            <w:proofErr w:type="spellEnd"/>
            <w:r w:rsidRPr="00277DF3">
              <w:rPr>
                <w:rFonts w:ascii="Calibri" w:eastAsia="Times New Roman" w:hAnsi="Calibri" w:cs="Calibri"/>
                <w:color w:val="000000"/>
                <w:sz w:val="20"/>
                <w:szCs w:val="20"/>
                <w:lang w:val="es-CL" w:eastAsia="es-CL"/>
              </w:rPr>
              <w:t xml:space="preserve"> se puede encontrar el antecedente respecto del propietario del activo con el nemotécnico “TA01G0004SE003T0061”.</w:t>
            </w:r>
          </w:p>
        </w:tc>
        <w:tc>
          <w:tcPr>
            <w:tcW w:w="983" w:type="pct"/>
            <w:tcBorders>
              <w:top w:val="nil"/>
              <w:left w:val="nil"/>
              <w:bottom w:val="single" w:sz="8" w:space="0" w:color="auto"/>
              <w:right w:val="single" w:sz="8" w:space="0" w:color="auto"/>
            </w:tcBorders>
            <w:shd w:val="clear" w:color="auto" w:fill="auto"/>
            <w:hideMark/>
          </w:tcPr>
          <w:p w14:paraId="24FCAE47"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Solicitamos asignar a COLBUN S.A todo el VATT correspondiente al transformador mencionado.</w:t>
            </w:r>
          </w:p>
        </w:tc>
        <w:tc>
          <w:tcPr>
            <w:tcW w:w="959" w:type="pct"/>
            <w:tcBorders>
              <w:top w:val="nil"/>
              <w:left w:val="nil"/>
              <w:bottom w:val="single" w:sz="8" w:space="0" w:color="auto"/>
              <w:right w:val="single" w:sz="8" w:space="0" w:color="auto"/>
            </w:tcBorders>
            <w:shd w:val="clear" w:color="auto" w:fill="auto"/>
            <w:hideMark/>
          </w:tcPr>
          <w:p w14:paraId="1D31CF5E" w14:textId="57551727" w:rsidR="00277DF3" w:rsidRDefault="00A63DBF"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La empresa Alfa Transmisora ante nuestra consulta por la propiedad del transformador nos ha respondido que efectivamente es de propiedad de Colbún S.A.</w:t>
            </w:r>
          </w:p>
          <w:p w14:paraId="11E92930" w14:textId="77777777" w:rsidR="00A63DBF" w:rsidRDefault="00A63DBF" w:rsidP="00AD4960">
            <w:pPr>
              <w:rPr>
                <w:rFonts w:ascii="Calibri" w:eastAsia="Times New Roman" w:hAnsi="Calibri" w:cs="Calibri"/>
                <w:color w:val="000000"/>
                <w:sz w:val="20"/>
                <w:szCs w:val="20"/>
                <w:lang w:val="es-CL" w:eastAsia="es-CL"/>
              </w:rPr>
            </w:pPr>
          </w:p>
          <w:p w14:paraId="0CB69630" w14:textId="15E0EB10" w:rsidR="00A63DBF" w:rsidRPr="00277DF3" w:rsidRDefault="00A63DBF"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Por tanto se acoge observación.</w:t>
            </w:r>
          </w:p>
        </w:tc>
        <w:tc>
          <w:tcPr>
            <w:tcW w:w="430" w:type="pct"/>
            <w:tcBorders>
              <w:top w:val="nil"/>
              <w:left w:val="nil"/>
              <w:bottom w:val="single" w:sz="8" w:space="0" w:color="auto"/>
              <w:right w:val="single" w:sz="8" w:space="0" w:color="auto"/>
            </w:tcBorders>
            <w:shd w:val="clear" w:color="auto" w:fill="auto"/>
            <w:hideMark/>
          </w:tcPr>
          <w:p w14:paraId="53AC7259" w14:textId="0B5E2364"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A63DBF">
              <w:rPr>
                <w:rFonts w:ascii="Calibri" w:eastAsia="Times New Roman" w:hAnsi="Calibri" w:cs="Calibri"/>
                <w:color w:val="000000"/>
                <w:sz w:val="20"/>
                <w:szCs w:val="20"/>
                <w:lang w:val="es-CL" w:eastAsia="es-CL"/>
              </w:rPr>
              <w:t>Acogida</w:t>
            </w:r>
          </w:p>
        </w:tc>
      </w:tr>
      <w:tr w:rsidR="00A87C18" w:rsidRPr="00277DF3" w14:paraId="550553F1" w14:textId="77777777" w:rsidTr="0042745E">
        <w:trPr>
          <w:trHeight w:val="780"/>
        </w:trPr>
        <w:tc>
          <w:tcPr>
            <w:tcW w:w="348" w:type="pct"/>
            <w:tcBorders>
              <w:top w:val="nil"/>
              <w:left w:val="single" w:sz="8" w:space="0" w:color="auto"/>
              <w:bottom w:val="single" w:sz="8" w:space="0" w:color="auto"/>
              <w:right w:val="single" w:sz="8" w:space="0" w:color="auto"/>
            </w:tcBorders>
            <w:shd w:val="clear" w:color="auto" w:fill="auto"/>
            <w:noWrap/>
            <w:hideMark/>
          </w:tcPr>
          <w:p w14:paraId="68742E13"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O2024-0030093</w:t>
            </w:r>
          </w:p>
        </w:tc>
        <w:tc>
          <w:tcPr>
            <w:tcW w:w="451" w:type="pct"/>
            <w:tcBorders>
              <w:top w:val="nil"/>
              <w:left w:val="nil"/>
              <w:bottom w:val="single" w:sz="8" w:space="0" w:color="auto"/>
              <w:right w:val="single" w:sz="8" w:space="0" w:color="auto"/>
            </w:tcBorders>
            <w:shd w:val="clear" w:color="auto" w:fill="auto"/>
            <w:hideMark/>
          </w:tcPr>
          <w:p w14:paraId="4C1883F1"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CGE Transmisión S.A.</w:t>
            </w:r>
          </w:p>
        </w:tc>
        <w:tc>
          <w:tcPr>
            <w:tcW w:w="1829" w:type="pct"/>
            <w:tcBorders>
              <w:top w:val="nil"/>
              <w:left w:val="nil"/>
              <w:bottom w:val="single" w:sz="8" w:space="0" w:color="auto"/>
              <w:right w:val="single" w:sz="8" w:space="0" w:color="auto"/>
            </w:tcBorders>
            <w:shd w:val="clear" w:color="auto" w:fill="auto"/>
            <w:hideMark/>
          </w:tcPr>
          <w:p w14:paraId="638A83C0"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Tras revisar el archivo “Prorratas-Of.CNE-N°642-2024.xlsx”, se observa que falta la inclusión de proyectos que entraron en operación antes de diciembre de 2021 y que no corresponden a obras nuevas de expansión.</w:t>
            </w:r>
          </w:p>
        </w:tc>
        <w:tc>
          <w:tcPr>
            <w:tcW w:w="983" w:type="pct"/>
            <w:tcBorders>
              <w:top w:val="nil"/>
              <w:left w:val="nil"/>
              <w:bottom w:val="single" w:sz="8" w:space="0" w:color="auto"/>
              <w:right w:val="single" w:sz="8" w:space="0" w:color="auto"/>
            </w:tcBorders>
            <w:shd w:val="clear" w:color="auto" w:fill="auto"/>
            <w:hideMark/>
          </w:tcPr>
          <w:p w14:paraId="53ED365D"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Se solicita incluir los proyectos detallados en archivo adjunto para el cálculo de las prorratas del estudio de transmisión zonal, pues estos se encontraban en operación al 31 de diciembre 2021 y no corresponden a obras nuevas de expansión.</w:t>
            </w:r>
          </w:p>
        </w:tc>
        <w:tc>
          <w:tcPr>
            <w:tcW w:w="959" w:type="pct"/>
            <w:tcBorders>
              <w:top w:val="nil"/>
              <w:left w:val="nil"/>
              <w:bottom w:val="single" w:sz="8" w:space="0" w:color="auto"/>
              <w:right w:val="single" w:sz="8" w:space="0" w:color="auto"/>
            </w:tcBorders>
            <w:shd w:val="clear" w:color="auto" w:fill="auto"/>
            <w:hideMark/>
          </w:tcPr>
          <w:p w14:paraId="05DD0525" w14:textId="77777777" w:rsidR="00277DF3" w:rsidRDefault="005F5B43"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Las obras que se detallan en archivo adjunto tienen valorización provisoria</w:t>
            </w:r>
            <w:r w:rsidR="0061330B">
              <w:rPr>
                <w:rFonts w:ascii="Calibri" w:eastAsia="Times New Roman" w:hAnsi="Calibri" w:cs="Calibri"/>
                <w:color w:val="000000"/>
                <w:sz w:val="20"/>
                <w:szCs w:val="20"/>
                <w:lang w:val="es-CL" w:eastAsia="es-CL"/>
              </w:rPr>
              <w:t>,</w:t>
            </w:r>
            <w:r>
              <w:rPr>
                <w:rFonts w:ascii="Calibri" w:eastAsia="Times New Roman" w:hAnsi="Calibri" w:cs="Calibri"/>
                <w:color w:val="000000"/>
                <w:sz w:val="20"/>
                <w:szCs w:val="20"/>
                <w:lang w:val="es-CL" w:eastAsia="es-CL"/>
              </w:rPr>
              <w:t xml:space="preserve"> por tanto no </w:t>
            </w:r>
            <w:r w:rsidR="0061330B">
              <w:rPr>
                <w:rFonts w:ascii="Calibri" w:eastAsia="Times New Roman" w:hAnsi="Calibri" w:cs="Calibri"/>
                <w:color w:val="000000"/>
                <w:sz w:val="20"/>
                <w:szCs w:val="20"/>
                <w:lang w:val="es-CL" w:eastAsia="es-CL"/>
              </w:rPr>
              <w:t>deben ser consideradas para efectos del cálculo de la prorrata de pago según se indica en artículo 110 del Reglamento de Transmisión.</w:t>
            </w:r>
          </w:p>
          <w:p w14:paraId="2A4C8461" w14:textId="77777777" w:rsidR="0061330B" w:rsidRDefault="0061330B" w:rsidP="00AD4960">
            <w:pPr>
              <w:rPr>
                <w:rFonts w:ascii="Calibri" w:eastAsia="Times New Roman" w:hAnsi="Calibri" w:cs="Calibri"/>
                <w:color w:val="000000"/>
                <w:sz w:val="20"/>
                <w:szCs w:val="20"/>
                <w:lang w:val="es-CL" w:eastAsia="es-CL"/>
              </w:rPr>
            </w:pPr>
          </w:p>
          <w:p w14:paraId="4E4B70EA" w14:textId="57AD6D71" w:rsidR="0061330B" w:rsidRPr="00277DF3" w:rsidRDefault="0061330B"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Por tanto no se acoge observación.</w:t>
            </w:r>
          </w:p>
        </w:tc>
        <w:tc>
          <w:tcPr>
            <w:tcW w:w="430" w:type="pct"/>
            <w:tcBorders>
              <w:top w:val="nil"/>
              <w:left w:val="nil"/>
              <w:bottom w:val="single" w:sz="8" w:space="0" w:color="auto"/>
              <w:right w:val="single" w:sz="8" w:space="0" w:color="auto"/>
            </w:tcBorders>
            <w:shd w:val="clear" w:color="auto" w:fill="auto"/>
            <w:hideMark/>
          </w:tcPr>
          <w:p w14:paraId="3F37A6C3" w14:textId="6218E6B6"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61330B">
              <w:rPr>
                <w:rFonts w:ascii="Calibri" w:eastAsia="Times New Roman" w:hAnsi="Calibri" w:cs="Calibri"/>
                <w:color w:val="000000"/>
                <w:sz w:val="20"/>
                <w:szCs w:val="20"/>
                <w:lang w:val="es-CL" w:eastAsia="es-CL"/>
              </w:rPr>
              <w:t>No acogida</w:t>
            </w:r>
          </w:p>
        </w:tc>
      </w:tr>
      <w:tr w:rsidR="00A87C18" w:rsidRPr="00277DF3" w14:paraId="58CDF8C0" w14:textId="77777777" w:rsidTr="0042745E">
        <w:trPr>
          <w:trHeight w:val="525"/>
        </w:trPr>
        <w:tc>
          <w:tcPr>
            <w:tcW w:w="348" w:type="pct"/>
            <w:tcBorders>
              <w:top w:val="nil"/>
              <w:left w:val="single" w:sz="8" w:space="0" w:color="auto"/>
              <w:bottom w:val="single" w:sz="8" w:space="0" w:color="auto"/>
              <w:right w:val="single" w:sz="8" w:space="0" w:color="auto"/>
            </w:tcBorders>
            <w:shd w:val="clear" w:color="auto" w:fill="auto"/>
            <w:noWrap/>
            <w:hideMark/>
          </w:tcPr>
          <w:p w14:paraId="48721ADE"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lastRenderedPageBreak/>
              <w:t>O2024-0030090</w:t>
            </w:r>
          </w:p>
        </w:tc>
        <w:tc>
          <w:tcPr>
            <w:tcW w:w="451" w:type="pct"/>
            <w:tcBorders>
              <w:top w:val="nil"/>
              <w:left w:val="nil"/>
              <w:bottom w:val="single" w:sz="8" w:space="0" w:color="auto"/>
              <w:right w:val="single" w:sz="8" w:space="0" w:color="auto"/>
            </w:tcBorders>
            <w:shd w:val="clear" w:color="auto" w:fill="auto"/>
            <w:hideMark/>
          </w:tcPr>
          <w:p w14:paraId="5C7D9A14" w14:textId="77777777" w:rsidR="00277DF3" w:rsidRPr="00277DF3" w:rsidRDefault="00277DF3" w:rsidP="00277DF3">
            <w:pPr>
              <w:rPr>
                <w:rFonts w:ascii="Calibri" w:eastAsia="Times New Roman" w:hAnsi="Calibri" w:cs="Calibri"/>
                <w:color w:val="000000"/>
                <w:sz w:val="20"/>
                <w:szCs w:val="20"/>
                <w:lang w:val="es-CL" w:eastAsia="es-CL"/>
              </w:rPr>
            </w:pPr>
            <w:proofErr w:type="spellStart"/>
            <w:r w:rsidRPr="00277DF3">
              <w:rPr>
                <w:rFonts w:ascii="Calibri" w:eastAsia="Times New Roman" w:hAnsi="Calibri" w:cs="Calibri"/>
                <w:color w:val="000000"/>
                <w:sz w:val="20"/>
                <w:szCs w:val="20"/>
                <w:lang w:val="es-CL" w:eastAsia="es-CL"/>
              </w:rPr>
              <w:t>Interchile</w:t>
            </w:r>
            <w:proofErr w:type="spellEnd"/>
            <w:r w:rsidRPr="00277DF3">
              <w:rPr>
                <w:rFonts w:ascii="Calibri" w:eastAsia="Times New Roman" w:hAnsi="Calibri" w:cs="Calibri"/>
                <w:color w:val="000000"/>
                <w:sz w:val="20"/>
                <w:szCs w:val="20"/>
                <w:lang w:val="es-CL" w:eastAsia="es-CL"/>
              </w:rPr>
              <w:t xml:space="preserve"> S.A.</w:t>
            </w:r>
          </w:p>
        </w:tc>
        <w:tc>
          <w:tcPr>
            <w:tcW w:w="1829" w:type="pct"/>
            <w:tcBorders>
              <w:top w:val="nil"/>
              <w:left w:val="nil"/>
              <w:bottom w:val="single" w:sz="8" w:space="0" w:color="auto"/>
              <w:right w:val="single" w:sz="8" w:space="0" w:color="auto"/>
            </w:tcBorders>
            <w:shd w:val="clear" w:color="auto" w:fill="auto"/>
            <w:hideMark/>
          </w:tcPr>
          <w:p w14:paraId="598CCC87" w14:textId="00960021"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Se solicita incorpora la obra “Compensación reactiva en línea 2x500 kV Nueva Pan de Azúcar”, que corresponde a una obra de ampliación con entrada en operación el 3 de </w:t>
            </w:r>
            <w:proofErr w:type="gramStart"/>
            <w:r w:rsidRPr="00277DF3">
              <w:rPr>
                <w:rFonts w:ascii="Calibri" w:eastAsia="Times New Roman" w:hAnsi="Calibri" w:cs="Calibri"/>
                <w:color w:val="000000"/>
                <w:sz w:val="20"/>
                <w:szCs w:val="20"/>
                <w:lang w:val="es-CL" w:eastAsia="es-CL"/>
              </w:rPr>
              <w:t>Agosto</w:t>
            </w:r>
            <w:proofErr w:type="gramEnd"/>
            <w:r w:rsidRPr="00277DF3">
              <w:rPr>
                <w:rFonts w:ascii="Calibri" w:eastAsia="Times New Roman" w:hAnsi="Calibri" w:cs="Calibri"/>
                <w:color w:val="000000"/>
                <w:sz w:val="20"/>
                <w:szCs w:val="20"/>
                <w:lang w:val="es-CL" w:eastAsia="es-CL"/>
              </w:rPr>
              <w:t xml:space="preserve"> de 2021 y un VATT a septiembre de 2021 de 6.812,663 [miles de US$].</w:t>
            </w:r>
          </w:p>
        </w:tc>
        <w:tc>
          <w:tcPr>
            <w:tcW w:w="983" w:type="pct"/>
            <w:tcBorders>
              <w:top w:val="nil"/>
              <w:left w:val="nil"/>
              <w:bottom w:val="single" w:sz="8" w:space="0" w:color="auto"/>
              <w:right w:val="single" w:sz="8" w:space="0" w:color="auto"/>
            </w:tcBorders>
            <w:shd w:val="clear" w:color="auto" w:fill="auto"/>
            <w:hideMark/>
          </w:tcPr>
          <w:p w14:paraId="098F3A07"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Incluir la obra señalada para efectos del cálculo de la prorrata</w:t>
            </w:r>
          </w:p>
        </w:tc>
        <w:tc>
          <w:tcPr>
            <w:tcW w:w="959" w:type="pct"/>
            <w:tcBorders>
              <w:top w:val="nil"/>
              <w:left w:val="nil"/>
              <w:bottom w:val="single" w:sz="8" w:space="0" w:color="auto"/>
              <w:right w:val="single" w:sz="8" w:space="0" w:color="auto"/>
            </w:tcBorders>
            <w:shd w:val="clear" w:color="auto" w:fill="auto"/>
            <w:hideMark/>
          </w:tcPr>
          <w:p w14:paraId="56B1CFFF" w14:textId="75EC2E18"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085429" w:rsidRPr="00277DF3">
              <w:rPr>
                <w:rFonts w:ascii="Calibri" w:eastAsia="Times New Roman" w:hAnsi="Calibri" w:cs="Calibri"/>
                <w:color w:val="000000"/>
                <w:sz w:val="20"/>
                <w:szCs w:val="20"/>
                <w:lang w:val="es-CL" w:eastAsia="es-CL"/>
              </w:rPr>
              <w:t> </w:t>
            </w:r>
            <w:r w:rsidR="00085429">
              <w:rPr>
                <w:rFonts w:ascii="Calibri" w:eastAsia="Times New Roman" w:hAnsi="Calibri" w:cs="Calibri"/>
                <w:color w:val="000000"/>
                <w:sz w:val="20"/>
                <w:szCs w:val="20"/>
                <w:lang w:val="es-CL" w:eastAsia="es-CL"/>
              </w:rPr>
              <w:t>Se acoge observación.</w:t>
            </w:r>
          </w:p>
        </w:tc>
        <w:tc>
          <w:tcPr>
            <w:tcW w:w="430" w:type="pct"/>
            <w:tcBorders>
              <w:top w:val="nil"/>
              <w:left w:val="nil"/>
              <w:bottom w:val="single" w:sz="8" w:space="0" w:color="auto"/>
              <w:right w:val="single" w:sz="8" w:space="0" w:color="auto"/>
            </w:tcBorders>
            <w:shd w:val="clear" w:color="auto" w:fill="auto"/>
            <w:hideMark/>
          </w:tcPr>
          <w:p w14:paraId="7E853EFA" w14:textId="2E476A24"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085429">
              <w:rPr>
                <w:rFonts w:ascii="Calibri" w:eastAsia="Times New Roman" w:hAnsi="Calibri" w:cs="Calibri"/>
                <w:color w:val="000000"/>
                <w:sz w:val="20"/>
                <w:szCs w:val="20"/>
                <w:lang w:val="es-CL" w:eastAsia="es-CL"/>
              </w:rPr>
              <w:t>Acogida</w:t>
            </w:r>
          </w:p>
        </w:tc>
      </w:tr>
      <w:tr w:rsidR="00A87C18" w:rsidRPr="00277DF3" w14:paraId="6B6B316B" w14:textId="77777777" w:rsidTr="0042745E">
        <w:trPr>
          <w:trHeight w:val="780"/>
        </w:trPr>
        <w:tc>
          <w:tcPr>
            <w:tcW w:w="348" w:type="pct"/>
            <w:tcBorders>
              <w:top w:val="nil"/>
              <w:left w:val="single" w:sz="8" w:space="0" w:color="auto"/>
              <w:bottom w:val="single" w:sz="8" w:space="0" w:color="auto"/>
              <w:right w:val="single" w:sz="8" w:space="0" w:color="auto"/>
            </w:tcBorders>
            <w:shd w:val="clear" w:color="auto" w:fill="auto"/>
            <w:noWrap/>
            <w:hideMark/>
          </w:tcPr>
          <w:p w14:paraId="70CCC85F"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O2024-0030089</w:t>
            </w:r>
          </w:p>
        </w:tc>
        <w:tc>
          <w:tcPr>
            <w:tcW w:w="451" w:type="pct"/>
            <w:tcBorders>
              <w:top w:val="nil"/>
              <w:left w:val="nil"/>
              <w:bottom w:val="single" w:sz="8" w:space="0" w:color="auto"/>
              <w:right w:val="single" w:sz="8" w:space="0" w:color="auto"/>
            </w:tcBorders>
            <w:shd w:val="clear" w:color="auto" w:fill="auto"/>
            <w:hideMark/>
          </w:tcPr>
          <w:p w14:paraId="7B2FD08E" w14:textId="77777777" w:rsidR="00277DF3" w:rsidRPr="00277DF3" w:rsidRDefault="00277DF3" w:rsidP="00277DF3">
            <w:pPr>
              <w:rPr>
                <w:rFonts w:ascii="Calibri" w:eastAsia="Times New Roman" w:hAnsi="Calibri" w:cs="Calibri"/>
                <w:color w:val="000000"/>
                <w:sz w:val="20"/>
                <w:szCs w:val="20"/>
                <w:lang w:val="es-CL" w:eastAsia="es-CL"/>
              </w:rPr>
            </w:pPr>
            <w:proofErr w:type="spellStart"/>
            <w:r w:rsidRPr="00277DF3">
              <w:rPr>
                <w:rFonts w:ascii="Calibri" w:eastAsia="Times New Roman" w:hAnsi="Calibri" w:cs="Calibri"/>
                <w:color w:val="000000"/>
                <w:sz w:val="20"/>
                <w:szCs w:val="20"/>
                <w:lang w:val="es-CL" w:eastAsia="es-CL"/>
              </w:rPr>
              <w:t>Interchile</w:t>
            </w:r>
            <w:proofErr w:type="spellEnd"/>
            <w:r w:rsidRPr="00277DF3">
              <w:rPr>
                <w:rFonts w:ascii="Calibri" w:eastAsia="Times New Roman" w:hAnsi="Calibri" w:cs="Calibri"/>
                <w:color w:val="000000"/>
                <w:sz w:val="20"/>
                <w:szCs w:val="20"/>
                <w:lang w:val="es-CL" w:eastAsia="es-CL"/>
              </w:rPr>
              <w:t xml:space="preserve"> S.A.</w:t>
            </w:r>
          </w:p>
        </w:tc>
        <w:tc>
          <w:tcPr>
            <w:tcW w:w="1829" w:type="pct"/>
            <w:tcBorders>
              <w:top w:val="nil"/>
              <w:left w:val="nil"/>
              <w:bottom w:val="single" w:sz="8" w:space="0" w:color="auto"/>
              <w:right w:val="single" w:sz="8" w:space="0" w:color="auto"/>
            </w:tcBorders>
            <w:shd w:val="clear" w:color="auto" w:fill="auto"/>
            <w:hideMark/>
          </w:tcPr>
          <w:p w14:paraId="7460D517"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Se solicita confirma que la obra “Ampliación S/E Nueva Maitencillo 220 kV” cuya entrada en operación se produjo en 15 de diciembre de 2021 y que, por tanto, debe ser considerada en el estudio de valorización 2024-2027, no debe considerarse para efectos del cálculo de la prorrata, pues no tenía VATT fijado a septiembre de 2021.</w:t>
            </w:r>
          </w:p>
        </w:tc>
        <w:tc>
          <w:tcPr>
            <w:tcW w:w="983" w:type="pct"/>
            <w:tcBorders>
              <w:top w:val="nil"/>
              <w:left w:val="nil"/>
              <w:bottom w:val="single" w:sz="8" w:space="0" w:color="auto"/>
              <w:right w:val="single" w:sz="8" w:space="0" w:color="auto"/>
            </w:tcBorders>
            <w:shd w:val="clear" w:color="auto" w:fill="auto"/>
            <w:hideMark/>
          </w:tcPr>
          <w:p w14:paraId="41DBB6C9"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Confirmar o aclarar lo señalado.</w:t>
            </w:r>
          </w:p>
        </w:tc>
        <w:tc>
          <w:tcPr>
            <w:tcW w:w="959" w:type="pct"/>
            <w:tcBorders>
              <w:top w:val="nil"/>
              <w:left w:val="nil"/>
              <w:bottom w:val="single" w:sz="8" w:space="0" w:color="auto"/>
              <w:right w:val="single" w:sz="8" w:space="0" w:color="auto"/>
            </w:tcBorders>
            <w:shd w:val="clear" w:color="auto" w:fill="auto"/>
            <w:hideMark/>
          </w:tcPr>
          <w:p w14:paraId="2500185C" w14:textId="0935F3ED" w:rsidR="00277DF3" w:rsidRPr="00277DF3" w:rsidRDefault="00085429"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 xml:space="preserve">Efectivamente, la obra en cuestión no será considerada para el cálculo de la prorrata ya que entró en operación el </w:t>
            </w:r>
            <w:r w:rsidR="00330CA9">
              <w:rPr>
                <w:rFonts w:ascii="Calibri" w:eastAsia="Times New Roman" w:hAnsi="Calibri" w:cs="Calibri"/>
                <w:color w:val="000000"/>
                <w:sz w:val="20"/>
                <w:szCs w:val="20"/>
                <w:lang w:val="es-CL" w:eastAsia="es-CL"/>
              </w:rPr>
              <w:t>15 de diciembre de 2021</w:t>
            </w:r>
            <w:r w:rsidR="00275917">
              <w:rPr>
                <w:rFonts w:ascii="Calibri" w:eastAsia="Times New Roman" w:hAnsi="Calibri" w:cs="Calibri"/>
                <w:color w:val="000000"/>
                <w:sz w:val="20"/>
                <w:szCs w:val="20"/>
                <w:lang w:val="es-CL" w:eastAsia="es-CL"/>
              </w:rPr>
              <w:t xml:space="preserve"> y por tanto a septiembre 2021 no tenía VATT.</w:t>
            </w:r>
          </w:p>
        </w:tc>
        <w:tc>
          <w:tcPr>
            <w:tcW w:w="430" w:type="pct"/>
            <w:tcBorders>
              <w:top w:val="nil"/>
              <w:left w:val="nil"/>
              <w:bottom w:val="single" w:sz="8" w:space="0" w:color="auto"/>
              <w:right w:val="single" w:sz="8" w:space="0" w:color="auto"/>
            </w:tcBorders>
            <w:shd w:val="clear" w:color="auto" w:fill="auto"/>
            <w:hideMark/>
          </w:tcPr>
          <w:p w14:paraId="0FB34503" w14:textId="7D4E979C"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275917">
              <w:rPr>
                <w:rFonts w:ascii="Calibri" w:eastAsia="Times New Roman" w:hAnsi="Calibri" w:cs="Calibri"/>
                <w:color w:val="000000"/>
                <w:sz w:val="20"/>
                <w:szCs w:val="20"/>
                <w:lang w:val="es-CL" w:eastAsia="es-CL"/>
              </w:rPr>
              <w:t>Acogida</w:t>
            </w:r>
          </w:p>
        </w:tc>
      </w:tr>
      <w:tr w:rsidR="00A87C18" w:rsidRPr="00277DF3" w14:paraId="365C17AF" w14:textId="77777777" w:rsidTr="0042745E">
        <w:trPr>
          <w:trHeight w:val="780"/>
        </w:trPr>
        <w:tc>
          <w:tcPr>
            <w:tcW w:w="348" w:type="pct"/>
            <w:tcBorders>
              <w:top w:val="nil"/>
              <w:left w:val="single" w:sz="8" w:space="0" w:color="auto"/>
              <w:bottom w:val="single" w:sz="8" w:space="0" w:color="auto"/>
              <w:right w:val="single" w:sz="8" w:space="0" w:color="auto"/>
            </w:tcBorders>
            <w:shd w:val="clear" w:color="auto" w:fill="auto"/>
            <w:noWrap/>
            <w:hideMark/>
          </w:tcPr>
          <w:p w14:paraId="0A53D1F5"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O2024-0030088</w:t>
            </w:r>
          </w:p>
        </w:tc>
        <w:tc>
          <w:tcPr>
            <w:tcW w:w="451" w:type="pct"/>
            <w:tcBorders>
              <w:top w:val="nil"/>
              <w:left w:val="nil"/>
              <w:bottom w:val="single" w:sz="8" w:space="0" w:color="auto"/>
              <w:right w:val="single" w:sz="8" w:space="0" w:color="auto"/>
            </w:tcBorders>
            <w:shd w:val="clear" w:color="auto" w:fill="auto"/>
            <w:hideMark/>
          </w:tcPr>
          <w:p w14:paraId="4CAA4FB0"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La Higuera Transmisión S.A.</w:t>
            </w:r>
          </w:p>
        </w:tc>
        <w:tc>
          <w:tcPr>
            <w:tcW w:w="1829" w:type="pct"/>
            <w:tcBorders>
              <w:top w:val="nil"/>
              <w:left w:val="nil"/>
              <w:bottom w:val="single" w:sz="8" w:space="0" w:color="auto"/>
              <w:right w:val="single" w:sz="8" w:space="0" w:color="auto"/>
            </w:tcBorders>
            <w:shd w:val="clear" w:color="auto" w:fill="auto"/>
            <w:hideMark/>
          </w:tcPr>
          <w:p w14:paraId="3CBFE8CE"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En la carta DE 06011-24, con fecha 13 de noviembre de 2024. En la que se solicita revisión de instalaciones para prorratas de pago de Estudios de Valorización de las Instalaciones de los Sistemas de Transmisión periodo 2024 - 2027. No se considera el tramo ESTRUCTURA 43 - TINGUIRIRICA 220 kV, propiedad de La Higuera Transmisión.</w:t>
            </w:r>
          </w:p>
        </w:tc>
        <w:tc>
          <w:tcPr>
            <w:tcW w:w="983" w:type="pct"/>
            <w:tcBorders>
              <w:top w:val="nil"/>
              <w:left w:val="nil"/>
              <w:bottom w:val="single" w:sz="8" w:space="0" w:color="auto"/>
              <w:right w:val="single" w:sz="8" w:space="0" w:color="auto"/>
            </w:tcBorders>
            <w:shd w:val="clear" w:color="auto" w:fill="auto"/>
            <w:hideMark/>
          </w:tcPr>
          <w:p w14:paraId="295306D2" w14:textId="77777777"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Favor hacer la corrección pertinente.</w:t>
            </w:r>
          </w:p>
        </w:tc>
        <w:tc>
          <w:tcPr>
            <w:tcW w:w="959" w:type="pct"/>
            <w:tcBorders>
              <w:top w:val="nil"/>
              <w:left w:val="nil"/>
              <w:bottom w:val="single" w:sz="8" w:space="0" w:color="auto"/>
              <w:right w:val="single" w:sz="8" w:space="0" w:color="auto"/>
            </w:tcBorders>
            <w:shd w:val="clear" w:color="auto" w:fill="auto"/>
            <w:hideMark/>
          </w:tcPr>
          <w:p w14:paraId="713973E9" w14:textId="53F0CF3F" w:rsidR="00277DF3" w:rsidRPr="00277DF3" w:rsidRDefault="00A67298"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 xml:space="preserve">La obra indicada corresponde al </w:t>
            </w:r>
            <w:r w:rsidRPr="00A67298">
              <w:rPr>
                <w:rFonts w:ascii="Calibri" w:eastAsia="Times New Roman" w:hAnsi="Calibri" w:cs="Calibri"/>
                <w:color w:val="000000"/>
                <w:sz w:val="20"/>
                <w:szCs w:val="20"/>
                <w:lang w:val="es-CL" w:eastAsia="es-CL"/>
              </w:rPr>
              <w:t>tramo “N_114_P_696_L_CUT_Art52</w:t>
            </w:r>
            <w:r>
              <w:rPr>
                <w:rFonts w:ascii="Calibri" w:eastAsia="Times New Roman" w:hAnsi="Calibri" w:cs="Calibri"/>
                <w:color w:val="000000"/>
                <w:sz w:val="20"/>
                <w:szCs w:val="20"/>
                <w:lang w:val="es-CL" w:eastAsia="es-CL"/>
              </w:rPr>
              <w:t xml:space="preserve">” y si está siendo considerada para el cálculo de la </w:t>
            </w:r>
            <w:proofErr w:type="gramStart"/>
            <w:r>
              <w:rPr>
                <w:rFonts w:ascii="Calibri" w:eastAsia="Times New Roman" w:hAnsi="Calibri" w:cs="Calibri"/>
                <w:color w:val="000000"/>
                <w:sz w:val="20"/>
                <w:szCs w:val="20"/>
                <w:lang w:val="es-CL" w:eastAsia="es-CL"/>
              </w:rPr>
              <w:t>prorrata</w:t>
            </w:r>
            <w:proofErr w:type="gramEnd"/>
            <w:r>
              <w:rPr>
                <w:rFonts w:ascii="Calibri" w:eastAsia="Times New Roman" w:hAnsi="Calibri" w:cs="Calibri"/>
                <w:color w:val="000000"/>
                <w:sz w:val="20"/>
                <w:szCs w:val="20"/>
                <w:lang w:val="es-CL" w:eastAsia="es-CL"/>
              </w:rPr>
              <w:t xml:space="preserve"> pero </w:t>
            </w:r>
            <w:r w:rsidRPr="00A67298">
              <w:rPr>
                <w:rFonts w:ascii="Calibri" w:eastAsia="Times New Roman" w:hAnsi="Calibri" w:cs="Calibri"/>
                <w:color w:val="000000"/>
                <w:sz w:val="20"/>
                <w:szCs w:val="20"/>
                <w:lang w:val="es-CL" w:eastAsia="es-CL"/>
              </w:rPr>
              <w:t>tiene entrada en operación el 19</w:t>
            </w:r>
            <w:r w:rsidR="00BA2BAD">
              <w:rPr>
                <w:rFonts w:ascii="Calibri" w:eastAsia="Times New Roman" w:hAnsi="Calibri" w:cs="Calibri"/>
                <w:color w:val="000000"/>
                <w:sz w:val="20"/>
                <w:szCs w:val="20"/>
                <w:lang w:val="es-CL" w:eastAsia="es-CL"/>
              </w:rPr>
              <w:t xml:space="preserve"> de octubre de </w:t>
            </w:r>
            <w:r w:rsidRPr="00A67298">
              <w:rPr>
                <w:rFonts w:ascii="Calibri" w:eastAsia="Times New Roman" w:hAnsi="Calibri" w:cs="Calibri"/>
                <w:color w:val="000000"/>
                <w:sz w:val="20"/>
                <w:szCs w:val="20"/>
                <w:lang w:val="es-CL" w:eastAsia="es-CL"/>
              </w:rPr>
              <w:t>2021 por lo que aparece con valorización cero</w:t>
            </w:r>
            <w:r w:rsidR="00BA2BAD">
              <w:rPr>
                <w:rFonts w:ascii="Calibri" w:eastAsia="Times New Roman" w:hAnsi="Calibri" w:cs="Calibri"/>
                <w:color w:val="000000"/>
                <w:sz w:val="20"/>
                <w:szCs w:val="20"/>
                <w:lang w:val="es-CL" w:eastAsia="es-CL"/>
              </w:rPr>
              <w:t>.</w:t>
            </w:r>
          </w:p>
        </w:tc>
        <w:tc>
          <w:tcPr>
            <w:tcW w:w="430" w:type="pct"/>
            <w:tcBorders>
              <w:top w:val="nil"/>
              <w:left w:val="nil"/>
              <w:bottom w:val="single" w:sz="8" w:space="0" w:color="auto"/>
              <w:right w:val="single" w:sz="8" w:space="0" w:color="auto"/>
            </w:tcBorders>
            <w:shd w:val="clear" w:color="auto" w:fill="auto"/>
            <w:hideMark/>
          </w:tcPr>
          <w:p w14:paraId="4420B8BE" w14:textId="232D9B0E" w:rsidR="00277DF3" w:rsidRPr="00277DF3" w:rsidRDefault="00BA2BAD"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No acogida</w:t>
            </w:r>
          </w:p>
        </w:tc>
      </w:tr>
      <w:tr w:rsidR="00A87C18" w:rsidRPr="00277DF3" w14:paraId="0492B7F7" w14:textId="77777777" w:rsidTr="0042745E">
        <w:trPr>
          <w:trHeight w:val="780"/>
        </w:trPr>
        <w:tc>
          <w:tcPr>
            <w:tcW w:w="348" w:type="pct"/>
            <w:tcBorders>
              <w:top w:val="nil"/>
              <w:left w:val="single" w:sz="8" w:space="0" w:color="auto"/>
              <w:bottom w:val="single" w:sz="8" w:space="0" w:color="auto"/>
              <w:right w:val="single" w:sz="8" w:space="0" w:color="auto"/>
            </w:tcBorders>
            <w:shd w:val="clear" w:color="auto" w:fill="auto"/>
            <w:noWrap/>
            <w:hideMark/>
          </w:tcPr>
          <w:p w14:paraId="06055311" w14:textId="77777777" w:rsidR="00277DF3" w:rsidRPr="00277DF3" w:rsidRDefault="00277DF3" w:rsidP="00277DF3">
            <w:pPr>
              <w:jc w:val="cente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O2024-0030086</w:t>
            </w:r>
          </w:p>
        </w:tc>
        <w:tc>
          <w:tcPr>
            <w:tcW w:w="451" w:type="pct"/>
            <w:tcBorders>
              <w:top w:val="nil"/>
              <w:left w:val="nil"/>
              <w:bottom w:val="single" w:sz="8" w:space="0" w:color="auto"/>
              <w:right w:val="single" w:sz="8" w:space="0" w:color="auto"/>
            </w:tcBorders>
            <w:shd w:val="clear" w:color="auto" w:fill="auto"/>
            <w:hideMark/>
          </w:tcPr>
          <w:p w14:paraId="15507963" w14:textId="77777777" w:rsidR="00277DF3" w:rsidRPr="00277DF3" w:rsidRDefault="00277DF3" w:rsidP="00277DF3">
            <w:pPr>
              <w:rPr>
                <w:rFonts w:ascii="Calibri" w:eastAsia="Times New Roman" w:hAnsi="Calibri" w:cs="Calibri"/>
                <w:color w:val="000000"/>
                <w:sz w:val="20"/>
                <w:szCs w:val="20"/>
                <w:lang w:val="es-CL" w:eastAsia="es-CL"/>
              </w:rPr>
            </w:pPr>
            <w:proofErr w:type="spellStart"/>
            <w:r w:rsidRPr="00277DF3">
              <w:rPr>
                <w:rFonts w:ascii="Calibri" w:eastAsia="Times New Roman" w:hAnsi="Calibri" w:cs="Calibri"/>
                <w:color w:val="000000"/>
                <w:sz w:val="20"/>
                <w:szCs w:val="20"/>
                <w:lang w:val="es-CL" w:eastAsia="es-CL"/>
              </w:rPr>
              <w:t>Chilquinta</w:t>
            </w:r>
            <w:proofErr w:type="spellEnd"/>
            <w:r w:rsidRPr="00277DF3">
              <w:rPr>
                <w:rFonts w:ascii="Calibri" w:eastAsia="Times New Roman" w:hAnsi="Calibri" w:cs="Calibri"/>
                <w:color w:val="000000"/>
                <w:sz w:val="20"/>
                <w:szCs w:val="20"/>
                <w:lang w:val="es-CL" w:eastAsia="es-CL"/>
              </w:rPr>
              <w:t xml:space="preserve"> Transmisión S.A.</w:t>
            </w:r>
          </w:p>
        </w:tc>
        <w:tc>
          <w:tcPr>
            <w:tcW w:w="1829" w:type="pct"/>
            <w:tcBorders>
              <w:top w:val="nil"/>
              <w:left w:val="nil"/>
              <w:bottom w:val="single" w:sz="8" w:space="0" w:color="auto"/>
              <w:right w:val="single" w:sz="8" w:space="0" w:color="auto"/>
            </w:tcBorders>
            <w:shd w:val="clear" w:color="auto" w:fill="auto"/>
            <w:hideMark/>
          </w:tcPr>
          <w:p w14:paraId="4B4D8602" w14:textId="77777777" w:rsidR="00277DF3" w:rsidRPr="00277DF3" w:rsidRDefault="00277DF3" w:rsidP="00277DF3">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De acuerdo a lo revisado, en </w:t>
            </w:r>
            <w:proofErr w:type="spellStart"/>
            <w:r w:rsidRPr="00277DF3">
              <w:rPr>
                <w:rFonts w:ascii="Calibri" w:eastAsia="Times New Roman" w:hAnsi="Calibri" w:cs="Calibri"/>
                <w:color w:val="000000"/>
                <w:sz w:val="20"/>
                <w:szCs w:val="20"/>
                <w:lang w:val="es-CL" w:eastAsia="es-CL"/>
              </w:rPr>
              <w:t>Chilquinta</w:t>
            </w:r>
            <w:proofErr w:type="spellEnd"/>
            <w:r w:rsidRPr="00277DF3">
              <w:rPr>
                <w:rFonts w:ascii="Calibri" w:eastAsia="Times New Roman" w:hAnsi="Calibri" w:cs="Calibri"/>
                <w:color w:val="000000"/>
                <w:sz w:val="20"/>
                <w:szCs w:val="20"/>
                <w:lang w:val="es-CL" w:eastAsia="es-CL"/>
              </w:rPr>
              <w:t xml:space="preserve"> Transmisión Zonal C existe una diferencia de $41.861.940 en VATT a septiembre 2021 considerado en la prorrata. Cabe destacar que el monto en dólares se encuentra correcto</w:t>
            </w:r>
          </w:p>
        </w:tc>
        <w:tc>
          <w:tcPr>
            <w:tcW w:w="983" w:type="pct"/>
            <w:tcBorders>
              <w:top w:val="nil"/>
              <w:left w:val="nil"/>
              <w:bottom w:val="single" w:sz="8" w:space="0" w:color="auto"/>
              <w:right w:val="single" w:sz="8" w:space="0" w:color="auto"/>
            </w:tcBorders>
            <w:shd w:val="clear" w:color="auto" w:fill="auto"/>
            <w:hideMark/>
          </w:tcPr>
          <w:p w14:paraId="781AD9A8" w14:textId="5D56CC63"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xml:space="preserve">Se solicita corregir el VATT de </w:t>
            </w:r>
            <w:proofErr w:type="spellStart"/>
            <w:r w:rsidRPr="00277DF3">
              <w:rPr>
                <w:rFonts w:ascii="Calibri" w:eastAsia="Times New Roman" w:hAnsi="Calibri" w:cs="Calibri"/>
                <w:color w:val="000000"/>
                <w:sz w:val="20"/>
                <w:szCs w:val="20"/>
                <w:lang w:val="es-CL" w:eastAsia="es-CL"/>
              </w:rPr>
              <w:t>Chilquinta</w:t>
            </w:r>
            <w:proofErr w:type="spellEnd"/>
            <w:r w:rsidRPr="00277DF3">
              <w:rPr>
                <w:rFonts w:ascii="Calibri" w:eastAsia="Times New Roman" w:hAnsi="Calibri" w:cs="Calibri"/>
                <w:color w:val="000000"/>
                <w:sz w:val="20"/>
                <w:szCs w:val="20"/>
                <w:lang w:val="es-CL" w:eastAsia="es-CL"/>
              </w:rPr>
              <w:t xml:space="preserve"> Transmisión Zonal C en la hoja "VATT Zonal" del archivo "Prorratas-Of.CNE-N°642-2024.xlsx". El valor correcto es $24.125.163.085, de acuerdo al último proceso de Repartición de Cargo Único de Transmisión</w:t>
            </w:r>
          </w:p>
        </w:tc>
        <w:tc>
          <w:tcPr>
            <w:tcW w:w="959" w:type="pct"/>
            <w:tcBorders>
              <w:top w:val="nil"/>
              <w:left w:val="nil"/>
              <w:bottom w:val="single" w:sz="8" w:space="0" w:color="auto"/>
              <w:right w:val="single" w:sz="8" w:space="0" w:color="auto"/>
            </w:tcBorders>
            <w:shd w:val="clear" w:color="auto" w:fill="auto"/>
            <w:hideMark/>
          </w:tcPr>
          <w:p w14:paraId="391D078E" w14:textId="5EEA2028" w:rsidR="00277DF3" w:rsidRPr="00277DF3" w:rsidRDefault="0064078F" w:rsidP="00AD4960">
            <w:pPr>
              <w:rPr>
                <w:rFonts w:ascii="Calibri" w:eastAsia="Times New Roman" w:hAnsi="Calibri" w:cs="Calibri"/>
                <w:color w:val="000000"/>
                <w:sz w:val="20"/>
                <w:szCs w:val="20"/>
                <w:lang w:val="es-CL" w:eastAsia="es-CL"/>
              </w:rPr>
            </w:pPr>
            <w:r>
              <w:rPr>
                <w:rFonts w:ascii="Calibri" w:eastAsia="Times New Roman" w:hAnsi="Calibri" w:cs="Calibri"/>
                <w:color w:val="000000"/>
                <w:sz w:val="20"/>
                <w:szCs w:val="20"/>
                <w:lang w:val="es-CL" w:eastAsia="es-CL"/>
              </w:rPr>
              <w:t xml:space="preserve">Se corrige valor del dólar para obras que se indexan por </w:t>
            </w:r>
            <w:r w:rsidRPr="0064078F">
              <w:rPr>
                <w:rFonts w:ascii="Calibri" w:eastAsia="Times New Roman" w:hAnsi="Calibri" w:cs="Calibri"/>
                <w:color w:val="000000"/>
                <w:sz w:val="20"/>
                <w:szCs w:val="20"/>
                <w:lang w:val="es-CL" w:eastAsia="es-CL"/>
              </w:rPr>
              <w:t>D06T-2017</w:t>
            </w:r>
            <w:r w:rsidR="00CA0490">
              <w:rPr>
                <w:rFonts w:ascii="Calibri" w:eastAsia="Times New Roman" w:hAnsi="Calibri" w:cs="Calibri"/>
                <w:color w:val="000000"/>
                <w:sz w:val="20"/>
                <w:szCs w:val="20"/>
                <w:lang w:val="es-CL" w:eastAsia="es-CL"/>
              </w:rPr>
              <w:t xml:space="preserve"> con lo que se corrige diferencia observada.</w:t>
            </w:r>
          </w:p>
        </w:tc>
        <w:tc>
          <w:tcPr>
            <w:tcW w:w="430" w:type="pct"/>
            <w:tcBorders>
              <w:top w:val="nil"/>
              <w:left w:val="nil"/>
              <w:bottom w:val="single" w:sz="8" w:space="0" w:color="auto"/>
              <w:right w:val="single" w:sz="8" w:space="0" w:color="auto"/>
            </w:tcBorders>
            <w:shd w:val="clear" w:color="auto" w:fill="auto"/>
            <w:hideMark/>
          </w:tcPr>
          <w:p w14:paraId="29B7A070" w14:textId="2D7D49C1" w:rsidR="00277DF3" w:rsidRPr="00277DF3" w:rsidRDefault="00277DF3" w:rsidP="00AD4960">
            <w:pPr>
              <w:rPr>
                <w:rFonts w:ascii="Calibri" w:eastAsia="Times New Roman" w:hAnsi="Calibri" w:cs="Calibri"/>
                <w:color w:val="000000"/>
                <w:sz w:val="20"/>
                <w:szCs w:val="20"/>
                <w:lang w:val="es-CL" w:eastAsia="es-CL"/>
              </w:rPr>
            </w:pPr>
            <w:r w:rsidRPr="00277DF3">
              <w:rPr>
                <w:rFonts w:ascii="Calibri" w:eastAsia="Times New Roman" w:hAnsi="Calibri" w:cs="Calibri"/>
                <w:color w:val="000000"/>
                <w:sz w:val="20"/>
                <w:szCs w:val="20"/>
                <w:lang w:val="es-CL" w:eastAsia="es-CL"/>
              </w:rPr>
              <w:t> </w:t>
            </w:r>
            <w:r w:rsidR="0064078F">
              <w:rPr>
                <w:rFonts w:ascii="Calibri" w:eastAsia="Times New Roman" w:hAnsi="Calibri" w:cs="Calibri"/>
                <w:color w:val="000000"/>
                <w:sz w:val="20"/>
                <w:szCs w:val="20"/>
                <w:lang w:val="es-CL" w:eastAsia="es-CL"/>
              </w:rPr>
              <w:t>Acogida</w:t>
            </w:r>
          </w:p>
        </w:tc>
      </w:tr>
    </w:tbl>
    <w:p w14:paraId="11715C4E" w14:textId="77777777" w:rsidR="00217F83" w:rsidRPr="0042745E" w:rsidRDefault="00217F83" w:rsidP="0042745E">
      <w:pPr>
        <w:rPr>
          <w:rFonts w:ascii="Calibri" w:hAnsi="Calibri"/>
          <w:sz w:val="40"/>
          <w:szCs w:val="40"/>
        </w:rPr>
      </w:pPr>
    </w:p>
    <w:sectPr w:rsidR="00217F83" w:rsidRPr="0042745E" w:rsidSect="00E160C8">
      <w:headerReference w:type="default" r:id="rId8"/>
      <w:footerReference w:type="default" r:id="rId9"/>
      <w:pgSz w:w="15840" w:h="12240" w:orient="landscape"/>
      <w:pgMar w:top="1474" w:right="851" w:bottom="1276" w:left="851" w:header="425" w:footer="7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810AF" w14:textId="77777777" w:rsidR="003E3EC4" w:rsidRDefault="003E3EC4" w:rsidP="00AC4371">
      <w:r>
        <w:separator/>
      </w:r>
    </w:p>
  </w:endnote>
  <w:endnote w:type="continuationSeparator" w:id="0">
    <w:p w14:paraId="2799D2F5" w14:textId="77777777" w:rsidR="003E3EC4" w:rsidRDefault="003E3EC4" w:rsidP="00AC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4534" w14:textId="77777777" w:rsidR="00D13ADE" w:rsidRDefault="00D13ADE" w:rsidP="00AC4371">
    <w:pPr>
      <w:pStyle w:val="Piedepgina"/>
    </w:pPr>
  </w:p>
  <w:p w14:paraId="3ABC73E8" w14:textId="7F5EBE6F" w:rsidR="00830064" w:rsidRDefault="00830064" w:rsidP="00350069">
    <w:pPr>
      <w:pStyle w:val="Piedepgina"/>
      <w:jc w:val="center"/>
      <w:rPr>
        <w:rFonts w:ascii="Arial" w:hAnsi="Arial" w:cs="Arial"/>
        <w:color w:val="808080" w:themeColor="background1" w:themeShade="80"/>
        <w:sz w:val="16"/>
      </w:rPr>
    </w:pPr>
    <w:r>
      <w:rPr>
        <w:rFonts w:ascii="Arial" w:hAnsi="Arial" w:cs="Arial"/>
        <w:color w:val="808080" w:themeColor="background1" w:themeShade="80"/>
        <w:sz w:val="16"/>
      </w:rPr>
      <w:t xml:space="preserve">Parque Isidora </w:t>
    </w:r>
    <w:proofErr w:type="spellStart"/>
    <w:r>
      <w:rPr>
        <w:rFonts w:ascii="Arial" w:hAnsi="Arial" w:cs="Arial"/>
        <w:color w:val="808080" w:themeColor="background1" w:themeShade="80"/>
        <w:sz w:val="16"/>
      </w:rPr>
      <w:t>N°</w:t>
    </w:r>
    <w:proofErr w:type="spellEnd"/>
    <w:r>
      <w:rPr>
        <w:rFonts w:ascii="Arial" w:hAnsi="Arial" w:cs="Arial"/>
        <w:color w:val="808080" w:themeColor="background1" w:themeShade="80"/>
        <w:sz w:val="16"/>
      </w:rPr>
      <w:t xml:space="preserve"> 1061</w:t>
    </w:r>
    <w:r w:rsidR="00D13ADE">
      <w:rPr>
        <w:rFonts w:ascii="Arial" w:hAnsi="Arial" w:cs="Arial"/>
        <w:color w:val="808080" w:themeColor="background1" w:themeShade="80"/>
        <w:sz w:val="16"/>
      </w:rPr>
      <w:t>,</w:t>
    </w:r>
    <w:r>
      <w:rPr>
        <w:rFonts w:ascii="Arial" w:hAnsi="Arial" w:cs="Arial"/>
        <w:color w:val="808080" w:themeColor="background1" w:themeShade="80"/>
        <w:sz w:val="16"/>
      </w:rPr>
      <w:t xml:space="preserve"> Pudahuel (ENEA),</w:t>
    </w:r>
    <w:r w:rsidR="00D13ADE">
      <w:rPr>
        <w:rFonts w:ascii="Arial" w:hAnsi="Arial" w:cs="Arial"/>
        <w:color w:val="808080" w:themeColor="background1" w:themeShade="80"/>
        <w:sz w:val="16"/>
      </w:rPr>
      <w:t xml:space="preserve"> Santiago de Chile.</w:t>
    </w:r>
  </w:p>
  <w:p w14:paraId="773CE789" w14:textId="6B4634A6" w:rsidR="00830064" w:rsidRPr="00AC4371" w:rsidRDefault="00830064" w:rsidP="00830064">
    <w:pPr>
      <w:pStyle w:val="Piedepgina"/>
      <w:jc w:val="center"/>
      <w:rPr>
        <w:rFonts w:ascii="Arial" w:hAnsi="Arial" w:cs="Arial"/>
        <w:color w:val="808080" w:themeColor="background1" w:themeShade="80"/>
        <w:sz w:val="16"/>
      </w:rPr>
    </w:pPr>
    <w:hyperlink r:id="rId1" w:history="1">
      <w:r w:rsidRPr="00C14C36">
        <w:rPr>
          <w:rStyle w:val="Hipervnculo"/>
          <w:rFonts w:ascii="Arial" w:hAnsi="Arial" w:cs="Arial"/>
          <w:sz w:val="16"/>
        </w:rPr>
        <w:t>www.coordinadorelectrico.cl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17790" w14:textId="77777777" w:rsidR="003E3EC4" w:rsidRDefault="003E3EC4" w:rsidP="00AC4371">
      <w:r>
        <w:separator/>
      </w:r>
    </w:p>
  </w:footnote>
  <w:footnote w:type="continuationSeparator" w:id="0">
    <w:p w14:paraId="69E51818" w14:textId="77777777" w:rsidR="003E3EC4" w:rsidRDefault="003E3EC4" w:rsidP="00AC4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33731" w14:textId="77777777" w:rsidR="00D13ADE" w:rsidRDefault="6E5CBDB1" w:rsidP="00AC4371">
    <w:pPr>
      <w:pStyle w:val="Encabezado"/>
      <w:jc w:val="right"/>
    </w:pPr>
    <w:r>
      <w:rPr>
        <w:noProof/>
      </w:rPr>
      <w:drawing>
        <wp:inline distT="0" distB="0" distL="0" distR="0" wp14:anchorId="3B63D096" wp14:editId="0B4F025A">
          <wp:extent cx="1382304" cy="840994"/>
          <wp:effectExtent l="0" t="0" r="0" b="0"/>
          <wp:docPr id="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1382304" cy="84099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D5422"/>
    <w:multiLevelType w:val="hybridMultilevel"/>
    <w:tmpl w:val="CD4C93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3EE56DD"/>
    <w:multiLevelType w:val="hybridMultilevel"/>
    <w:tmpl w:val="37B6B8B2"/>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abstractNum w:abstractNumId="2" w15:restartNumberingAfterBreak="0">
    <w:nsid w:val="15297F27"/>
    <w:multiLevelType w:val="hybridMultilevel"/>
    <w:tmpl w:val="B8007F5E"/>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5D9653A"/>
    <w:multiLevelType w:val="hybridMultilevel"/>
    <w:tmpl w:val="86F8753C"/>
    <w:lvl w:ilvl="0" w:tplc="E64EFAE4">
      <w:numFmt w:val="bullet"/>
      <w:lvlText w:val="-"/>
      <w:lvlJc w:val="left"/>
      <w:pPr>
        <w:ind w:left="720" w:hanging="360"/>
      </w:pPr>
      <w:rPr>
        <w:rFonts w:ascii="Calibri" w:eastAsia="Times New Roman" w:hAnsi="Calibri"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4" w15:restartNumberingAfterBreak="0">
    <w:nsid w:val="185412FC"/>
    <w:multiLevelType w:val="hybridMultilevel"/>
    <w:tmpl w:val="0C0A001D"/>
    <w:lvl w:ilvl="0" w:tplc="53F0A074">
      <w:start w:val="1"/>
      <w:numFmt w:val="decimal"/>
      <w:lvlText w:val="%1)"/>
      <w:lvlJc w:val="left"/>
      <w:pPr>
        <w:ind w:left="360" w:hanging="360"/>
      </w:pPr>
    </w:lvl>
    <w:lvl w:ilvl="1" w:tplc="FD14AB36">
      <w:start w:val="1"/>
      <w:numFmt w:val="lowerLetter"/>
      <w:lvlText w:val="%2)"/>
      <w:lvlJc w:val="left"/>
      <w:pPr>
        <w:ind w:left="720" w:hanging="360"/>
      </w:pPr>
    </w:lvl>
    <w:lvl w:ilvl="2" w:tplc="ABFC746C">
      <w:start w:val="1"/>
      <w:numFmt w:val="lowerRoman"/>
      <w:lvlText w:val="%3)"/>
      <w:lvlJc w:val="left"/>
      <w:pPr>
        <w:ind w:left="1080" w:hanging="360"/>
      </w:pPr>
    </w:lvl>
    <w:lvl w:ilvl="3" w:tplc="E47C1F4A">
      <w:start w:val="1"/>
      <w:numFmt w:val="decimal"/>
      <w:lvlText w:val="(%4)"/>
      <w:lvlJc w:val="left"/>
      <w:pPr>
        <w:ind w:left="1440" w:hanging="360"/>
      </w:pPr>
    </w:lvl>
    <w:lvl w:ilvl="4" w:tplc="DFFC55EA">
      <w:start w:val="1"/>
      <w:numFmt w:val="lowerLetter"/>
      <w:lvlText w:val="(%5)"/>
      <w:lvlJc w:val="left"/>
      <w:pPr>
        <w:ind w:left="1800" w:hanging="360"/>
      </w:pPr>
    </w:lvl>
    <w:lvl w:ilvl="5" w:tplc="47C6C452">
      <w:start w:val="1"/>
      <w:numFmt w:val="lowerRoman"/>
      <w:lvlText w:val="(%6)"/>
      <w:lvlJc w:val="left"/>
      <w:pPr>
        <w:ind w:left="2160" w:hanging="360"/>
      </w:pPr>
    </w:lvl>
    <w:lvl w:ilvl="6" w:tplc="0A92E6DA">
      <w:start w:val="1"/>
      <w:numFmt w:val="decimal"/>
      <w:lvlText w:val="%7."/>
      <w:lvlJc w:val="left"/>
      <w:pPr>
        <w:ind w:left="2520" w:hanging="360"/>
      </w:pPr>
    </w:lvl>
    <w:lvl w:ilvl="7" w:tplc="B59A6006">
      <w:start w:val="1"/>
      <w:numFmt w:val="lowerLetter"/>
      <w:lvlText w:val="%8."/>
      <w:lvlJc w:val="left"/>
      <w:pPr>
        <w:ind w:left="2880" w:hanging="360"/>
      </w:pPr>
    </w:lvl>
    <w:lvl w:ilvl="8" w:tplc="20500520">
      <w:start w:val="1"/>
      <w:numFmt w:val="lowerRoman"/>
      <w:lvlText w:val="%9."/>
      <w:lvlJc w:val="left"/>
      <w:pPr>
        <w:ind w:left="3240" w:hanging="360"/>
      </w:pPr>
    </w:lvl>
  </w:abstractNum>
  <w:abstractNum w:abstractNumId="5" w15:restartNumberingAfterBreak="0">
    <w:nsid w:val="24481092"/>
    <w:multiLevelType w:val="hybridMultilevel"/>
    <w:tmpl w:val="0C0A001D"/>
    <w:lvl w:ilvl="0" w:tplc="EB8ABB42">
      <w:start w:val="1"/>
      <w:numFmt w:val="decimal"/>
      <w:lvlText w:val="%1)"/>
      <w:lvlJc w:val="left"/>
      <w:pPr>
        <w:ind w:left="360" w:hanging="360"/>
      </w:pPr>
    </w:lvl>
    <w:lvl w:ilvl="1" w:tplc="57D8533A">
      <w:start w:val="1"/>
      <w:numFmt w:val="lowerLetter"/>
      <w:lvlText w:val="%2)"/>
      <w:lvlJc w:val="left"/>
      <w:pPr>
        <w:ind w:left="720" w:hanging="360"/>
      </w:pPr>
    </w:lvl>
    <w:lvl w:ilvl="2" w:tplc="3A5A1574">
      <w:start w:val="1"/>
      <w:numFmt w:val="lowerRoman"/>
      <w:lvlText w:val="%3)"/>
      <w:lvlJc w:val="left"/>
      <w:pPr>
        <w:ind w:left="1080" w:hanging="360"/>
      </w:pPr>
    </w:lvl>
    <w:lvl w:ilvl="3" w:tplc="4FDE5830">
      <w:start w:val="1"/>
      <w:numFmt w:val="decimal"/>
      <w:lvlText w:val="(%4)"/>
      <w:lvlJc w:val="left"/>
      <w:pPr>
        <w:ind w:left="1440" w:hanging="360"/>
      </w:pPr>
    </w:lvl>
    <w:lvl w:ilvl="4" w:tplc="A68E07D0">
      <w:start w:val="1"/>
      <w:numFmt w:val="lowerLetter"/>
      <w:lvlText w:val="(%5)"/>
      <w:lvlJc w:val="left"/>
      <w:pPr>
        <w:ind w:left="1800" w:hanging="360"/>
      </w:pPr>
    </w:lvl>
    <w:lvl w:ilvl="5" w:tplc="102CD22E">
      <w:start w:val="1"/>
      <w:numFmt w:val="lowerRoman"/>
      <w:lvlText w:val="(%6)"/>
      <w:lvlJc w:val="left"/>
      <w:pPr>
        <w:ind w:left="2160" w:hanging="360"/>
      </w:pPr>
    </w:lvl>
    <w:lvl w:ilvl="6" w:tplc="B4C43308">
      <w:start w:val="1"/>
      <w:numFmt w:val="decimal"/>
      <w:lvlText w:val="%7."/>
      <w:lvlJc w:val="left"/>
      <w:pPr>
        <w:ind w:left="2520" w:hanging="360"/>
      </w:pPr>
    </w:lvl>
    <w:lvl w:ilvl="7" w:tplc="14B0294E">
      <w:start w:val="1"/>
      <w:numFmt w:val="lowerLetter"/>
      <w:lvlText w:val="%8."/>
      <w:lvlJc w:val="left"/>
      <w:pPr>
        <w:ind w:left="2880" w:hanging="360"/>
      </w:pPr>
    </w:lvl>
    <w:lvl w:ilvl="8" w:tplc="1A963674">
      <w:start w:val="1"/>
      <w:numFmt w:val="lowerRoman"/>
      <w:lvlText w:val="%9."/>
      <w:lvlJc w:val="left"/>
      <w:pPr>
        <w:ind w:left="3240" w:hanging="360"/>
      </w:pPr>
    </w:lvl>
  </w:abstractNum>
  <w:abstractNum w:abstractNumId="6" w15:restartNumberingAfterBreak="0">
    <w:nsid w:val="39930AD5"/>
    <w:multiLevelType w:val="hybridMultilevel"/>
    <w:tmpl w:val="93E4250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427B2399"/>
    <w:multiLevelType w:val="hybridMultilevel"/>
    <w:tmpl w:val="0C0A001D"/>
    <w:lvl w:ilvl="0" w:tplc="C8DE7D52">
      <w:start w:val="1"/>
      <w:numFmt w:val="decimal"/>
      <w:lvlText w:val="%1)"/>
      <w:lvlJc w:val="left"/>
      <w:pPr>
        <w:ind w:left="360" w:hanging="360"/>
      </w:pPr>
    </w:lvl>
    <w:lvl w:ilvl="1" w:tplc="585C1F28">
      <w:start w:val="1"/>
      <w:numFmt w:val="lowerLetter"/>
      <w:lvlText w:val="%2)"/>
      <w:lvlJc w:val="left"/>
      <w:pPr>
        <w:ind w:left="720" w:hanging="360"/>
      </w:pPr>
    </w:lvl>
    <w:lvl w:ilvl="2" w:tplc="8884A9DA">
      <w:start w:val="1"/>
      <w:numFmt w:val="lowerRoman"/>
      <w:lvlText w:val="%3)"/>
      <w:lvlJc w:val="left"/>
      <w:pPr>
        <w:ind w:left="1080" w:hanging="360"/>
      </w:pPr>
    </w:lvl>
    <w:lvl w:ilvl="3" w:tplc="9014DCDE">
      <w:start w:val="1"/>
      <w:numFmt w:val="decimal"/>
      <w:lvlText w:val="(%4)"/>
      <w:lvlJc w:val="left"/>
      <w:pPr>
        <w:ind w:left="1440" w:hanging="360"/>
      </w:pPr>
    </w:lvl>
    <w:lvl w:ilvl="4" w:tplc="F4422A04">
      <w:start w:val="1"/>
      <w:numFmt w:val="lowerLetter"/>
      <w:lvlText w:val="(%5)"/>
      <w:lvlJc w:val="left"/>
      <w:pPr>
        <w:ind w:left="1800" w:hanging="360"/>
      </w:pPr>
    </w:lvl>
    <w:lvl w:ilvl="5" w:tplc="3684F69A">
      <w:start w:val="1"/>
      <w:numFmt w:val="lowerRoman"/>
      <w:lvlText w:val="(%6)"/>
      <w:lvlJc w:val="left"/>
      <w:pPr>
        <w:ind w:left="2160" w:hanging="360"/>
      </w:pPr>
    </w:lvl>
    <w:lvl w:ilvl="6" w:tplc="FFA86496">
      <w:start w:val="1"/>
      <w:numFmt w:val="decimal"/>
      <w:lvlText w:val="%7."/>
      <w:lvlJc w:val="left"/>
      <w:pPr>
        <w:ind w:left="2520" w:hanging="360"/>
      </w:pPr>
    </w:lvl>
    <w:lvl w:ilvl="7" w:tplc="5EE02AC2">
      <w:start w:val="1"/>
      <w:numFmt w:val="lowerLetter"/>
      <w:lvlText w:val="%8."/>
      <w:lvlJc w:val="left"/>
      <w:pPr>
        <w:ind w:left="2880" w:hanging="360"/>
      </w:pPr>
    </w:lvl>
    <w:lvl w:ilvl="8" w:tplc="BB16DF82">
      <w:start w:val="1"/>
      <w:numFmt w:val="lowerRoman"/>
      <w:lvlText w:val="%9."/>
      <w:lvlJc w:val="left"/>
      <w:pPr>
        <w:ind w:left="3240" w:hanging="360"/>
      </w:pPr>
    </w:lvl>
  </w:abstractNum>
  <w:abstractNum w:abstractNumId="8" w15:restartNumberingAfterBreak="0">
    <w:nsid w:val="595D1BCF"/>
    <w:multiLevelType w:val="hybridMultilevel"/>
    <w:tmpl w:val="20D4A904"/>
    <w:lvl w:ilvl="0" w:tplc="340A0017">
      <w:start w:val="3"/>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5B2A2A4E"/>
    <w:multiLevelType w:val="hybridMultilevel"/>
    <w:tmpl w:val="0C0A001D"/>
    <w:styleLink w:val="1ai"/>
    <w:lvl w:ilvl="0" w:tplc="0E66B932">
      <w:start w:val="1"/>
      <w:numFmt w:val="decimal"/>
      <w:lvlText w:val="%1)"/>
      <w:lvlJc w:val="left"/>
      <w:pPr>
        <w:ind w:left="360" w:hanging="360"/>
      </w:pPr>
    </w:lvl>
    <w:lvl w:ilvl="1" w:tplc="4D2E2E92">
      <w:start w:val="1"/>
      <w:numFmt w:val="lowerLetter"/>
      <w:lvlText w:val="%2)"/>
      <w:lvlJc w:val="left"/>
      <w:pPr>
        <w:ind w:left="720" w:hanging="360"/>
      </w:pPr>
    </w:lvl>
    <w:lvl w:ilvl="2" w:tplc="10CA630A">
      <w:start w:val="1"/>
      <w:numFmt w:val="lowerRoman"/>
      <w:lvlText w:val="%3)"/>
      <w:lvlJc w:val="left"/>
      <w:pPr>
        <w:ind w:left="1080" w:hanging="360"/>
      </w:pPr>
    </w:lvl>
    <w:lvl w:ilvl="3" w:tplc="FE64E3D4">
      <w:start w:val="1"/>
      <w:numFmt w:val="decimal"/>
      <w:lvlText w:val="(%4)"/>
      <w:lvlJc w:val="left"/>
      <w:pPr>
        <w:ind w:left="1440" w:hanging="360"/>
      </w:pPr>
    </w:lvl>
    <w:lvl w:ilvl="4" w:tplc="CF9C3D06">
      <w:start w:val="1"/>
      <w:numFmt w:val="lowerLetter"/>
      <w:lvlText w:val="(%5)"/>
      <w:lvlJc w:val="left"/>
      <w:pPr>
        <w:ind w:left="1800" w:hanging="360"/>
      </w:pPr>
    </w:lvl>
    <w:lvl w:ilvl="5" w:tplc="81783EB8">
      <w:start w:val="1"/>
      <w:numFmt w:val="lowerRoman"/>
      <w:lvlText w:val="(%6)"/>
      <w:lvlJc w:val="left"/>
      <w:pPr>
        <w:ind w:left="2160" w:hanging="360"/>
      </w:pPr>
    </w:lvl>
    <w:lvl w:ilvl="6" w:tplc="68FE74B0">
      <w:start w:val="1"/>
      <w:numFmt w:val="decimal"/>
      <w:lvlText w:val="%7."/>
      <w:lvlJc w:val="left"/>
      <w:pPr>
        <w:ind w:left="2520" w:hanging="360"/>
      </w:pPr>
    </w:lvl>
    <w:lvl w:ilvl="7" w:tplc="DDEE7032">
      <w:start w:val="1"/>
      <w:numFmt w:val="lowerLetter"/>
      <w:lvlText w:val="%8."/>
      <w:lvlJc w:val="left"/>
      <w:pPr>
        <w:ind w:left="2880" w:hanging="360"/>
      </w:pPr>
    </w:lvl>
    <w:lvl w:ilvl="8" w:tplc="BE821F9E">
      <w:start w:val="1"/>
      <w:numFmt w:val="lowerRoman"/>
      <w:lvlText w:val="%9."/>
      <w:lvlJc w:val="left"/>
      <w:pPr>
        <w:ind w:left="3240" w:hanging="360"/>
      </w:pPr>
    </w:lvl>
  </w:abstractNum>
  <w:abstractNum w:abstractNumId="10" w15:restartNumberingAfterBreak="0">
    <w:nsid w:val="647B0638"/>
    <w:multiLevelType w:val="hybridMultilevel"/>
    <w:tmpl w:val="881294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650E16EC"/>
    <w:multiLevelType w:val="hybridMultilevel"/>
    <w:tmpl w:val="19FC3344"/>
    <w:lvl w:ilvl="0" w:tplc="340A0011">
      <w:start w:val="1"/>
      <w:numFmt w:val="decimal"/>
      <w:lvlText w:val="%1)"/>
      <w:lvlJc w:val="left"/>
      <w:pPr>
        <w:ind w:left="360" w:hanging="360"/>
      </w:pPr>
    </w:lvl>
    <w:lvl w:ilvl="1" w:tplc="340A0019">
      <w:start w:val="1"/>
      <w:numFmt w:val="lowerLetter"/>
      <w:lvlText w:val="%2."/>
      <w:lvlJc w:val="left"/>
      <w:pPr>
        <w:ind w:left="1080" w:hanging="360"/>
      </w:pPr>
    </w:lvl>
    <w:lvl w:ilvl="2" w:tplc="340A001B">
      <w:start w:val="1"/>
      <w:numFmt w:val="lowerRoman"/>
      <w:lvlText w:val="%3."/>
      <w:lvlJc w:val="right"/>
      <w:pPr>
        <w:ind w:left="1800" w:hanging="180"/>
      </w:pPr>
    </w:lvl>
    <w:lvl w:ilvl="3" w:tplc="340A000F">
      <w:start w:val="1"/>
      <w:numFmt w:val="decimal"/>
      <w:lvlText w:val="%4."/>
      <w:lvlJc w:val="left"/>
      <w:pPr>
        <w:ind w:left="2520" w:hanging="360"/>
      </w:pPr>
    </w:lvl>
    <w:lvl w:ilvl="4" w:tplc="340A0019">
      <w:start w:val="1"/>
      <w:numFmt w:val="lowerLetter"/>
      <w:lvlText w:val="%5."/>
      <w:lvlJc w:val="left"/>
      <w:pPr>
        <w:ind w:left="3240" w:hanging="360"/>
      </w:pPr>
    </w:lvl>
    <w:lvl w:ilvl="5" w:tplc="340A001B">
      <w:start w:val="1"/>
      <w:numFmt w:val="lowerRoman"/>
      <w:lvlText w:val="%6."/>
      <w:lvlJc w:val="right"/>
      <w:pPr>
        <w:ind w:left="3960" w:hanging="180"/>
      </w:pPr>
    </w:lvl>
    <w:lvl w:ilvl="6" w:tplc="340A000F">
      <w:start w:val="1"/>
      <w:numFmt w:val="decimal"/>
      <w:lvlText w:val="%7."/>
      <w:lvlJc w:val="left"/>
      <w:pPr>
        <w:ind w:left="4680" w:hanging="360"/>
      </w:pPr>
    </w:lvl>
    <w:lvl w:ilvl="7" w:tplc="340A0019">
      <w:start w:val="1"/>
      <w:numFmt w:val="lowerLetter"/>
      <w:lvlText w:val="%8."/>
      <w:lvlJc w:val="left"/>
      <w:pPr>
        <w:ind w:left="5400" w:hanging="360"/>
      </w:pPr>
    </w:lvl>
    <w:lvl w:ilvl="8" w:tplc="340A001B">
      <w:start w:val="1"/>
      <w:numFmt w:val="lowerRoman"/>
      <w:lvlText w:val="%9."/>
      <w:lvlJc w:val="right"/>
      <w:pPr>
        <w:ind w:left="6120" w:hanging="180"/>
      </w:pPr>
    </w:lvl>
  </w:abstractNum>
  <w:abstractNum w:abstractNumId="12" w15:restartNumberingAfterBreak="0">
    <w:nsid w:val="70A823B2"/>
    <w:multiLevelType w:val="hybridMultilevel"/>
    <w:tmpl w:val="3C1211F2"/>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hint="default"/>
      </w:rPr>
    </w:lvl>
    <w:lvl w:ilvl="6" w:tplc="340A0001">
      <w:start w:val="1"/>
      <w:numFmt w:val="bullet"/>
      <w:lvlText w:val=""/>
      <w:lvlJc w:val="left"/>
      <w:pPr>
        <w:ind w:left="4680" w:hanging="360"/>
      </w:pPr>
      <w:rPr>
        <w:rFonts w:ascii="Symbol" w:hAnsi="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hint="default"/>
      </w:rPr>
    </w:lvl>
  </w:abstractNum>
  <w:num w:numId="1" w16cid:durableId="1781991073">
    <w:abstractNumId w:val="7"/>
  </w:num>
  <w:num w:numId="2" w16cid:durableId="746613562">
    <w:abstractNumId w:val="4"/>
  </w:num>
  <w:num w:numId="3" w16cid:durableId="1644500958">
    <w:abstractNumId w:val="5"/>
  </w:num>
  <w:num w:numId="4" w16cid:durableId="1603490044">
    <w:abstractNumId w:val="9"/>
  </w:num>
  <w:num w:numId="5" w16cid:durableId="1642467792">
    <w:abstractNumId w:val="3"/>
  </w:num>
  <w:num w:numId="6" w16cid:durableId="285696585">
    <w:abstractNumId w:val="1"/>
  </w:num>
  <w:num w:numId="7" w16cid:durableId="1664891180">
    <w:abstractNumId w:val="12"/>
  </w:num>
  <w:num w:numId="8" w16cid:durableId="12092239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34948652">
    <w:abstractNumId w:val="2"/>
  </w:num>
  <w:num w:numId="10" w16cid:durableId="622344059">
    <w:abstractNumId w:val="11"/>
  </w:num>
  <w:num w:numId="11" w16cid:durableId="385683959">
    <w:abstractNumId w:val="10"/>
  </w:num>
  <w:num w:numId="12" w16cid:durableId="524713950">
    <w:abstractNumId w:val="6"/>
  </w:num>
  <w:num w:numId="13" w16cid:durableId="799424528">
    <w:abstractNumId w:val="8"/>
  </w:num>
  <w:num w:numId="14" w16cid:durableId="1395276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371"/>
    <w:rsid w:val="00011FE1"/>
    <w:rsid w:val="00013555"/>
    <w:rsid w:val="00015E5E"/>
    <w:rsid w:val="000174BC"/>
    <w:rsid w:val="00021AD7"/>
    <w:rsid w:val="00021BBA"/>
    <w:rsid w:val="000257B9"/>
    <w:rsid w:val="00031E6C"/>
    <w:rsid w:val="0003417D"/>
    <w:rsid w:val="0003444D"/>
    <w:rsid w:val="00034641"/>
    <w:rsid w:val="00037B0E"/>
    <w:rsid w:val="0004208E"/>
    <w:rsid w:val="00043F52"/>
    <w:rsid w:val="0004513A"/>
    <w:rsid w:val="00045C5A"/>
    <w:rsid w:val="00050DDE"/>
    <w:rsid w:val="0005638D"/>
    <w:rsid w:val="00065594"/>
    <w:rsid w:val="000714C7"/>
    <w:rsid w:val="00071849"/>
    <w:rsid w:val="00073DA2"/>
    <w:rsid w:val="00077A2A"/>
    <w:rsid w:val="00084853"/>
    <w:rsid w:val="00085429"/>
    <w:rsid w:val="0008646F"/>
    <w:rsid w:val="00086872"/>
    <w:rsid w:val="00086BDE"/>
    <w:rsid w:val="00086C27"/>
    <w:rsid w:val="000909E8"/>
    <w:rsid w:val="00092C68"/>
    <w:rsid w:val="0009525D"/>
    <w:rsid w:val="000962BC"/>
    <w:rsid w:val="000A2957"/>
    <w:rsid w:val="000A31D0"/>
    <w:rsid w:val="000A3CCB"/>
    <w:rsid w:val="000A4B2E"/>
    <w:rsid w:val="000B0B17"/>
    <w:rsid w:val="000B0E65"/>
    <w:rsid w:val="000B1281"/>
    <w:rsid w:val="000B35F8"/>
    <w:rsid w:val="000B5A52"/>
    <w:rsid w:val="000C1C3E"/>
    <w:rsid w:val="000C33B7"/>
    <w:rsid w:val="000C5680"/>
    <w:rsid w:val="000C5F1A"/>
    <w:rsid w:val="000C6C22"/>
    <w:rsid w:val="000D688A"/>
    <w:rsid w:val="000E22E4"/>
    <w:rsid w:val="000E30D6"/>
    <w:rsid w:val="000E5E7F"/>
    <w:rsid w:val="000E7DAC"/>
    <w:rsid w:val="000F0667"/>
    <w:rsid w:val="000F1905"/>
    <w:rsid w:val="000F1FCD"/>
    <w:rsid w:val="000F345B"/>
    <w:rsid w:val="00100AA4"/>
    <w:rsid w:val="00101CFD"/>
    <w:rsid w:val="00107E35"/>
    <w:rsid w:val="00111419"/>
    <w:rsid w:val="00113034"/>
    <w:rsid w:val="00122B43"/>
    <w:rsid w:val="001302BA"/>
    <w:rsid w:val="00131A17"/>
    <w:rsid w:val="00133B34"/>
    <w:rsid w:val="00134DA9"/>
    <w:rsid w:val="00136916"/>
    <w:rsid w:val="00140D42"/>
    <w:rsid w:val="00141C44"/>
    <w:rsid w:val="001427A6"/>
    <w:rsid w:val="0015037D"/>
    <w:rsid w:val="00154667"/>
    <w:rsid w:val="00160538"/>
    <w:rsid w:val="001645EB"/>
    <w:rsid w:val="00176592"/>
    <w:rsid w:val="00176ECC"/>
    <w:rsid w:val="001774BB"/>
    <w:rsid w:val="00180193"/>
    <w:rsid w:val="00180907"/>
    <w:rsid w:val="001811F3"/>
    <w:rsid w:val="00183806"/>
    <w:rsid w:val="00187939"/>
    <w:rsid w:val="00191202"/>
    <w:rsid w:val="00197309"/>
    <w:rsid w:val="001B2FA9"/>
    <w:rsid w:val="001B7D0D"/>
    <w:rsid w:val="001C2B59"/>
    <w:rsid w:val="001C4895"/>
    <w:rsid w:val="001C4EFC"/>
    <w:rsid w:val="001C7243"/>
    <w:rsid w:val="001D265F"/>
    <w:rsid w:val="001D5606"/>
    <w:rsid w:val="001E2C67"/>
    <w:rsid w:val="001F0227"/>
    <w:rsid w:val="001F073A"/>
    <w:rsid w:val="001F3AA6"/>
    <w:rsid w:val="00210112"/>
    <w:rsid w:val="00212666"/>
    <w:rsid w:val="00212816"/>
    <w:rsid w:val="002166D1"/>
    <w:rsid w:val="00217F83"/>
    <w:rsid w:val="00221141"/>
    <w:rsid w:val="002214CE"/>
    <w:rsid w:val="00221E88"/>
    <w:rsid w:val="0022606A"/>
    <w:rsid w:val="002309D1"/>
    <w:rsid w:val="002357B9"/>
    <w:rsid w:val="00237537"/>
    <w:rsid w:val="00241021"/>
    <w:rsid w:val="0024129C"/>
    <w:rsid w:val="00243B42"/>
    <w:rsid w:val="00245F3F"/>
    <w:rsid w:val="0025305D"/>
    <w:rsid w:val="00257D24"/>
    <w:rsid w:val="002639B7"/>
    <w:rsid w:val="00271420"/>
    <w:rsid w:val="00272CDB"/>
    <w:rsid w:val="00274BF6"/>
    <w:rsid w:val="00275917"/>
    <w:rsid w:val="00276AA5"/>
    <w:rsid w:val="00277DF3"/>
    <w:rsid w:val="00280FCA"/>
    <w:rsid w:val="00282017"/>
    <w:rsid w:val="0028602B"/>
    <w:rsid w:val="00287EC1"/>
    <w:rsid w:val="00290F53"/>
    <w:rsid w:val="00294BD0"/>
    <w:rsid w:val="002A1157"/>
    <w:rsid w:val="002A155F"/>
    <w:rsid w:val="002A16E6"/>
    <w:rsid w:val="002A34D1"/>
    <w:rsid w:val="002A780B"/>
    <w:rsid w:val="002B40EE"/>
    <w:rsid w:val="002B6D73"/>
    <w:rsid w:val="002B7D93"/>
    <w:rsid w:val="002C5FAC"/>
    <w:rsid w:val="002C6090"/>
    <w:rsid w:val="002C705F"/>
    <w:rsid w:val="002D5479"/>
    <w:rsid w:val="002D5CDD"/>
    <w:rsid w:val="002E21DB"/>
    <w:rsid w:val="002F3300"/>
    <w:rsid w:val="002F5961"/>
    <w:rsid w:val="002F6ED4"/>
    <w:rsid w:val="003024FF"/>
    <w:rsid w:val="00304ED4"/>
    <w:rsid w:val="00306CCD"/>
    <w:rsid w:val="00307E87"/>
    <w:rsid w:val="00311A0A"/>
    <w:rsid w:val="0031537D"/>
    <w:rsid w:val="0032625D"/>
    <w:rsid w:val="00326340"/>
    <w:rsid w:val="00330CA9"/>
    <w:rsid w:val="00330D19"/>
    <w:rsid w:val="0033249E"/>
    <w:rsid w:val="00337966"/>
    <w:rsid w:val="00350069"/>
    <w:rsid w:val="00351881"/>
    <w:rsid w:val="00353BB0"/>
    <w:rsid w:val="00355ECD"/>
    <w:rsid w:val="00361CAC"/>
    <w:rsid w:val="00364237"/>
    <w:rsid w:val="00365655"/>
    <w:rsid w:val="003701B1"/>
    <w:rsid w:val="0037061D"/>
    <w:rsid w:val="00377038"/>
    <w:rsid w:val="00377A85"/>
    <w:rsid w:val="0038157C"/>
    <w:rsid w:val="0039441B"/>
    <w:rsid w:val="003944F4"/>
    <w:rsid w:val="003957C1"/>
    <w:rsid w:val="0039617A"/>
    <w:rsid w:val="003A1997"/>
    <w:rsid w:val="003A1D1C"/>
    <w:rsid w:val="003A2B3B"/>
    <w:rsid w:val="003B042B"/>
    <w:rsid w:val="003B3A48"/>
    <w:rsid w:val="003C07D1"/>
    <w:rsid w:val="003C1739"/>
    <w:rsid w:val="003C2051"/>
    <w:rsid w:val="003C41F4"/>
    <w:rsid w:val="003D7113"/>
    <w:rsid w:val="003E3EC4"/>
    <w:rsid w:val="003F3504"/>
    <w:rsid w:val="003F4376"/>
    <w:rsid w:val="003F50B1"/>
    <w:rsid w:val="003F54F1"/>
    <w:rsid w:val="00400F4E"/>
    <w:rsid w:val="00402AA1"/>
    <w:rsid w:val="004060D7"/>
    <w:rsid w:val="004100CC"/>
    <w:rsid w:val="00413207"/>
    <w:rsid w:val="004236A3"/>
    <w:rsid w:val="00423BEB"/>
    <w:rsid w:val="00423D50"/>
    <w:rsid w:val="004248A4"/>
    <w:rsid w:val="00426E0D"/>
    <w:rsid w:val="0042745E"/>
    <w:rsid w:val="00435BAF"/>
    <w:rsid w:val="00435E2C"/>
    <w:rsid w:val="00440144"/>
    <w:rsid w:val="00442ECA"/>
    <w:rsid w:val="00443BDF"/>
    <w:rsid w:val="0044655C"/>
    <w:rsid w:val="004508C3"/>
    <w:rsid w:val="0045706E"/>
    <w:rsid w:val="00460600"/>
    <w:rsid w:val="004630C7"/>
    <w:rsid w:val="00472D92"/>
    <w:rsid w:val="004746AD"/>
    <w:rsid w:val="00481183"/>
    <w:rsid w:val="004907E9"/>
    <w:rsid w:val="004918C1"/>
    <w:rsid w:val="00492202"/>
    <w:rsid w:val="004930C4"/>
    <w:rsid w:val="00494318"/>
    <w:rsid w:val="00496BDF"/>
    <w:rsid w:val="00496CD6"/>
    <w:rsid w:val="004A02C9"/>
    <w:rsid w:val="004A0791"/>
    <w:rsid w:val="004A232A"/>
    <w:rsid w:val="004A3944"/>
    <w:rsid w:val="004B7A7D"/>
    <w:rsid w:val="004B7F82"/>
    <w:rsid w:val="004C0A7F"/>
    <w:rsid w:val="004C1244"/>
    <w:rsid w:val="004C1BE1"/>
    <w:rsid w:val="004C1C2F"/>
    <w:rsid w:val="004C2550"/>
    <w:rsid w:val="004C609F"/>
    <w:rsid w:val="004D756B"/>
    <w:rsid w:val="004E1C3D"/>
    <w:rsid w:val="004E37C3"/>
    <w:rsid w:val="004E3E40"/>
    <w:rsid w:val="004E70B5"/>
    <w:rsid w:val="004F2547"/>
    <w:rsid w:val="004F3FB1"/>
    <w:rsid w:val="004F6687"/>
    <w:rsid w:val="00500C6E"/>
    <w:rsid w:val="005018FE"/>
    <w:rsid w:val="00503AAD"/>
    <w:rsid w:val="005062BB"/>
    <w:rsid w:val="005147A9"/>
    <w:rsid w:val="005244C7"/>
    <w:rsid w:val="00524DC2"/>
    <w:rsid w:val="005254F0"/>
    <w:rsid w:val="00530688"/>
    <w:rsid w:val="005313C0"/>
    <w:rsid w:val="00531E8E"/>
    <w:rsid w:val="005346AA"/>
    <w:rsid w:val="00535410"/>
    <w:rsid w:val="00541C5F"/>
    <w:rsid w:val="00542689"/>
    <w:rsid w:val="00542A9B"/>
    <w:rsid w:val="00544FBF"/>
    <w:rsid w:val="00550078"/>
    <w:rsid w:val="00555DB8"/>
    <w:rsid w:val="00556019"/>
    <w:rsid w:val="00562966"/>
    <w:rsid w:val="00563030"/>
    <w:rsid w:val="00566C29"/>
    <w:rsid w:val="00567A8A"/>
    <w:rsid w:val="00575A27"/>
    <w:rsid w:val="00592433"/>
    <w:rsid w:val="00592656"/>
    <w:rsid w:val="00592879"/>
    <w:rsid w:val="00592D26"/>
    <w:rsid w:val="00592D5D"/>
    <w:rsid w:val="00593576"/>
    <w:rsid w:val="005962DC"/>
    <w:rsid w:val="005A06BF"/>
    <w:rsid w:val="005A11CE"/>
    <w:rsid w:val="005A5219"/>
    <w:rsid w:val="005A53A1"/>
    <w:rsid w:val="005B56AB"/>
    <w:rsid w:val="005B724D"/>
    <w:rsid w:val="005C0B7E"/>
    <w:rsid w:val="005C2363"/>
    <w:rsid w:val="005C62ED"/>
    <w:rsid w:val="005C6696"/>
    <w:rsid w:val="005D5B29"/>
    <w:rsid w:val="005F0C5B"/>
    <w:rsid w:val="005F169B"/>
    <w:rsid w:val="005F1F4A"/>
    <w:rsid w:val="005F4392"/>
    <w:rsid w:val="005F524F"/>
    <w:rsid w:val="005F584A"/>
    <w:rsid w:val="005F5B43"/>
    <w:rsid w:val="005F5BAF"/>
    <w:rsid w:val="005F5C63"/>
    <w:rsid w:val="005F6FF2"/>
    <w:rsid w:val="006004E6"/>
    <w:rsid w:val="0060640E"/>
    <w:rsid w:val="00606463"/>
    <w:rsid w:val="00606C50"/>
    <w:rsid w:val="00607643"/>
    <w:rsid w:val="006100E4"/>
    <w:rsid w:val="00610E38"/>
    <w:rsid w:val="0061330B"/>
    <w:rsid w:val="006133F1"/>
    <w:rsid w:val="00617416"/>
    <w:rsid w:val="0061794C"/>
    <w:rsid w:val="00624A46"/>
    <w:rsid w:val="006259C6"/>
    <w:rsid w:val="0062621C"/>
    <w:rsid w:val="00632E21"/>
    <w:rsid w:val="00633213"/>
    <w:rsid w:val="00635640"/>
    <w:rsid w:val="006375C7"/>
    <w:rsid w:val="0064078F"/>
    <w:rsid w:val="00644B0F"/>
    <w:rsid w:val="0064643E"/>
    <w:rsid w:val="00646B75"/>
    <w:rsid w:val="0065245A"/>
    <w:rsid w:val="00653B75"/>
    <w:rsid w:val="00660343"/>
    <w:rsid w:val="00663588"/>
    <w:rsid w:val="00666178"/>
    <w:rsid w:val="0068432C"/>
    <w:rsid w:val="00686A16"/>
    <w:rsid w:val="00692546"/>
    <w:rsid w:val="00694A1D"/>
    <w:rsid w:val="006A3A3F"/>
    <w:rsid w:val="006A45B5"/>
    <w:rsid w:val="006A5862"/>
    <w:rsid w:val="006A7009"/>
    <w:rsid w:val="006B0D87"/>
    <w:rsid w:val="006C3528"/>
    <w:rsid w:val="006C53B7"/>
    <w:rsid w:val="006C6254"/>
    <w:rsid w:val="006D6071"/>
    <w:rsid w:val="006E0197"/>
    <w:rsid w:val="006E06A7"/>
    <w:rsid w:val="006E1A48"/>
    <w:rsid w:val="006F0D3F"/>
    <w:rsid w:val="006F1545"/>
    <w:rsid w:val="006F2638"/>
    <w:rsid w:val="00700276"/>
    <w:rsid w:val="007007BC"/>
    <w:rsid w:val="00703ACD"/>
    <w:rsid w:val="00707003"/>
    <w:rsid w:val="00707577"/>
    <w:rsid w:val="00707AF6"/>
    <w:rsid w:val="00713741"/>
    <w:rsid w:val="00717F60"/>
    <w:rsid w:val="007260CE"/>
    <w:rsid w:val="0073165D"/>
    <w:rsid w:val="00737C03"/>
    <w:rsid w:val="007415F3"/>
    <w:rsid w:val="00743A10"/>
    <w:rsid w:val="00747003"/>
    <w:rsid w:val="0075187D"/>
    <w:rsid w:val="0076357A"/>
    <w:rsid w:val="007666D1"/>
    <w:rsid w:val="0076773A"/>
    <w:rsid w:val="0077711D"/>
    <w:rsid w:val="00782EA8"/>
    <w:rsid w:val="00785B2B"/>
    <w:rsid w:val="00785E19"/>
    <w:rsid w:val="00786016"/>
    <w:rsid w:val="00786C81"/>
    <w:rsid w:val="00787352"/>
    <w:rsid w:val="00787BAD"/>
    <w:rsid w:val="00790D5F"/>
    <w:rsid w:val="007924F6"/>
    <w:rsid w:val="00792770"/>
    <w:rsid w:val="007934AA"/>
    <w:rsid w:val="00796F07"/>
    <w:rsid w:val="007B06B2"/>
    <w:rsid w:val="007B73CE"/>
    <w:rsid w:val="007D4825"/>
    <w:rsid w:val="007D7250"/>
    <w:rsid w:val="007E11DD"/>
    <w:rsid w:val="007E59B2"/>
    <w:rsid w:val="007F3C1F"/>
    <w:rsid w:val="0080448F"/>
    <w:rsid w:val="0081094B"/>
    <w:rsid w:val="00813BCF"/>
    <w:rsid w:val="0082219F"/>
    <w:rsid w:val="00826C9A"/>
    <w:rsid w:val="00830064"/>
    <w:rsid w:val="00842E56"/>
    <w:rsid w:val="00846806"/>
    <w:rsid w:val="0085012A"/>
    <w:rsid w:val="00860C06"/>
    <w:rsid w:val="00864172"/>
    <w:rsid w:val="00866772"/>
    <w:rsid w:val="00867407"/>
    <w:rsid w:val="00870AA3"/>
    <w:rsid w:val="0088234E"/>
    <w:rsid w:val="008829A6"/>
    <w:rsid w:val="008909A0"/>
    <w:rsid w:val="00892D94"/>
    <w:rsid w:val="00895D98"/>
    <w:rsid w:val="00896D0A"/>
    <w:rsid w:val="008970FA"/>
    <w:rsid w:val="00897DC6"/>
    <w:rsid w:val="008A12E4"/>
    <w:rsid w:val="008A1ACD"/>
    <w:rsid w:val="008A274B"/>
    <w:rsid w:val="008A2A27"/>
    <w:rsid w:val="008A46AF"/>
    <w:rsid w:val="008A7DB1"/>
    <w:rsid w:val="008C15AF"/>
    <w:rsid w:val="008C5EDA"/>
    <w:rsid w:val="008C6419"/>
    <w:rsid w:val="008D0048"/>
    <w:rsid w:val="008D2264"/>
    <w:rsid w:val="008D2BDA"/>
    <w:rsid w:val="008D5DE8"/>
    <w:rsid w:val="008D70C3"/>
    <w:rsid w:val="008E2973"/>
    <w:rsid w:val="008E3CEC"/>
    <w:rsid w:val="008F3BEE"/>
    <w:rsid w:val="008F73DB"/>
    <w:rsid w:val="009072CB"/>
    <w:rsid w:val="00913A0E"/>
    <w:rsid w:val="009143E0"/>
    <w:rsid w:val="00920B4B"/>
    <w:rsid w:val="00920E20"/>
    <w:rsid w:val="00921CB5"/>
    <w:rsid w:val="00924379"/>
    <w:rsid w:val="00925FF7"/>
    <w:rsid w:val="00926C9F"/>
    <w:rsid w:val="00927EC0"/>
    <w:rsid w:val="00933249"/>
    <w:rsid w:val="009422E6"/>
    <w:rsid w:val="0094635F"/>
    <w:rsid w:val="00955382"/>
    <w:rsid w:val="00962D4F"/>
    <w:rsid w:val="009652F5"/>
    <w:rsid w:val="00967184"/>
    <w:rsid w:val="0097211E"/>
    <w:rsid w:val="00975FAB"/>
    <w:rsid w:val="0097632E"/>
    <w:rsid w:val="0097783D"/>
    <w:rsid w:val="00981403"/>
    <w:rsid w:val="00981E23"/>
    <w:rsid w:val="00983E1D"/>
    <w:rsid w:val="009A05A3"/>
    <w:rsid w:val="009A0631"/>
    <w:rsid w:val="009A585F"/>
    <w:rsid w:val="009A722E"/>
    <w:rsid w:val="009A7BA7"/>
    <w:rsid w:val="009B06C1"/>
    <w:rsid w:val="009B2989"/>
    <w:rsid w:val="009B2A80"/>
    <w:rsid w:val="009B37E7"/>
    <w:rsid w:val="009C1DBF"/>
    <w:rsid w:val="009C7FDD"/>
    <w:rsid w:val="009D77B0"/>
    <w:rsid w:val="009E1EEC"/>
    <w:rsid w:val="009E2E6B"/>
    <w:rsid w:val="009E31A4"/>
    <w:rsid w:val="009F2C27"/>
    <w:rsid w:val="009F2F77"/>
    <w:rsid w:val="00A0629F"/>
    <w:rsid w:val="00A066FD"/>
    <w:rsid w:val="00A0724A"/>
    <w:rsid w:val="00A07B49"/>
    <w:rsid w:val="00A07E90"/>
    <w:rsid w:val="00A11B90"/>
    <w:rsid w:val="00A25C2F"/>
    <w:rsid w:val="00A352FA"/>
    <w:rsid w:val="00A40357"/>
    <w:rsid w:val="00A45A99"/>
    <w:rsid w:val="00A45EFB"/>
    <w:rsid w:val="00A47E40"/>
    <w:rsid w:val="00A52E07"/>
    <w:rsid w:val="00A53E18"/>
    <w:rsid w:val="00A606B6"/>
    <w:rsid w:val="00A61163"/>
    <w:rsid w:val="00A6164E"/>
    <w:rsid w:val="00A63DBF"/>
    <w:rsid w:val="00A67298"/>
    <w:rsid w:val="00A742D6"/>
    <w:rsid w:val="00A7528A"/>
    <w:rsid w:val="00A85C41"/>
    <w:rsid w:val="00A87C18"/>
    <w:rsid w:val="00A933BE"/>
    <w:rsid w:val="00A954EE"/>
    <w:rsid w:val="00A964B9"/>
    <w:rsid w:val="00AA3412"/>
    <w:rsid w:val="00AA5F46"/>
    <w:rsid w:val="00AA6255"/>
    <w:rsid w:val="00AB0B8F"/>
    <w:rsid w:val="00AB0BF5"/>
    <w:rsid w:val="00AB1A2D"/>
    <w:rsid w:val="00AB6BD1"/>
    <w:rsid w:val="00AC27CE"/>
    <w:rsid w:val="00AC41C9"/>
    <w:rsid w:val="00AC4371"/>
    <w:rsid w:val="00AC5101"/>
    <w:rsid w:val="00AC6280"/>
    <w:rsid w:val="00AC6380"/>
    <w:rsid w:val="00AD015A"/>
    <w:rsid w:val="00AD21A7"/>
    <w:rsid w:val="00AD371A"/>
    <w:rsid w:val="00AD4960"/>
    <w:rsid w:val="00AD4B82"/>
    <w:rsid w:val="00AD5D96"/>
    <w:rsid w:val="00AD6D05"/>
    <w:rsid w:val="00AE0370"/>
    <w:rsid w:val="00AE0BF8"/>
    <w:rsid w:val="00AE7B14"/>
    <w:rsid w:val="00AF3433"/>
    <w:rsid w:val="00B0702A"/>
    <w:rsid w:val="00B147B3"/>
    <w:rsid w:val="00B169FF"/>
    <w:rsid w:val="00B16A19"/>
    <w:rsid w:val="00B22742"/>
    <w:rsid w:val="00B318B9"/>
    <w:rsid w:val="00B34C53"/>
    <w:rsid w:val="00B36808"/>
    <w:rsid w:val="00B36CA5"/>
    <w:rsid w:val="00B3722C"/>
    <w:rsid w:val="00B41352"/>
    <w:rsid w:val="00B4164C"/>
    <w:rsid w:val="00B4500C"/>
    <w:rsid w:val="00B46150"/>
    <w:rsid w:val="00B465E0"/>
    <w:rsid w:val="00B47A1A"/>
    <w:rsid w:val="00B50CD3"/>
    <w:rsid w:val="00B6494E"/>
    <w:rsid w:val="00B70419"/>
    <w:rsid w:val="00B70949"/>
    <w:rsid w:val="00B75DAC"/>
    <w:rsid w:val="00B82F31"/>
    <w:rsid w:val="00B90FC0"/>
    <w:rsid w:val="00B976D7"/>
    <w:rsid w:val="00BA2BAD"/>
    <w:rsid w:val="00BA6C54"/>
    <w:rsid w:val="00BB41B4"/>
    <w:rsid w:val="00BB7B6A"/>
    <w:rsid w:val="00BC55C3"/>
    <w:rsid w:val="00BC59D5"/>
    <w:rsid w:val="00BD12D3"/>
    <w:rsid w:val="00BD1B6A"/>
    <w:rsid w:val="00BD497D"/>
    <w:rsid w:val="00BE3A62"/>
    <w:rsid w:val="00BF57A3"/>
    <w:rsid w:val="00BF7DCC"/>
    <w:rsid w:val="00C011A6"/>
    <w:rsid w:val="00C03A9C"/>
    <w:rsid w:val="00C07FD8"/>
    <w:rsid w:val="00C13AD9"/>
    <w:rsid w:val="00C209AA"/>
    <w:rsid w:val="00C20E62"/>
    <w:rsid w:val="00C227CD"/>
    <w:rsid w:val="00C310A1"/>
    <w:rsid w:val="00C31462"/>
    <w:rsid w:val="00C3495A"/>
    <w:rsid w:val="00C624D0"/>
    <w:rsid w:val="00C66F3F"/>
    <w:rsid w:val="00C70223"/>
    <w:rsid w:val="00C73774"/>
    <w:rsid w:val="00C77B61"/>
    <w:rsid w:val="00CA0490"/>
    <w:rsid w:val="00CA06E1"/>
    <w:rsid w:val="00CB77FA"/>
    <w:rsid w:val="00CB7982"/>
    <w:rsid w:val="00CC6CC4"/>
    <w:rsid w:val="00CC6F36"/>
    <w:rsid w:val="00CD067E"/>
    <w:rsid w:val="00CD17F9"/>
    <w:rsid w:val="00CD22AD"/>
    <w:rsid w:val="00CD6EB4"/>
    <w:rsid w:val="00CE0A71"/>
    <w:rsid w:val="00CE2DDA"/>
    <w:rsid w:val="00CE6819"/>
    <w:rsid w:val="00CF59DE"/>
    <w:rsid w:val="00CF61A0"/>
    <w:rsid w:val="00CF627E"/>
    <w:rsid w:val="00CF650E"/>
    <w:rsid w:val="00D03BDB"/>
    <w:rsid w:val="00D06865"/>
    <w:rsid w:val="00D07236"/>
    <w:rsid w:val="00D0782C"/>
    <w:rsid w:val="00D117C6"/>
    <w:rsid w:val="00D13ADE"/>
    <w:rsid w:val="00D1733B"/>
    <w:rsid w:val="00D22EC5"/>
    <w:rsid w:val="00D25299"/>
    <w:rsid w:val="00D33B59"/>
    <w:rsid w:val="00D36CDE"/>
    <w:rsid w:val="00D47F3B"/>
    <w:rsid w:val="00D5152A"/>
    <w:rsid w:val="00D55249"/>
    <w:rsid w:val="00D57433"/>
    <w:rsid w:val="00D748BC"/>
    <w:rsid w:val="00D85407"/>
    <w:rsid w:val="00D868D1"/>
    <w:rsid w:val="00D926A9"/>
    <w:rsid w:val="00DA29F9"/>
    <w:rsid w:val="00DA3A19"/>
    <w:rsid w:val="00DA435D"/>
    <w:rsid w:val="00DA5762"/>
    <w:rsid w:val="00DA764B"/>
    <w:rsid w:val="00DB011D"/>
    <w:rsid w:val="00DB5285"/>
    <w:rsid w:val="00DB628A"/>
    <w:rsid w:val="00DD2061"/>
    <w:rsid w:val="00DD6E79"/>
    <w:rsid w:val="00DE7C1A"/>
    <w:rsid w:val="00DF2354"/>
    <w:rsid w:val="00DF2889"/>
    <w:rsid w:val="00DF31DC"/>
    <w:rsid w:val="00DF377E"/>
    <w:rsid w:val="00DF4DCB"/>
    <w:rsid w:val="00DF79E3"/>
    <w:rsid w:val="00E0132B"/>
    <w:rsid w:val="00E04E3C"/>
    <w:rsid w:val="00E05AB8"/>
    <w:rsid w:val="00E05F0E"/>
    <w:rsid w:val="00E0700D"/>
    <w:rsid w:val="00E1090E"/>
    <w:rsid w:val="00E160C8"/>
    <w:rsid w:val="00E17AD4"/>
    <w:rsid w:val="00E222D5"/>
    <w:rsid w:val="00E23B29"/>
    <w:rsid w:val="00E2429F"/>
    <w:rsid w:val="00E267ED"/>
    <w:rsid w:val="00E30674"/>
    <w:rsid w:val="00E33648"/>
    <w:rsid w:val="00E33ECA"/>
    <w:rsid w:val="00E37F9E"/>
    <w:rsid w:val="00E40B46"/>
    <w:rsid w:val="00E40E69"/>
    <w:rsid w:val="00E42713"/>
    <w:rsid w:val="00E46627"/>
    <w:rsid w:val="00E529F4"/>
    <w:rsid w:val="00E55018"/>
    <w:rsid w:val="00E600A3"/>
    <w:rsid w:val="00E62675"/>
    <w:rsid w:val="00E63118"/>
    <w:rsid w:val="00E710BB"/>
    <w:rsid w:val="00E81B77"/>
    <w:rsid w:val="00E85158"/>
    <w:rsid w:val="00E86C9E"/>
    <w:rsid w:val="00EA2D75"/>
    <w:rsid w:val="00EA706B"/>
    <w:rsid w:val="00EB3D7E"/>
    <w:rsid w:val="00EB5A5D"/>
    <w:rsid w:val="00EB6DED"/>
    <w:rsid w:val="00EB7619"/>
    <w:rsid w:val="00EC485A"/>
    <w:rsid w:val="00ED2B0A"/>
    <w:rsid w:val="00ED7BF2"/>
    <w:rsid w:val="00EE2BB4"/>
    <w:rsid w:val="00EE2BC1"/>
    <w:rsid w:val="00EE43C2"/>
    <w:rsid w:val="00EE5A84"/>
    <w:rsid w:val="00EE7C94"/>
    <w:rsid w:val="00EF0912"/>
    <w:rsid w:val="00EF2459"/>
    <w:rsid w:val="00F0495C"/>
    <w:rsid w:val="00F05C6C"/>
    <w:rsid w:val="00F1029E"/>
    <w:rsid w:val="00F10730"/>
    <w:rsid w:val="00F1455F"/>
    <w:rsid w:val="00F17150"/>
    <w:rsid w:val="00F17321"/>
    <w:rsid w:val="00F22C56"/>
    <w:rsid w:val="00F25630"/>
    <w:rsid w:val="00F30B33"/>
    <w:rsid w:val="00F377B2"/>
    <w:rsid w:val="00F42384"/>
    <w:rsid w:val="00F52B42"/>
    <w:rsid w:val="00F54E60"/>
    <w:rsid w:val="00F56322"/>
    <w:rsid w:val="00F564F6"/>
    <w:rsid w:val="00F629A5"/>
    <w:rsid w:val="00F65043"/>
    <w:rsid w:val="00F734E3"/>
    <w:rsid w:val="00F82E4B"/>
    <w:rsid w:val="00F877F8"/>
    <w:rsid w:val="00F87D13"/>
    <w:rsid w:val="00F934B8"/>
    <w:rsid w:val="00FA0457"/>
    <w:rsid w:val="00FA4AB8"/>
    <w:rsid w:val="00FC0579"/>
    <w:rsid w:val="00FC180C"/>
    <w:rsid w:val="00FC462D"/>
    <w:rsid w:val="00FD2413"/>
    <w:rsid w:val="00FD264B"/>
    <w:rsid w:val="00FD4483"/>
    <w:rsid w:val="00FE66CD"/>
    <w:rsid w:val="00FE7C4F"/>
    <w:rsid w:val="00FF210F"/>
    <w:rsid w:val="00FF2261"/>
    <w:rsid w:val="0219C68A"/>
    <w:rsid w:val="0226FEC0"/>
    <w:rsid w:val="02D35D37"/>
    <w:rsid w:val="06BD33EF"/>
    <w:rsid w:val="09A75841"/>
    <w:rsid w:val="0B4F025A"/>
    <w:rsid w:val="0BA9A6B8"/>
    <w:rsid w:val="0CBF162E"/>
    <w:rsid w:val="0D6E469A"/>
    <w:rsid w:val="0DDFFF4D"/>
    <w:rsid w:val="0E141AF4"/>
    <w:rsid w:val="0F3E647A"/>
    <w:rsid w:val="0FEBE107"/>
    <w:rsid w:val="1140BBF0"/>
    <w:rsid w:val="1227EDDB"/>
    <w:rsid w:val="12E3CC98"/>
    <w:rsid w:val="13BD7E98"/>
    <w:rsid w:val="197FAD34"/>
    <w:rsid w:val="1C3E32A8"/>
    <w:rsid w:val="1C5B41FD"/>
    <w:rsid w:val="1D86A0D4"/>
    <w:rsid w:val="207F50C9"/>
    <w:rsid w:val="208BF330"/>
    <w:rsid w:val="21F3B7EA"/>
    <w:rsid w:val="23B380DC"/>
    <w:rsid w:val="245469B5"/>
    <w:rsid w:val="250D0449"/>
    <w:rsid w:val="27428D99"/>
    <w:rsid w:val="27C64C8C"/>
    <w:rsid w:val="27F920F1"/>
    <w:rsid w:val="2814A862"/>
    <w:rsid w:val="285EC8E5"/>
    <w:rsid w:val="2A52FA7E"/>
    <w:rsid w:val="2C1498F0"/>
    <w:rsid w:val="2DF9DEF2"/>
    <w:rsid w:val="318CE1F9"/>
    <w:rsid w:val="34EBF3F0"/>
    <w:rsid w:val="356A058B"/>
    <w:rsid w:val="367D5AE2"/>
    <w:rsid w:val="380B28C3"/>
    <w:rsid w:val="38F159E7"/>
    <w:rsid w:val="3A2892F7"/>
    <w:rsid w:val="3A527200"/>
    <w:rsid w:val="3BD689A6"/>
    <w:rsid w:val="3BEDCED8"/>
    <w:rsid w:val="3D7A0BD8"/>
    <w:rsid w:val="3E309062"/>
    <w:rsid w:val="404AE15A"/>
    <w:rsid w:val="418D4D87"/>
    <w:rsid w:val="45EA3374"/>
    <w:rsid w:val="4B8FE28D"/>
    <w:rsid w:val="4BE13614"/>
    <w:rsid w:val="4BFA2BE3"/>
    <w:rsid w:val="4D5C568D"/>
    <w:rsid w:val="4D6140FC"/>
    <w:rsid w:val="4E261D97"/>
    <w:rsid w:val="4F853430"/>
    <w:rsid w:val="5042916C"/>
    <w:rsid w:val="50AD88F6"/>
    <w:rsid w:val="530C1430"/>
    <w:rsid w:val="53B400D5"/>
    <w:rsid w:val="53BC6BA3"/>
    <w:rsid w:val="557DFE9D"/>
    <w:rsid w:val="56FA4322"/>
    <w:rsid w:val="5991EBB3"/>
    <w:rsid w:val="5AFA3C88"/>
    <w:rsid w:val="5D030AAB"/>
    <w:rsid w:val="5DC7AFFE"/>
    <w:rsid w:val="5F669815"/>
    <w:rsid w:val="5F8890FD"/>
    <w:rsid w:val="61C48241"/>
    <w:rsid w:val="61F7F59D"/>
    <w:rsid w:val="62756400"/>
    <w:rsid w:val="648B9A31"/>
    <w:rsid w:val="668FF4AC"/>
    <w:rsid w:val="67AFAC81"/>
    <w:rsid w:val="67EF902F"/>
    <w:rsid w:val="68761DAC"/>
    <w:rsid w:val="68B9BBE3"/>
    <w:rsid w:val="698A0618"/>
    <w:rsid w:val="69D6DA05"/>
    <w:rsid w:val="6A03101B"/>
    <w:rsid w:val="6B1F6FC9"/>
    <w:rsid w:val="6DCF2D0A"/>
    <w:rsid w:val="6E2AED8A"/>
    <w:rsid w:val="6E5CBDB1"/>
    <w:rsid w:val="71A15428"/>
    <w:rsid w:val="74000376"/>
    <w:rsid w:val="768E7990"/>
    <w:rsid w:val="76E5A92B"/>
    <w:rsid w:val="78BB81F1"/>
    <w:rsid w:val="7B1B099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E5A81"/>
  <w14:defaultImageDpi w14:val="300"/>
  <w15:docId w15:val="{1044BC0F-CC8B-49B0-8762-B8307A54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6C625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4371"/>
    <w:pPr>
      <w:tabs>
        <w:tab w:val="center" w:pos="4252"/>
        <w:tab w:val="right" w:pos="8504"/>
      </w:tabs>
    </w:pPr>
  </w:style>
  <w:style w:type="character" w:customStyle="1" w:styleId="EncabezadoCar">
    <w:name w:val="Encabezado Car"/>
    <w:basedOn w:val="Fuentedeprrafopredeter"/>
    <w:link w:val="Encabezado"/>
    <w:uiPriority w:val="99"/>
    <w:rsid w:val="00AC4371"/>
  </w:style>
  <w:style w:type="paragraph" w:styleId="Piedepgina">
    <w:name w:val="footer"/>
    <w:basedOn w:val="Normal"/>
    <w:link w:val="PiedepginaCar"/>
    <w:uiPriority w:val="99"/>
    <w:unhideWhenUsed/>
    <w:rsid w:val="00AC4371"/>
    <w:pPr>
      <w:tabs>
        <w:tab w:val="center" w:pos="4252"/>
        <w:tab w:val="right" w:pos="8504"/>
      </w:tabs>
    </w:pPr>
  </w:style>
  <w:style w:type="character" w:customStyle="1" w:styleId="PiedepginaCar">
    <w:name w:val="Pie de página Car"/>
    <w:basedOn w:val="Fuentedeprrafopredeter"/>
    <w:link w:val="Piedepgina"/>
    <w:uiPriority w:val="99"/>
    <w:rsid w:val="00AC4371"/>
  </w:style>
  <w:style w:type="paragraph" w:styleId="Textodeglobo">
    <w:name w:val="Balloon Text"/>
    <w:basedOn w:val="Normal"/>
    <w:link w:val="TextodegloboCar"/>
    <w:uiPriority w:val="99"/>
    <w:semiHidden/>
    <w:unhideWhenUsed/>
    <w:rsid w:val="00AC437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C4371"/>
    <w:rPr>
      <w:rFonts w:ascii="Lucida Grande" w:hAnsi="Lucida Grande" w:cs="Lucida Grande"/>
      <w:sz w:val="18"/>
      <w:szCs w:val="18"/>
    </w:rPr>
  </w:style>
  <w:style w:type="paragraph" w:styleId="TDC1">
    <w:name w:val="toc 1"/>
    <w:basedOn w:val="Normal"/>
    <w:next w:val="Normal"/>
    <w:autoRedefine/>
    <w:uiPriority w:val="39"/>
    <w:unhideWhenUsed/>
    <w:rsid w:val="00592879"/>
    <w:pPr>
      <w:spacing w:after="100"/>
    </w:pPr>
    <w:rPr>
      <w:rFonts w:ascii="Arial" w:hAnsi="Arial"/>
      <w:sz w:val="22"/>
    </w:rPr>
  </w:style>
  <w:style w:type="paragraph" w:styleId="TDC2">
    <w:name w:val="toc 2"/>
    <w:basedOn w:val="Normal"/>
    <w:next w:val="Normal"/>
    <w:autoRedefine/>
    <w:uiPriority w:val="39"/>
    <w:unhideWhenUsed/>
    <w:rsid w:val="00592879"/>
    <w:pPr>
      <w:spacing w:after="100"/>
      <w:ind w:left="240"/>
    </w:pPr>
    <w:rPr>
      <w:rFonts w:ascii="Arial" w:hAnsi="Arial"/>
      <w:sz w:val="22"/>
    </w:rPr>
  </w:style>
  <w:style w:type="paragraph" w:styleId="TDC4">
    <w:name w:val="toc 4"/>
    <w:basedOn w:val="Normal"/>
    <w:next w:val="Normal"/>
    <w:autoRedefine/>
    <w:uiPriority w:val="39"/>
    <w:unhideWhenUsed/>
    <w:rsid w:val="00592879"/>
    <w:pPr>
      <w:spacing w:after="100"/>
      <w:ind w:left="720"/>
    </w:pPr>
    <w:rPr>
      <w:rFonts w:ascii="Arial" w:hAnsi="Arial"/>
      <w:sz w:val="22"/>
    </w:rPr>
  </w:style>
  <w:style w:type="paragraph" w:styleId="TDC3">
    <w:name w:val="toc 3"/>
    <w:basedOn w:val="Normal"/>
    <w:next w:val="Normal"/>
    <w:autoRedefine/>
    <w:uiPriority w:val="39"/>
    <w:unhideWhenUsed/>
    <w:rsid w:val="00592879"/>
    <w:pPr>
      <w:spacing w:after="100"/>
      <w:ind w:left="480"/>
    </w:pPr>
    <w:rPr>
      <w:rFonts w:ascii="Arial" w:hAnsi="Arial"/>
      <w:sz w:val="22"/>
    </w:rPr>
  </w:style>
  <w:style w:type="numbering" w:styleId="1ai">
    <w:name w:val="Outline List 1"/>
    <w:basedOn w:val="Sinlista"/>
    <w:uiPriority w:val="99"/>
    <w:semiHidden/>
    <w:unhideWhenUsed/>
    <w:rsid w:val="00592879"/>
    <w:pPr>
      <w:numPr>
        <w:numId w:val="4"/>
      </w:numPr>
    </w:pPr>
  </w:style>
  <w:style w:type="paragraph" w:styleId="TDC5">
    <w:name w:val="toc 5"/>
    <w:basedOn w:val="Normal"/>
    <w:next w:val="Normal"/>
    <w:autoRedefine/>
    <w:uiPriority w:val="39"/>
    <w:unhideWhenUsed/>
    <w:rsid w:val="00592879"/>
    <w:pPr>
      <w:spacing w:after="100"/>
      <w:ind w:left="960"/>
    </w:pPr>
    <w:rPr>
      <w:rFonts w:ascii="Arial" w:hAnsi="Arial"/>
      <w:sz w:val="22"/>
    </w:rPr>
  </w:style>
  <w:style w:type="paragraph" w:styleId="TDC6">
    <w:name w:val="toc 6"/>
    <w:basedOn w:val="Normal"/>
    <w:next w:val="Normal"/>
    <w:autoRedefine/>
    <w:uiPriority w:val="39"/>
    <w:unhideWhenUsed/>
    <w:rsid w:val="00592879"/>
    <w:pPr>
      <w:spacing w:after="100"/>
      <w:ind w:left="1200"/>
    </w:pPr>
    <w:rPr>
      <w:rFonts w:ascii="Arial" w:hAnsi="Arial"/>
      <w:sz w:val="22"/>
    </w:rPr>
  </w:style>
  <w:style w:type="paragraph" w:styleId="TDC7">
    <w:name w:val="toc 7"/>
    <w:basedOn w:val="Normal"/>
    <w:next w:val="Normal"/>
    <w:autoRedefine/>
    <w:uiPriority w:val="39"/>
    <w:unhideWhenUsed/>
    <w:rsid w:val="00592879"/>
    <w:pPr>
      <w:spacing w:after="100"/>
      <w:ind w:left="1440"/>
    </w:pPr>
    <w:rPr>
      <w:rFonts w:ascii="Arial" w:hAnsi="Arial"/>
      <w:sz w:val="22"/>
    </w:rPr>
  </w:style>
  <w:style w:type="paragraph" w:styleId="TDC8">
    <w:name w:val="toc 8"/>
    <w:basedOn w:val="Normal"/>
    <w:next w:val="Normal"/>
    <w:autoRedefine/>
    <w:uiPriority w:val="39"/>
    <w:unhideWhenUsed/>
    <w:rsid w:val="00592879"/>
    <w:pPr>
      <w:spacing w:after="100"/>
      <w:ind w:left="1680"/>
    </w:pPr>
    <w:rPr>
      <w:rFonts w:ascii="Arial" w:hAnsi="Arial"/>
      <w:sz w:val="22"/>
    </w:rPr>
  </w:style>
  <w:style w:type="paragraph" w:styleId="TDC9">
    <w:name w:val="toc 9"/>
    <w:basedOn w:val="Normal"/>
    <w:next w:val="Normal"/>
    <w:autoRedefine/>
    <w:uiPriority w:val="39"/>
    <w:unhideWhenUsed/>
    <w:rsid w:val="00AF3433"/>
    <w:pPr>
      <w:spacing w:after="100"/>
    </w:pPr>
    <w:rPr>
      <w:rFonts w:ascii="Arial" w:hAnsi="Arial"/>
      <w:sz w:val="22"/>
    </w:rPr>
  </w:style>
  <w:style w:type="character" w:styleId="Hipervnculo">
    <w:name w:val="Hyperlink"/>
    <w:basedOn w:val="Fuentedeprrafopredeter"/>
    <w:uiPriority w:val="99"/>
    <w:unhideWhenUsed/>
    <w:rsid w:val="003A1997"/>
    <w:rPr>
      <w:color w:val="0000FF" w:themeColor="hyperlink"/>
      <w:u w:val="single"/>
    </w:rPr>
  </w:style>
  <w:style w:type="character" w:customStyle="1" w:styleId="Mencionar1">
    <w:name w:val="Mencionar1"/>
    <w:basedOn w:val="Fuentedeprrafopredeter"/>
    <w:uiPriority w:val="99"/>
    <w:semiHidden/>
    <w:unhideWhenUsed/>
    <w:rsid w:val="003A1997"/>
    <w:rPr>
      <w:color w:val="2B579A"/>
      <w:shd w:val="clear" w:color="auto" w:fill="E6E6E6"/>
    </w:rPr>
  </w:style>
  <w:style w:type="character" w:styleId="Refdecomentario">
    <w:name w:val="annotation reference"/>
    <w:basedOn w:val="Fuentedeprrafopredeter"/>
    <w:uiPriority w:val="99"/>
    <w:semiHidden/>
    <w:unhideWhenUsed/>
    <w:rsid w:val="00C13AD9"/>
    <w:rPr>
      <w:sz w:val="16"/>
      <w:szCs w:val="16"/>
    </w:rPr>
  </w:style>
  <w:style w:type="paragraph" w:styleId="Textocomentario">
    <w:name w:val="annotation text"/>
    <w:basedOn w:val="Normal"/>
    <w:link w:val="TextocomentarioCar"/>
    <w:uiPriority w:val="99"/>
    <w:unhideWhenUsed/>
    <w:rsid w:val="00C13AD9"/>
    <w:rPr>
      <w:sz w:val="20"/>
      <w:szCs w:val="20"/>
    </w:rPr>
  </w:style>
  <w:style w:type="character" w:customStyle="1" w:styleId="TextocomentarioCar">
    <w:name w:val="Texto comentario Car"/>
    <w:basedOn w:val="Fuentedeprrafopredeter"/>
    <w:link w:val="Textocomentario"/>
    <w:uiPriority w:val="99"/>
    <w:rsid w:val="00C13AD9"/>
    <w:rPr>
      <w:sz w:val="20"/>
      <w:szCs w:val="20"/>
    </w:rPr>
  </w:style>
  <w:style w:type="paragraph" w:styleId="Asuntodelcomentario">
    <w:name w:val="annotation subject"/>
    <w:basedOn w:val="Textocomentario"/>
    <w:next w:val="Textocomentario"/>
    <w:link w:val="AsuntodelcomentarioCar"/>
    <w:uiPriority w:val="99"/>
    <w:semiHidden/>
    <w:unhideWhenUsed/>
    <w:rsid w:val="00C13AD9"/>
    <w:rPr>
      <w:b/>
      <w:bCs/>
    </w:rPr>
  </w:style>
  <w:style w:type="character" w:customStyle="1" w:styleId="AsuntodelcomentarioCar">
    <w:name w:val="Asunto del comentario Car"/>
    <w:basedOn w:val="TextocomentarioCar"/>
    <w:link w:val="Asuntodelcomentario"/>
    <w:uiPriority w:val="99"/>
    <w:semiHidden/>
    <w:rsid w:val="00C13AD9"/>
    <w:rPr>
      <w:b/>
      <w:bCs/>
      <w:sz w:val="20"/>
      <w:szCs w:val="20"/>
    </w:rPr>
  </w:style>
  <w:style w:type="table" w:styleId="Tablaconcuadrcula">
    <w:name w:val="Table Grid"/>
    <w:basedOn w:val="Tablanormal"/>
    <w:rsid w:val="004F2547"/>
    <w:rPr>
      <w:rFonts w:ascii="Times New Roman" w:eastAsia="Times New Roman" w:hAnsi="Times New Roman" w:cs="Times New Roman"/>
      <w:sz w:val="20"/>
      <w:szCs w:val="20"/>
      <w:lang w:val="es-MX" w:eastAsia="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A8A"/>
    <w:pPr>
      <w:autoSpaceDE w:val="0"/>
      <w:autoSpaceDN w:val="0"/>
      <w:adjustRightInd w:val="0"/>
    </w:pPr>
    <w:rPr>
      <w:rFonts w:ascii="Arial" w:hAnsi="Arial" w:cs="Arial"/>
      <w:color w:val="000000"/>
      <w:lang w:val="es-CL" w:bidi="he-IL"/>
    </w:rPr>
  </w:style>
  <w:style w:type="paragraph" w:styleId="Textonotapie">
    <w:name w:val="footnote text"/>
    <w:basedOn w:val="Normal"/>
    <w:link w:val="TextonotapieCar"/>
    <w:uiPriority w:val="99"/>
    <w:semiHidden/>
    <w:unhideWhenUsed/>
    <w:rsid w:val="00D13ADE"/>
    <w:rPr>
      <w:rFonts w:eastAsiaTheme="minorHAnsi"/>
      <w:sz w:val="20"/>
      <w:szCs w:val="20"/>
      <w:lang w:val="es-CL" w:eastAsia="en-US"/>
    </w:rPr>
  </w:style>
  <w:style w:type="character" w:customStyle="1" w:styleId="TextonotapieCar">
    <w:name w:val="Texto nota pie Car"/>
    <w:basedOn w:val="Fuentedeprrafopredeter"/>
    <w:link w:val="Textonotapie"/>
    <w:uiPriority w:val="99"/>
    <w:semiHidden/>
    <w:rsid w:val="00D13ADE"/>
    <w:rPr>
      <w:rFonts w:eastAsiaTheme="minorHAnsi"/>
      <w:sz w:val="20"/>
      <w:szCs w:val="20"/>
      <w:lang w:val="es-CL" w:eastAsia="en-US"/>
    </w:rPr>
  </w:style>
  <w:style w:type="paragraph" w:styleId="Prrafodelista">
    <w:name w:val="List Paragraph"/>
    <w:basedOn w:val="Normal"/>
    <w:uiPriority w:val="34"/>
    <w:qFormat/>
    <w:rsid w:val="00D13ADE"/>
    <w:pPr>
      <w:spacing w:after="160" w:line="256" w:lineRule="auto"/>
      <w:ind w:left="720"/>
      <w:contextualSpacing/>
    </w:pPr>
    <w:rPr>
      <w:rFonts w:eastAsiaTheme="minorHAnsi"/>
      <w:sz w:val="22"/>
      <w:szCs w:val="22"/>
      <w:lang w:val="es-CL" w:eastAsia="en-US"/>
    </w:rPr>
  </w:style>
  <w:style w:type="character" w:styleId="Refdenotaalpie">
    <w:name w:val="footnote reference"/>
    <w:basedOn w:val="Fuentedeprrafopredeter"/>
    <w:uiPriority w:val="99"/>
    <w:semiHidden/>
    <w:unhideWhenUsed/>
    <w:rsid w:val="00D13ADE"/>
    <w:rPr>
      <w:vertAlign w:val="superscript"/>
    </w:rPr>
  </w:style>
  <w:style w:type="paragraph" w:styleId="Descripcin">
    <w:name w:val="caption"/>
    <w:basedOn w:val="Normal"/>
    <w:next w:val="Normal"/>
    <w:uiPriority w:val="35"/>
    <w:unhideWhenUsed/>
    <w:qFormat/>
    <w:rsid w:val="00B147B3"/>
    <w:pPr>
      <w:spacing w:after="200"/>
    </w:pPr>
    <w:rPr>
      <w:i/>
      <w:iCs/>
      <w:color w:val="1F497D" w:themeColor="text2"/>
      <w:sz w:val="18"/>
      <w:szCs w:val="18"/>
    </w:rPr>
  </w:style>
  <w:style w:type="character" w:customStyle="1" w:styleId="Ttulo2Car">
    <w:name w:val="Título 2 Car"/>
    <w:basedOn w:val="Fuentedeprrafopredeter"/>
    <w:link w:val="Ttulo2"/>
    <w:uiPriority w:val="9"/>
    <w:rsid w:val="006C6254"/>
    <w:rPr>
      <w:rFonts w:asciiTheme="majorHAnsi" w:eastAsiaTheme="majorEastAsia" w:hAnsiTheme="majorHAnsi" w:cstheme="majorBidi"/>
      <w:color w:val="365F91" w:themeColor="accent1" w:themeShade="BF"/>
      <w:sz w:val="26"/>
      <w:szCs w:val="26"/>
    </w:rPr>
  </w:style>
  <w:style w:type="character" w:styleId="Mencinsinresolver">
    <w:name w:val="Unresolved Mention"/>
    <w:basedOn w:val="Fuentedeprrafopredeter"/>
    <w:uiPriority w:val="99"/>
    <w:semiHidden/>
    <w:unhideWhenUsed/>
    <w:rsid w:val="00830064"/>
    <w:rPr>
      <w:color w:val="605E5C"/>
      <w:shd w:val="clear" w:color="auto" w:fill="E1DFDD"/>
    </w:rPr>
  </w:style>
  <w:style w:type="paragraph" w:styleId="Revisin">
    <w:name w:val="Revision"/>
    <w:hidden/>
    <w:uiPriority w:val="99"/>
    <w:semiHidden/>
    <w:rsid w:val="0050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02970">
      <w:bodyDiv w:val="1"/>
      <w:marLeft w:val="0"/>
      <w:marRight w:val="0"/>
      <w:marTop w:val="0"/>
      <w:marBottom w:val="0"/>
      <w:divBdr>
        <w:top w:val="none" w:sz="0" w:space="0" w:color="auto"/>
        <w:left w:val="none" w:sz="0" w:space="0" w:color="auto"/>
        <w:bottom w:val="none" w:sz="0" w:space="0" w:color="auto"/>
        <w:right w:val="none" w:sz="0" w:space="0" w:color="auto"/>
      </w:divBdr>
    </w:div>
    <w:div w:id="51270240">
      <w:bodyDiv w:val="1"/>
      <w:marLeft w:val="0"/>
      <w:marRight w:val="0"/>
      <w:marTop w:val="0"/>
      <w:marBottom w:val="0"/>
      <w:divBdr>
        <w:top w:val="none" w:sz="0" w:space="0" w:color="auto"/>
        <w:left w:val="none" w:sz="0" w:space="0" w:color="auto"/>
        <w:bottom w:val="none" w:sz="0" w:space="0" w:color="auto"/>
        <w:right w:val="none" w:sz="0" w:space="0" w:color="auto"/>
      </w:divBdr>
    </w:div>
    <w:div w:id="75833475">
      <w:bodyDiv w:val="1"/>
      <w:marLeft w:val="0"/>
      <w:marRight w:val="0"/>
      <w:marTop w:val="0"/>
      <w:marBottom w:val="0"/>
      <w:divBdr>
        <w:top w:val="none" w:sz="0" w:space="0" w:color="auto"/>
        <w:left w:val="none" w:sz="0" w:space="0" w:color="auto"/>
        <w:bottom w:val="none" w:sz="0" w:space="0" w:color="auto"/>
        <w:right w:val="none" w:sz="0" w:space="0" w:color="auto"/>
      </w:divBdr>
    </w:div>
    <w:div w:id="103967278">
      <w:bodyDiv w:val="1"/>
      <w:marLeft w:val="0"/>
      <w:marRight w:val="0"/>
      <w:marTop w:val="0"/>
      <w:marBottom w:val="0"/>
      <w:divBdr>
        <w:top w:val="none" w:sz="0" w:space="0" w:color="auto"/>
        <w:left w:val="none" w:sz="0" w:space="0" w:color="auto"/>
        <w:bottom w:val="none" w:sz="0" w:space="0" w:color="auto"/>
        <w:right w:val="none" w:sz="0" w:space="0" w:color="auto"/>
      </w:divBdr>
      <w:divsChild>
        <w:div w:id="2143687741">
          <w:marLeft w:val="0"/>
          <w:marRight w:val="0"/>
          <w:marTop w:val="0"/>
          <w:marBottom w:val="0"/>
          <w:divBdr>
            <w:top w:val="none" w:sz="0" w:space="0" w:color="auto"/>
            <w:left w:val="none" w:sz="0" w:space="0" w:color="auto"/>
            <w:bottom w:val="none" w:sz="0" w:space="0" w:color="auto"/>
            <w:right w:val="none" w:sz="0" w:space="0" w:color="auto"/>
          </w:divBdr>
        </w:div>
      </w:divsChild>
    </w:div>
    <w:div w:id="135875916">
      <w:bodyDiv w:val="1"/>
      <w:marLeft w:val="0"/>
      <w:marRight w:val="0"/>
      <w:marTop w:val="0"/>
      <w:marBottom w:val="0"/>
      <w:divBdr>
        <w:top w:val="none" w:sz="0" w:space="0" w:color="auto"/>
        <w:left w:val="none" w:sz="0" w:space="0" w:color="auto"/>
        <w:bottom w:val="none" w:sz="0" w:space="0" w:color="auto"/>
        <w:right w:val="none" w:sz="0" w:space="0" w:color="auto"/>
      </w:divBdr>
    </w:div>
    <w:div w:id="161630609">
      <w:bodyDiv w:val="1"/>
      <w:marLeft w:val="0"/>
      <w:marRight w:val="0"/>
      <w:marTop w:val="0"/>
      <w:marBottom w:val="0"/>
      <w:divBdr>
        <w:top w:val="none" w:sz="0" w:space="0" w:color="auto"/>
        <w:left w:val="none" w:sz="0" w:space="0" w:color="auto"/>
        <w:bottom w:val="none" w:sz="0" w:space="0" w:color="auto"/>
        <w:right w:val="none" w:sz="0" w:space="0" w:color="auto"/>
      </w:divBdr>
      <w:divsChild>
        <w:div w:id="49154786">
          <w:marLeft w:val="0"/>
          <w:marRight w:val="0"/>
          <w:marTop w:val="0"/>
          <w:marBottom w:val="0"/>
          <w:divBdr>
            <w:top w:val="none" w:sz="0" w:space="0" w:color="auto"/>
            <w:left w:val="none" w:sz="0" w:space="0" w:color="auto"/>
            <w:bottom w:val="none" w:sz="0" w:space="0" w:color="auto"/>
            <w:right w:val="none" w:sz="0" w:space="0" w:color="auto"/>
          </w:divBdr>
        </w:div>
      </w:divsChild>
    </w:div>
    <w:div w:id="177157358">
      <w:bodyDiv w:val="1"/>
      <w:marLeft w:val="0"/>
      <w:marRight w:val="0"/>
      <w:marTop w:val="0"/>
      <w:marBottom w:val="0"/>
      <w:divBdr>
        <w:top w:val="none" w:sz="0" w:space="0" w:color="auto"/>
        <w:left w:val="none" w:sz="0" w:space="0" w:color="auto"/>
        <w:bottom w:val="none" w:sz="0" w:space="0" w:color="auto"/>
        <w:right w:val="none" w:sz="0" w:space="0" w:color="auto"/>
      </w:divBdr>
    </w:div>
    <w:div w:id="183178862">
      <w:bodyDiv w:val="1"/>
      <w:marLeft w:val="0"/>
      <w:marRight w:val="0"/>
      <w:marTop w:val="0"/>
      <w:marBottom w:val="0"/>
      <w:divBdr>
        <w:top w:val="none" w:sz="0" w:space="0" w:color="auto"/>
        <w:left w:val="none" w:sz="0" w:space="0" w:color="auto"/>
        <w:bottom w:val="none" w:sz="0" w:space="0" w:color="auto"/>
        <w:right w:val="none" w:sz="0" w:space="0" w:color="auto"/>
      </w:divBdr>
    </w:div>
    <w:div w:id="231278216">
      <w:bodyDiv w:val="1"/>
      <w:marLeft w:val="0"/>
      <w:marRight w:val="0"/>
      <w:marTop w:val="0"/>
      <w:marBottom w:val="0"/>
      <w:divBdr>
        <w:top w:val="none" w:sz="0" w:space="0" w:color="auto"/>
        <w:left w:val="none" w:sz="0" w:space="0" w:color="auto"/>
        <w:bottom w:val="none" w:sz="0" w:space="0" w:color="auto"/>
        <w:right w:val="none" w:sz="0" w:space="0" w:color="auto"/>
      </w:divBdr>
    </w:div>
    <w:div w:id="243879723">
      <w:bodyDiv w:val="1"/>
      <w:marLeft w:val="0"/>
      <w:marRight w:val="0"/>
      <w:marTop w:val="0"/>
      <w:marBottom w:val="0"/>
      <w:divBdr>
        <w:top w:val="none" w:sz="0" w:space="0" w:color="auto"/>
        <w:left w:val="none" w:sz="0" w:space="0" w:color="auto"/>
        <w:bottom w:val="none" w:sz="0" w:space="0" w:color="auto"/>
        <w:right w:val="none" w:sz="0" w:space="0" w:color="auto"/>
      </w:divBdr>
      <w:divsChild>
        <w:div w:id="158543479">
          <w:marLeft w:val="0"/>
          <w:marRight w:val="0"/>
          <w:marTop w:val="0"/>
          <w:marBottom w:val="0"/>
          <w:divBdr>
            <w:top w:val="none" w:sz="0" w:space="0" w:color="auto"/>
            <w:left w:val="none" w:sz="0" w:space="0" w:color="auto"/>
            <w:bottom w:val="none" w:sz="0" w:space="0" w:color="auto"/>
            <w:right w:val="none" w:sz="0" w:space="0" w:color="auto"/>
          </w:divBdr>
        </w:div>
      </w:divsChild>
    </w:div>
    <w:div w:id="282929973">
      <w:bodyDiv w:val="1"/>
      <w:marLeft w:val="0"/>
      <w:marRight w:val="0"/>
      <w:marTop w:val="0"/>
      <w:marBottom w:val="0"/>
      <w:divBdr>
        <w:top w:val="none" w:sz="0" w:space="0" w:color="auto"/>
        <w:left w:val="none" w:sz="0" w:space="0" w:color="auto"/>
        <w:bottom w:val="none" w:sz="0" w:space="0" w:color="auto"/>
        <w:right w:val="none" w:sz="0" w:space="0" w:color="auto"/>
      </w:divBdr>
      <w:divsChild>
        <w:div w:id="1496846221">
          <w:marLeft w:val="0"/>
          <w:marRight w:val="0"/>
          <w:marTop w:val="0"/>
          <w:marBottom w:val="0"/>
          <w:divBdr>
            <w:top w:val="none" w:sz="0" w:space="0" w:color="auto"/>
            <w:left w:val="none" w:sz="0" w:space="0" w:color="auto"/>
            <w:bottom w:val="none" w:sz="0" w:space="0" w:color="auto"/>
            <w:right w:val="none" w:sz="0" w:space="0" w:color="auto"/>
          </w:divBdr>
        </w:div>
      </w:divsChild>
    </w:div>
    <w:div w:id="344720588">
      <w:bodyDiv w:val="1"/>
      <w:marLeft w:val="0"/>
      <w:marRight w:val="0"/>
      <w:marTop w:val="0"/>
      <w:marBottom w:val="0"/>
      <w:divBdr>
        <w:top w:val="none" w:sz="0" w:space="0" w:color="auto"/>
        <w:left w:val="none" w:sz="0" w:space="0" w:color="auto"/>
        <w:bottom w:val="none" w:sz="0" w:space="0" w:color="auto"/>
        <w:right w:val="none" w:sz="0" w:space="0" w:color="auto"/>
      </w:divBdr>
    </w:div>
    <w:div w:id="355423938">
      <w:bodyDiv w:val="1"/>
      <w:marLeft w:val="0"/>
      <w:marRight w:val="0"/>
      <w:marTop w:val="0"/>
      <w:marBottom w:val="0"/>
      <w:divBdr>
        <w:top w:val="none" w:sz="0" w:space="0" w:color="auto"/>
        <w:left w:val="none" w:sz="0" w:space="0" w:color="auto"/>
        <w:bottom w:val="none" w:sz="0" w:space="0" w:color="auto"/>
        <w:right w:val="none" w:sz="0" w:space="0" w:color="auto"/>
      </w:divBdr>
    </w:div>
    <w:div w:id="387341747">
      <w:bodyDiv w:val="1"/>
      <w:marLeft w:val="0"/>
      <w:marRight w:val="0"/>
      <w:marTop w:val="0"/>
      <w:marBottom w:val="0"/>
      <w:divBdr>
        <w:top w:val="none" w:sz="0" w:space="0" w:color="auto"/>
        <w:left w:val="none" w:sz="0" w:space="0" w:color="auto"/>
        <w:bottom w:val="none" w:sz="0" w:space="0" w:color="auto"/>
        <w:right w:val="none" w:sz="0" w:space="0" w:color="auto"/>
      </w:divBdr>
    </w:div>
    <w:div w:id="397943263">
      <w:bodyDiv w:val="1"/>
      <w:marLeft w:val="0"/>
      <w:marRight w:val="0"/>
      <w:marTop w:val="0"/>
      <w:marBottom w:val="0"/>
      <w:divBdr>
        <w:top w:val="none" w:sz="0" w:space="0" w:color="auto"/>
        <w:left w:val="none" w:sz="0" w:space="0" w:color="auto"/>
        <w:bottom w:val="none" w:sz="0" w:space="0" w:color="auto"/>
        <w:right w:val="none" w:sz="0" w:space="0" w:color="auto"/>
      </w:divBdr>
    </w:div>
    <w:div w:id="400519988">
      <w:bodyDiv w:val="1"/>
      <w:marLeft w:val="0"/>
      <w:marRight w:val="0"/>
      <w:marTop w:val="0"/>
      <w:marBottom w:val="0"/>
      <w:divBdr>
        <w:top w:val="none" w:sz="0" w:space="0" w:color="auto"/>
        <w:left w:val="none" w:sz="0" w:space="0" w:color="auto"/>
        <w:bottom w:val="none" w:sz="0" w:space="0" w:color="auto"/>
        <w:right w:val="none" w:sz="0" w:space="0" w:color="auto"/>
      </w:divBdr>
    </w:div>
    <w:div w:id="420956334">
      <w:bodyDiv w:val="1"/>
      <w:marLeft w:val="0"/>
      <w:marRight w:val="0"/>
      <w:marTop w:val="0"/>
      <w:marBottom w:val="0"/>
      <w:divBdr>
        <w:top w:val="none" w:sz="0" w:space="0" w:color="auto"/>
        <w:left w:val="none" w:sz="0" w:space="0" w:color="auto"/>
        <w:bottom w:val="none" w:sz="0" w:space="0" w:color="auto"/>
        <w:right w:val="none" w:sz="0" w:space="0" w:color="auto"/>
      </w:divBdr>
    </w:div>
    <w:div w:id="503908497">
      <w:bodyDiv w:val="1"/>
      <w:marLeft w:val="0"/>
      <w:marRight w:val="0"/>
      <w:marTop w:val="0"/>
      <w:marBottom w:val="0"/>
      <w:divBdr>
        <w:top w:val="none" w:sz="0" w:space="0" w:color="auto"/>
        <w:left w:val="none" w:sz="0" w:space="0" w:color="auto"/>
        <w:bottom w:val="none" w:sz="0" w:space="0" w:color="auto"/>
        <w:right w:val="none" w:sz="0" w:space="0" w:color="auto"/>
      </w:divBdr>
    </w:div>
    <w:div w:id="512690063">
      <w:bodyDiv w:val="1"/>
      <w:marLeft w:val="0"/>
      <w:marRight w:val="0"/>
      <w:marTop w:val="0"/>
      <w:marBottom w:val="0"/>
      <w:divBdr>
        <w:top w:val="none" w:sz="0" w:space="0" w:color="auto"/>
        <w:left w:val="none" w:sz="0" w:space="0" w:color="auto"/>
        <w:bottom w:val="none" w:sz="0" w:space="0" w:color="auto"/>
        <w:right w:val="none" w:sz="0" w:space="0" w:color="auto"/>
      </w:divBdr>
    </w:div>
    <w:div w:id="551112337">
      <w:bodyDiv w:val="1"/>
      <w:marLeft w:val="0"/>
      <w:marRight w:val="0"/>
      <w:marTop w:val="0"/>
      <w:marBottom w:val="0"/>
      <w:divBdr>
        <w:top w:val="none" w:sz="0" w:space="0" w:color="auto"/>
        <w:left w:val="none" w:sz="0" w:space="0" w:color="auto"/>
        <w:bottom w:val="none" w:sz="0" w:space="0" w:color="auto"/>
        <w:right w:val="none" w:sz="0" w:space="0" w:color="auto"/>
      </w:divBdr>
    </w:div>
    <w:div w:id="604771754">
      <w:bodyDiv w:val="1"/>
      <w:marLeft w:val="0"/>
      <w:marRight w:val="0"/>
      <w:marTop w:val="0"/>
      <w:marBottom w:val="0"/>
      <w:divBdr>
        <w:top w:val="none" w:sz="0" w:space="0" w:color="auto"/>
        <w:left w:val="none" w:sz="0" w:space="0" w:color="auto"/>
        <w:bottom w:val="none" w:sz="0" w:space="0" w:color="auto"/>
        <w:right w:val="none" w:sz="0" w:space="0" w:color="auto"/>
      </w:divBdr>
      <w:divsChild>
        <w:div w:id="94058755">
          <w:marLeft w:val="0"/>
          <w:marRight w:val="0"/>
          <w:marTop w:val="0"/>
          <w:marBottom w:val="0"/>
          <w:divBdr>
            <w:top w:val="none" w:sz="0" w:space="0" w:color="auto"/>
            <w:left w:val="none" w:sz="0" w:space="0" w:color="auto"/>
            <w:bottom w:val="none" w:sz="0" w:space="0" w:color="auto"/>
            <w:right w:val="none" w:sz="0" w:space="0" w:color="auto"/>
          </w:divBdr>
        </w:div>
      </w:divsChild>
    </w:div>
    <w:div w:id="608197213">
      <w:bodyDiv w:val="1"/>
      <w:marLeft w:val="0"/>
      <w:marRight w:val="0"/>
      <w:marTop w:val="0"/>
      <w:marBottom w:val="0"/>
      <w:divBdr>
        <w:top w:val="none" w:sz="0" w:space="0" w:color="auto"/>
        <w:left w:val="none" w:sz="0" w:space="0" w:color="auto"/>
        <w:bottom w:val="none" w:sz="0" w:space="0" w:color="auto"/>
        <w:right w:val="none" w:sz="0" w:space="0" w:color="auto"/>
      </w:divBdr>
    </w:div>
    <w:div w:id="687416699">
      <w:bodyDiv w:val="1"/>
      <w:marLeft w:val="0"/>
      <w:marRight w:val="0"/>
      <w:marTop w:val="0"/>
      <w:marBottom w:val="0"/>
      <w:divBdr>
        <w:top w:val="none" w:sz="0" w:space="0" w:color="auto"/>
        <w:left w:val="none" w:sz="0" w:space="0" w:color="auto"/>
        <w:bottom w:val="none" w:sz="0" w:space="0" w:color="auto"/>
        <w:right w:val="none" w:sz="0" w:space="0" w:color="auto"/>
      </w:divBdr>
    </w:div>
    <w:div w:id="699666069">
      <w:bodyDiv w:val="1"/>
      <w:marLeft w:val="0"/>
      <w:marRight w:val="0"/>
      <w:marTop w:val="0"/>
      <w:marBottom w:val="0"/>
      <w:divBdr>
        <w:top w:val="none" w:sz="0" w:space="0" w:color="auto"/>
        <w:left w:val="none" w:sz="0" w:space="0" w:color="auto"/>
        <w:bottom w:val="none" w:sz="0" w:space="0" w:color="auto"/>
        <w:right w:val="none" w:sz="0" w:space="0" w:color="auto"/>
      </w:divBdr>
    </w:div>
    <w:div w:id="702025778">
      <w:bodyDiv w:val="1"/>
      <w:marLeft w:val="0"/>
      <w:marRight w:val="0"/>
      <w:marTop w:val="0"/>
      <w:marBottom w:val="0"/>
      <w:divBdr>
        <w:top w:val="none" w:sz="0" w:space="0" w:color="auto"/>
        <w:left w:val="none" w:sz="0" w:space="0" w:color="auto"/>
        <w:bottom w:val="none" w:sz="0" w:space="0" w:color="auto"/>
        <w:right w:val="none" w:sz="0" w:space="0" w:color="auto"/>
      </w:divBdr>
    </w:div>
    <w:div w:id="731345242">
      <w:bodyDiv w:val="1"/>
      <w:marLeft w:val="0"/>
      <w:marRight w:val="0"/>
      <w:marTop w:val="0"/>
      <w:marBottom w:val="0"/>
      <w:divBdr>
        <w:top w:val="none" w:sz="0" w:space="0" w:color="auto"/>
        <w:left w:val="none" w:sz="0" w:space="0" w:color="auto"/>
        <w:bottom w:val="none" w:sz="0" w:space="0" w:color="auto"/>
        <w:right w:val="none" w:sz="0" w:space="0" w:color="auto"/>
      </w:divBdr>
    </w:div>
    <w:div w:id="796949921">
      <w:bodyDiv w:val="1"/>
      <w:marLeft w:val="0"/>
      <w:marRight w:val="0"/>
      <w:marTop w:val="0"/>
      <w:marBottom w:val="0"/>
      <w:divBdr>
        <w:top w:val="none" w:sz="0" w:space="0" w:color="auto"/>
        <w:left w:val="none" w:sz="0" w:space="0" w:color="auto"/>
        <w:bottom w:val="none" w:sz="0" w:space="0" w:color="auto"/>
        <w:right w:val="none" w:sz="0" w:space="0" w:color="auto"/>
      </w:divBdr>
    </w:div>
    <w:div w:id="891430160">
      <w:bodyDiv w:val="1"/>
      <w:marLeft w:val="0"/>
      <w:marRight w:val="0"/>
      <w:marTop w:val="0"/>
      <w:marBottom w:val="0"/>
      <w:divBdr>
        <w:top w:val="none" w:sz="0" w:space="0" w:color="auto"/>
        <w:left w:val="none" w:sz="0" w:space="0" w:color="auto"/>
        <w:bottom w:val="none" w:sz="0" w:space="0" w:color="auto"/>
        <w:right w:val="none" w:sz="0" w:space="0" w:color="auto"/>
      </w:divBdr>
    </w:div>
    <w:div w:id="926227043">
      <w:bodyDiv w:val="1"/>
      <w:marLeft w:val="0"/>
      <w:marRight w:val="0"/>
      <w:marTop w:val="0"/>
      <w:marBottom w:val="0"/>
      <w:divBdr>
        <w:top w:val="none" w:sz="0" w:space="0" w:color="auto"/>
        <w:left w:val="none" w:sz="0" w:space="0" w:color="auto"/>
        <w:bottom w:val="none" w:sz="0" w:space="0" w:color="auto"/>
        <w:right w:val="none" w:sz="0" w:space="0" w:color="auto"/>
      </w:divBdr>
    </w:div>
    <w:div w:id="946546795">
      <w:bodyDiv w:val="1"/>
      <w:marLeft w:val="0"/>
      <w:marRight w:val="0"/>
      <w:marTop w:val="0"/>
      <w:marBottom w:val="0"/>
      <w:divBdr>
        <w:top w:val="none" w:sz="0" w:space="0" w:color="auto"/>
        <w:left w:val="none" w:sz="0" w:space="0" w:color="auto"/>
        <w:bottom w:val="none" w:sz="0" w:space="0" w:color="auto"/>
        <w:right w:val="none" w:sz="0" w:space="0" w:color="auto"/>
      </w:divBdr>
    </w:div>
    <w:div w:id="993145589">
      <w:bodyDiv w:val="1"/>
      <w:marLeft w:val="0"/>
      <w:marRight w:val="0"/>
      <w:marTop w:val="0"/>
      <w:marBottom w:val="0"/>
      <w:divBdr>
        <w:top w:val="none" w:sz="0" w:space="0" w:color="auto"/>
        <w:left w:val="none" w:sz="0" w:space="0" w:color="auto"/>
        <w:bottom w:val="none" w:sz="0" w:space="0" w:color="auto"/>
        <w:right w:val="none" w:sz="0" w:space="0" w:color="auto"/>
      </w:divBdr>
    </w:div>
    <w:div w:id="1063872773">
      <w:bodyDiv w:val="1"/>
      <w:marLeft w:val="0"/>
      <w:marRight w:val="0"/>
      <w:marTop w:val="0"/>
      <w:marBottom w:val="0"/>
      <w:divBdr>
        <w:top w:val="none" w:sz="0" w:space="0" w:color="auto"/>
        <w:left w:val="none" w:sz="0" w:space="0" w:color="auto"/>
        <w:bottom w:val="none" w:sz="0" w:space="0" w:color="auto"/>
        <w:right w:val="none" w:sz="0" w:space="0" w:color="auto"/>
      </w:divBdr>
    </w:div>
    <w:div w:id="1070007109">
      <w:bodyDiv w:val="1"/>
      <w:marLeft w:val="0"/>
      <w:marRight w:val="0"/>
      <w:marTop w:val="0"/>
      <w:marBottom w:val="0"/>
      <w:divBdr>
        <w:top w:val="none" w:sz="0" w:space="0" w:color="auto"/>
        <w:left w:val="none" w:sz="0" w:space="0" w:color="auto"/>
        <w:bottom w:val="none" w:sz="0" w:space="0" w:color="auto"/>
        <w:right w:val="none" w:sz="0" w:space="0" w:color="auto"/>
      </w:divBdr>
    </w:div>
    <w:div w:id="1099376408">
      <w:bodyDiv w:val="1"/>
      <w:marLeft w:val="0"/>
      <w:marRight w:val="0"/>
      <w:marTop w:val="0"/>
      <w:marBottom w:val="0"/>
      <w:divBdr>
        <w:top w:val="none" w:sz="0" w:space="0" w:color="auto"/>
        <w:left w:val="none" w:sz="0" w:space="0" w:color="auto"/>
        <w:bottom w:val="none" w:sz="0" w:space="0" w:color="auto"/>
        <w:right w:val="none" w:sz="0" w:space="0" w:color="auto"/>
      </w:divBdr>
    </w:div>
    <w:div w:id="1123843876">
      <w:bodyDiv w:val="1"/>
      <w:marLeft w:val="0"/>
      <w:marRight w:val="0"/>
      <w:marTop w:val="0"/>
      <w:marBottom w:val="0"/>
      <w:divBdr>
        <w:top w:val="none" w:sz="0" w:space="0" w:color="auto"/>
        <w:left w:val="none" w:sz="0" w:space="0" w:color="auto"/>
        <w:bottom w:val="none" w:sz="0" w:space="0" w:color="auto"/>
        <w:right w:val="none" w:sz="0" w:space="0" w:color="auto"/>
      </w:divBdr>
    </w:div>
    <w:div w:id="1159540382">
      <w:bodyDiv w:val="1"/>
      <w:marLeft w:val="0"/>
      <w:marRight w:val="0"/>
      <w:marTop w:val="0"/>
      <w:marBottom w:val="0"/>
      <w:divBdr>
        <w:top w:val="none" w:sz="0" w:space="0" w:color="auto"/>
        <w:left w:val="none" w:sz="0" w:space="0" w:color="auto"/>
        <w:bottom w:val="none" w:sz="0" w:space="0" w:color="auto"/>
        <w:right w:val="none" w:sz="0" w:space="0" w:color="auto"/>
      </w:divBdr>
      <w:divsChild>
        <w:div w:id="1063917461">
          <w:marLeft w:val="0"/>
          <w:marRight w:val="0"/>
          <w:marTop w:val="0"/>
          <w:marBottom w:val="0"/>
          <w:divBdr>
            <w:top w:val="none" w:sz="0" w:space="0" w:color="auto"/>
            <w:left w:val="none" w:sz="0" w:space="0" w:color="auto"/>
            <w:bottom w:val="none" w:sz="0" w:space="0" w:color="auto"/>
            <w:right w:val="none" w:sz="0" w:space="0" w:color="auto"/>
          </w:divBdr>
        </w:div>
      </w:divsChild>
    </w:div>
    <w:div w:id="1283533162">
      <w:bodyDiv w:val="1"/>
      <w:marLeft w:val="0"/>
      <w:marRight w:val="0"/>
      <w:marTop w:val="0"/>
      <w:marBottom w:val="0"/>
      <w:divBdr>
        <w:top w:val="none" w:sz="0" w:space="0" w:color="auto"/>
        <w:left w:val="none" w:sz="0" w:space="0" w:color="auto"/>
        <w:bottom w:val="none" w:sz="0" w:space="0" w:color="auto"/>
        <w:right w:val="none" w:sz="0" w:space="0" w:color="auto"/>
      </w:divBdr>
    </w:div>
    <w:div w:id="1299458493">
      <w:bodyDiv w:val="1"/>
      <w:marLeft w:val="0"/>
      <w:marRight w:val="0"/>
      <w:marTop w:val="0"/>
      <w:marBottom w:val="0"/>
      <w:divBdr>
        <w:top w:val="none" w:sz="0" w:space="0" w:color="auto"/>
        <w:left w:val="none" w:sz="0" w:space="0" w:color="auto"/>
        <w:bottom w:val="none" w:sz="0" w:space="0" w:color="auto"/>
        <w:right w:val="none" w:sz="0" w:space="0" w:color="auto"/>
      </w:divBdr>
    </w:div>
    <w:div w:id="1361783263">
      <w:bodyDiv w:val="1"/>
      <w:marLeft w:val="0"/>
      <w:marRight w:val="0"/>
      <w:marTop w:val="0"/>
      <w:marBottom w:val="0"/>
      <w:divBdr>
        <w:top w:val="none" w:sz="0" w:space="0" w:color="auto"/>
        <w:left w:val="none" w:sz="0" w:space="0" w:color="auto"/>
        <w:bottom w:val="none" w:sz="0" w:space="0" w:color="auto"/>
        <w:right w:val="none" w:sz="0" w:space="0" w:color="auto"/>
      </w:divBdr>
    </w:div>
    <w:div w:id="1430462993">
      <w:bodyDiv w:val="1"/>
      <w:marLeft w:val="0"/>
      <w:marRight w:val="0"/>
      <w:marTop w:val="0"/>
      <w:marBottom w:val="0"/>
      <w:divBdr>
        <w:top w:val="none" w:sz="0" w:space="0" w:color="auto"/>
        <w:left w:val="none" w:sz="0" w:space="0" w:color="auto"/>
        <w:bottom w:val="none" w:sz="0" w:space="0" w:color="auto"/>
        <w:right w:val="none" w:sz="0" w:space="0" w:color="auto"/>
      </w:divBdr>
    </w:div>
    <w:div w:id="1460994805">
      <w:bodyDiv w:val="1"/>
      <w:marLeft w:val="0"/>
      <w:marRight w:val="0"/>
      <w:marTop w:val="0"/>
      <w:marBottom w:val="0"/>
      <w:divBdr>
        <w:top w:val="none" w:sz="0" w:space="0" w:color="auto"/>
        <w:left w:val="none" w:sz="0" w:space="0" w:color="auto"/>
        <w:bottom w:val="none" w:sz="0" w:space="0" w:color="auto"/>
        <w:right w:val="none" w:sz="0" w:space="0" w:color="auto"/>
      </w:divBdr>
    </w:div>
    <w:div w:id="1477605349">
      <w:bodyDiv w:val="1"/>
      <w:marLeft w:val="0"/>
      <w:marRight w:val="0"/>
      <w:marTop w:val="0"/>
      <w:marBottom w:val="0"/>
      <w:divBdr>
        <w:top w:val="none" w:sz="0" w:space="0" w:color="auto"/>
        <w:left w:val="none" w:sz="0" w:space="0" w:color="auto"/>
        <w:bottom w:val="none" w:sz="0" w:space="0" w:color="auto"/>
        <w:right w:val="none" w:sz="0" w:space="0" w:color="auto"/>
      </w:divBdr>
    </w:div>
    <w:div w:id="1515146648">
      <w:bodyDiv w:val="1"/>
      <w:marLeft w:val="0"/>
      <w:marRight w:val="0"/>
      <w:marTop w:val="0"/>
      <w:marBottom w:val="0"/>
      <w:divBdr>
        <w:top w:val="none" w:sz="0" w:space="0" w:color="auto"/>
        <w:left w:val="none" w:sz="0" w:space="0" w:color="auto"/>
        <w:bottom w:val="none" w:sz="0" w:space="0" w:color="auto"/>
        <w:right w:val="none" w:sz="0" w:space="0" w:color="auto"/>
      </w:divBdr>
    </w:div>
    <w:div w:id="1549799437">
      <w:bodyDiv w:val="1"/>
      <w:marLeft w:val="0"/>
      <w:marRight w:val="0"/>
      <w:marTop w:val="0"/>
      <w:marBottom w:val="0"/>
      <w:divBdr>
        <w:top w:val="none" w:sz="0" w:space="0" w:color="auto"/>
        <w:left w:val="none" w:sz="0" w:space="0" w:color="auto"/>
        <w:bottom w:val="none" w:sz="0" w:space="0" w:color="auto"/>
        <w:right w:val="none" w:sz="0" w:space="0" w:color="auto"/>
      </w:divBdr>
    </w:div>
    <w:div w:id="1630085562">
      <w:bodyDiv w:val="1"/>
      <w:marLeft w:val="0"/>
      <w:marRight w:val="0"/>
      <w:marTop w:val="0"/>
      <w:marBottom w:val="0"/>
      <w:divBdr>
        <w:top w:val="none" w:sz="0" w:space="0" w:color="auto"/>
        <w:left w:val="none" w:sz="0" w:space="0" w:color="auto"/>
        <w:bottom w:val="none" w:sz="0" w:space="0" w:color="auto"/>
        <w:right w:val="none" w:sz="0" w:space="0" w:color="auto"/>
      </w:divBdr>
    </w:div>
    <w:div w:id="1666010168">
      <w:bodyDiv w:val="1"/>
      <w:marLeft w:val="0"/>
      <w:marRight w:val="0"/>
      <w:marTop w:val="0"/>
      <w:marBottom w:val="0"/>
      <w:divBdr>
        <w:top w:val="none" w:sz="0" w:space="0" w:color="auto"/>
        <w:left w:val="none" w:sz="0" w:space="0" w:color="auto"/>
        <w:bottom w:val="none" w:sz="0" w:space="0" w:color="auto"/>
        <w:right w:val="none" w:sz="0" w:space="0" w:color="auto"/>
      </w:divBdr>
    </w:div>
    <w:div w:id="1688825482">
      <w:bodyDiv w:val="1"/>
      <w:marLeft w:val="0"/>
      <w:marRight w:val="0"/>
      <w:marTop w:val="0"/>
      <w:marBottom w:val="0"/>
      <w:divBdr>
        <w:top w:val="none" w:sz="0" w:space="0" w:color="auto"/>
        <w:left w:val="none" w:sz="0" w:space="0" w:color="auto"/>
        <w:bottom w:val="none" w:sz="0" w:space="0" w:color="auto"/>
        <w:right w:val="none" w:sz="0" w:space="0" w:color="auto"/>
      </w:divBdr>
    </w:div>
    <w:div w:id="1704473027">
      <w:bodyDiv w:val="1"/>
      <w:marLeft w:val="0"/>
      <w:marRight w:val="0"/>
      <w:marTop w:val="0"/>
      <w:marBottom w:val="0"/>
      <w:divBdr>
        <w:top w:val="none" w:sz="0" w:space="0" w:color="auto"/>
        <w:left w:val="none" w:sz="0" w:space="0" w:color="auto"/>
        <w:bottom w:val="none" w:sz="0" w:space="0" w:color="auto"/>
        <w:right w:val="none" w:sz="0" w:space="0" w:color="auto"/>
      </w:divBdr>
    </w:div>
    <w:div w:id="1716076582">
      <w:bodyDiv w:val="1"/>
      <w:marLeft w:val="0"/>
      <w:marRight w:val="0"/>
      <w:marTop w:val="0"/>
      <w:marBottom w:val="0"/>
      <w:divBdr>
        <w:top w:val="none" w:sz="0" w:space="0" w:color="auto"/>
        <w:left w:val="none" w:sz="0" w:space="0" w:color="auto"/>
        <w:bottom w:val="none" w:sz="0" w:space="0" w:color="auto"/>
        <w:right w:val="none" w:sz="0" w:space="0" w:color="auto"/>
      </w:divBdr>
    </w:div>
    <w:div w:id="1731808070">
      <w:bodyDiv w:val="1"/>
      <w:marLeft w:val="0"/>
      <w:marRight w:val="0"/>
      <w:marTop w:val="0"/>
      <w:marBottom w:val="0"/>
      <w:divBdr>
        <w:top w:val="none" w:sz="0" w:space="0" w:color="auto"/>
        <w:left w:val="none" w:sz="0" w:space="0" w:color="auto"/>
        <w:bottom w:val="none" w:sz="0" w:space="0" w:color="auto"/>
        <w:right w:val="none" w:sz="0" w:space="0" w:color="auto"/>
      </w:divBdr>
      <w:divsChild>
        <w:div w:id="127476838">
          <w:marLeft w:val="0"/>
          <w:marRight w:val="0"/>
          <w:marTop w:val="0"/>
          <w:marBottom w:val="0"/>
          <w:divBdr>
            <w:top w:val="none" w:sz="0" w:space="0" w:color="auto"/>
            <w:left w:val="none" w:sz="0" w:space="0" w:color="auto"/>
            <w:bottom w:val="none" w:sz="0" w:space="0" w:color="auto"/>
            <w:right w:val="none" w:sz="0" w:space="0" w:color="auto"/>
          </w:divBdr>
        </w:div>
      </w:divsChild>
    </w:div>
    <w:div w:id="1793552752">
      <w:bodyDiv w:val="1"/>
      <w:marLeft w:val="0"/>
      <w:marRight w:val="0"/>
      <w:marTop w:val="0"/>
      <w:marBottom w:val="0"/>
      <w:divBdr>
        <w:top w:val="none" w:sz="0" w:space="0" w:color="auto"/>
        <w:left w:val="none" w:sz="0" w:space="0" w:color="auto"/>
        <w:bottom w:val="none" w:sz="0" w:space="0" w:color="auto"/>
        <w:right w:val="none" w:sz="0" w:space="0" w:color="auto"/>
      </w:divBdr>
    </w:div>
    <w:div w:id="1839882946">
      <w:bodyDiv w:val="1"/>
      <w:marLeft w:val="0"/>
      <w:marRight w:val="0"/>
      <w:marTop w:val="0"/>
      <w:marBottom w:val="0"/>
      <w:divBdr>
        <w:top w:val="none" w:sz="0" w:space="0" w:color="auto"/>
        <w:left w:val="none" w:sz="0" w:space="0" w:color="auto"/>
        <w:bottom w:val="none" w:sz="0" w:space="0" w:color="auto"/>
        <w:right w:val="none" w:sz="0" w:space="0" w:color="auto"/>
      </w:divBdr>
    </w:div>
    <w:div w:id="1911768848">
      <w:bodyDiv w:val="1"/>
      <w:marLeft w:val="0"/>
      <w:marRight w:val="0"/>
      <w:marTop w:val="0"/>
      <w:marBottom w:val="0"/>
      <w:divBdr>
        <w:top w:val="none" w:sz="0" w:space="0" w:color="auto"/>
        <w:left w:val="none" w:sz="0" w:space="0" w:color="auto"/>
        <w:bottom w:val="none" w:sz="0" w:space="0" w:color="auto"/>
        <w:right w:val="none" w:sz="0" w:space="0" w:color="auto"/>
      </w:divBdr>
    </w:div>
    <w:div w:id="1999264152">
      <w:bodyDiv w:val="1"/>
      <w:marLeft w:val="0"/>
      <w:marRight w:val="0"/>
      <w:marTop w:val="0"/>
      <w:marBottom w:val="0"/>
      <w:divBdr>
        <w:top w:val="none" w:sz="0" w:space="0" w:color="auto"/>
        <w:left w:val="none" w:sz="0" w:space="0" w:color="auto"/>
        <w:bottom w:val="none" w:sz="0" w:space="0" w:color="auto"/>
        <w:right w:val="none" w:sz="0" w:space="0" w:color="auto"/>
      </w:divBdr>
    </w:div>
    <w:div w:id="2010283391">
      <w:bodyDiv w:val="1"/>
      <w:marLeft w:val="0"/>
      <w:marRight w:val="0"/>
      <w:marTop w:val="0"/>
      <w:marBottom w:val="0"/>
      <w:divBdr>
        <w:top w:val="none" w:sz="0" w:space="0" w:color="auto"/>
        <w:left w:val="none" w:sz="0" w:space="0" w:color="auto"/>
        <w:bottom w:val="none" w:sz="0" w:space="0" w:color="auto"/>
        <w:right w:val="none" w:sz="0" w:space="0" w:color="auto"/>
      </w:divBdr>
    </w:div>
    <w:div w:id="2097241620">
      <w:bodyDiv w:val="1"/>
      <w:marLeft w:val="0"/>
      <w:marRight w:val="0"/>
      <w:marTop w:val="0"/>
      <w:marBottom w:val="0"/>
      <w:divBdr>
        <w:top w:val="none" w:sz="0" w:space="0" w:color="auto"/>
        <w:left w:val="none" w:sz="0" w:space="0" w:color="auto"/>
        <w:bottom w:val="none" w:sz="0" w:space="0" w:color="auto"/>
        <w:right w:val="none" w:sz="0" w:space="0" w:color="auto"/>
      </w:divBdr>
    </w:div>
    <w:div w:id="21282322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oordinadorelectrico.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31D79-A97F-4435-B55A-97AB14B0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4</Pages>
  <Words>1183</Words>
  <Characters>6509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cali</dc:creator>
  <cp:lastModifiedBy>Carlos Aravena Riquelme</cp:lastModifiedBy>
  <cp:revision>52</cp:revision>
  <cp:lastPrinted>2024-10-16T21:32:00Z</cp:lastPrinted>
  <dcterms:created xsi:type="dcterms:W3CDTF">2023-12-18T11:41:00Z</dcterms:created>
  <dcterms:modified xsi:type="dcterms:W3CDTF">2024-11-28T17:53:00Z</dcterms:modified>
</cp:coreProperties>
</file>