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E661D" w14:textId="77777777" w:rsidR="00617165" w:rsidRPr="002C7C71" w:rsidRDefault="001D408E" w:rsidP="00506376">
      <w:pPr>
        <w:spacing w:before="0" w:after="0" w:line="240" w:lineRule="auto"/>
        <w:jc w:val="center"/>
        <w:rPr>
          <w:b/>
        </w:rPr>
      </w:pPr>
      <w:r w:rsidRPr="002C7C71">
        <w:rPr>
          <w:b/>
        </w:rPr>
        <w:t>Observaciones</w:t>
      </w:r>
    </w:p>
    <w:p w14:paraId="62E0502F" w14:textId="77777777" w:rsidR="00617165" w:rsidRPr="002C7C71" w:rsidRDefault="00DB6D9C" w:rsidP="00506376">
      <w:pPr>
        <w:spacing w:before="0" w:after="0" w:line="240" w:lineRule="auto"/>
        <w:jc w:val="center"/>
        <w:rPr>
          <w:b/>
        </w:rPr>
      </w:pPr>
      <w:r w:rsidRPr="002C7C71">
        <w:rPr>
          <w:b/>
        </w:rPr>
        <w:t>Informe</w:t>
      </w:r>
      <w:r w:rsidR="00212793">
        <w:rPr>
          <w:b/>
        </w:rPr>
        <w:t xml:space="preserve"> </w:t>
      </w:r>
      <w:r w:rsidR="00212793" w:rsidRPr="002C7C71">
        <w:rPr>
          <w:b/>
        </w:rPr>
        <w:t>Técnico</w:t>
      </w:r>
      <w:r w:rsidR="0076619B">
        <w:rPr>
          <w:b/>
        </w:rPr>
        <w:t xml:space="preserve"> </w:t>
      </w:r>
      <w:r w:rsidR="005461F5">
        <w:rPr>
          <w:b/>
        </w:rPr>
        <w:t>Preliminar</w:t>
      </w:r>
      <w:r w:rsidRPr="002C7C71">
        <w:rPr>
          <w:b/>
        </w:rPr>
        <w:t xml:space="preserve"> </w:t>
      </w:r>
    </w:p>
    <w:p w14:paraId="5270F942" w14:textId="4DCC37FC" w:rsidR="007443AE" w:rsidRPr="002C7C71" w:rsidRDefault="00DB6D9C" w:rsidP="00506376">
      <w:pPr>
        <w:pBdr>
          <w:bottom w:val="single" w:sz="4" w:space="1" w:color="auto"/>
        </w:pBdr>
        <w:spacing w:before="0" w:after="0" w:line="240" w:lineRule="auto"/>
        <w:jc w:val="center"/>
        <w:rPr>
          <w:b/>
        </w:rPr>
      </w:pPr>
      <w:r w:rsidRPr="002C7C71">
        <w:rPr>
          <w:b/>
        </w:rPr>
        <w:t xml:space="preserve">FIJACIÓN DE PRECIOS DE NUDO PROMEDIO </w:t>
      </w:r>
      <w:r w:rsidR="007443AE" w:rsidRPr="002C7C71">
        <w:rPr>
          <w:b/>
        </w:rPr>
        <w:t xml:space="preserve">– </w:t>
      </w:r>
      <w:r w:rsidR="00023298">
        <w:rPr>
          <w:b/>
        </w:rPr>
        <w:t xml:space="preserve">JULIO </w:t>
      </w:r>
      <w:r w:rsidR="00C43A70">
        <w:rPr>
          <w:b/>
        </w:rPr>
        <w:t xml:space="preserve">DE </w:t>
      </w:r>
      <w:r w:rsidR="00643158">
        <w:rPr>
          <w:b/>
        </w:rPr>
        <w:t>2021</w:t>
      </w:r>
    </w:p>
    <w:p w14:paraId="53173F2E" w14:textId="26BF2022" w:rsidR="00DE21C9" w:rsidRPr="002C7C71" w:rsidRDefault="00DE21C9" w:rsidP="00506376">
      <w:pPr>
        <w:pBdr>
          <w:bottom w:val="single" w:sz="4" w:space="1" w:color="auto"/>
        </w:pBdr>
        <w:spacing w:before="0" w:after="0" w:line="240" w:lineRule="auto"/>
        <w:jc w:val="center"/>
        <w:rPr>
          <w:b/>
        </w:rPr>
      </w:pPr>
      <w:r w:rsidRPr="002C7C71">
        <w:rPr>
          <w:b/>
        </w:rPr>
        <w:t xml:space="preserve">SISTEMA </w:t>
      </w:r>
      <w:r w:rsidR="00B729E1">
        <w:rPr>
          <w:b/>
        </w:rPr>
        <w:t>ELÉCTRICO NACIONAL</w:t>
      </w:r>
    </w:p>
    <w:p w14:paraId="3DDF9842" w14:textId="77777777" w:rsidR="00295762" w:rsidRPr="00E73357" w:rsidRDefault="00295762" w:rsidP="00506376">
      <w:pPr>
        <w:spacing w:line="240" w:lineRule="auto"/>
        <w:jc w:val="both"/>
        <w:rPr>
          <w:b/>
        </w:rPr>
      </w:pPr>
      <w:r w:rsidRPr="00E73357">
        <w:rPr>
          <w:b/>
        </w:rPr>
        <w:t>Antecedentes Generales</w:t>
      </w:r>
    </w:p>
    <w:p w14:paraId="45E0FFEE" w14:textId="687B3B41" w:rsidR="00295762" w:rsidRDefault="00295762" w:rsidP="00506376">
      <w:pPr>
        <w:spacing w:line="240" w:lineRule="auto"/>
        <w:jc w:val="both"/>
      </w:pPr>
      <w:r w:rsidRPr="002C7C71">
        <w:t xml:space="preserve">Mediante </w:t>
      </w:r>
      <w:r w:rsidR="00290E85">
        <w:t xml:space="preserve">Oficio Ordinario </w:t>
      </w:r>
      <w:r w:rsidR="00AE4508">
        <w:t xml:space="preserve">CNE </w:t>
      </w:r>
      <w:proofErr w:type="spellStart"/>
      <w:r w:rsidR="00AE4508">
        <w:t>N°</w:t>
      </w:r>
      <w:proofErr w:type="spellEnd"/>
      <w:r w:rsidR="005B4C10">
        <w:t> </w:t>
      </w:r>
      <w:r w:rsidR="00023298">
        <w:t>2</w:t>
      </w:r>
      <w:r w:rsidR="00C62FA5">
        <w:t>78</w:t>
      </w:r>
      <w:r w:rsidR="00AE4508">
        <w:t>-</w:t>
      </w:r>
      <w:r w:rsidR="00326445">
        <w:t>202</w:t>
      </w:r>
      <w:r w:rsidR="00023298">
        <w:t>1</w:t>
      </w:r>
      <w:r w:rsidR="00290E85">
        <w:t xml:space="preserve">, recibido el </w:t>
      </w:r>
      <w:r w:rsidR="00C62FA5">
        <w:t xml:space="preserve">21 </w:t>
      </w:r>
      <w:r w:rsidR="00290E85">
        <w:t xml:space="preserve">de </w:t>
      </w:r>
      <w:r w:rsidR="00023298">
        <w:t xml:space="preserve">abril </w:t>
      </w:r>
      <w:r w:rsidR="00290E85">
        <w:t xml:space="preserve">de </w:t>
      </w:r>
      <w:r w:rsidR="00023298">
        <w:t>2021</w:t>
      </w:r>
      <w:r w:rsidR="00290E85">
        <w:t xml:space="preserve">, </w:t>
      </w:r>
      <w:r w:rsidRPr="002C7C71">
        <w:t xml:space="preserve">la Comisión Nacional de Energía, CNE, comunicó el </w:t>
      </w:r>
      <w:r w:rsidRPr="00057289">
        <w:t xml:space="preserve">Informe </w:t>
      </w:r>
      <w:r w:rsidR="00290E85">
        <w:t xml:space="preserve">Técnico Preliminar </w:t>
      </w:r>
      <w:r w:rsidR="009F2528">
        <w:t>para la</w:t>
      </w:r>
      <w:r w:rsidR="009F2528" w:rsidRPr="002C7C71">
        <w:t xml:space="preserve"> </w:t>
      </w:r>
      <w:r w:rsidR="00290E85">
        <w:t>“</w:t>
      </w:r>
      <w:r w:rsidR="00326445" w:rsidRPr="00326445">
        <w:t xml:space="preserve">Fijación de Precios de Nudo Promedio del Sistema Eléctrico Nacional y del factor de ajuste a que se refiere el numeral 3. del artículo 1° de la Ley </w:t>
      </w:r>
      <w:proofErr w:type="spellStart"/>
      <w:r w:rsidR="00326445" w:rsidRPr="00326445">
        <w:t>N°</w:t>
      </w:r>
      <w:proofErr w:type="spellEnd"/>
      <w:r w:rsidR="005B4C10">
        <w:t> </w:t>
      </w:r>
      <w:r w:rsidR="00326445" w:rsidRPr="00326445">
        <w:t>21.185</w:t>
      </w:r>
      <w:r w:rsidR="00290E85">
        <w:t>”</w:t>
      </w:r>
      <w:r w:rsidRPr="002C7C71">
        <w:t xml:space="preserve">, correspondiente a </w:t>
      </w:r>
      <w:r w:rsidR="00023298">
        <w:t xml:space="preserve">julio </w:t>
      </w:r>
      <w:r>
        <w:t>de</w:t>
      </w:r>
      <w:r w:rsidRPr="002C7C71">
        <w:t xml:space="preserve"> </w:t>
      </w:r>
      <w:r w:rsidR="00C62FA5">
        <w:t>2021</w:t>
      </w:r>
      <w:r w:rsidRPr="002C7C71">
        <w:t>.</w:t>
      </w:r>
    </w:p>
    <w:p w14:paraId="6FE05985" w14:textId="77777777" w:rsidR="00F02425" w:rsidRDefault="00F02425" w:rsidP="00F02425">
      <w:pPr>
        <w:spacing w:line="240" w:lineRule="auto"/>
        <w:jc w:val="both"/>
      </w:pPr>
      <w:bookmarkStart w:id="0" w:name="_Hlk71136204"/>
      <w:r>
        <w:t xml:space="preserve">Posteriormente, mediante Oficio Ordinario CNE </w:t>
      </w:r>
      <w:proofErr w:type="spellStart"/>
      <w:r>
        <w:t>N°</w:t>
      </w:r>
      <w:proofErr w:type="spellEnd"/>
      <w:r>
        <w:t xml:space="preserve"> 299-2021, de fecha 28 de abril de 2021, comunicó la extensión del plazo </w:t>
      </w:r>
      <w:r w:rsidRPr="00F02425">
        <w:t>para la comunicación de las observaciones al Informe Técnico Preliminar hasta el día 5 de mayo de 2021</w:t>
      </w:r>
      <w:r>
        <w:t xml:space="preserve">, considerado los requerimientos realizados por </w:t>
      </w:r>
      <w:r w:rsidRPr="00F02425">
        <w:t>Generadora Metropolitana S.A. y Empresas Eléctricas A.G.</w:t>
      </w:r>
    </w:p>
    <w:p w14:paraId="63C73323" w14:textId="18DF5D5E" w:rsidR="00295762" w:rsidRDefault="00295762" w:rsidP="00506376">
      <w:pPr>
        <w:spacing w:line="240" w:lineRule="auto"/>
        <w:jc w:val="both"/>
      </w:pPr>
      <w:r w:rsidRPr="002C7C71">
        <w:t>A continuación</w:t>
      </w:r>
      <w:r w:rsidR="00CB258E">
        <w:t>,</w:t>
      </w:r>
      <w:r w:rsidRPr="002C7C71">
        <w:t xml:space="preserve"> </w:t>
      </w:r>
      <w:r w:rsidR="006E1C69">
        <w:t xml:space="preserve">Compañía General de Electricidad S.A., CGE, </w:t>
      </w:r>
      <w:r w:rsidR="001877C7" w:rsidRPr="002C7C71">
        <w:t>presenta</w:t>
      </w:r>
      <w:r w:rsidR="00CB258E">
        <w:t xml:space="preserve"> sus</w:t>
      </w:r>
      <w:r w:rsidR="001877C7" w:rsidRPr="002C7C71">
        <w:t xml:space="preserve"> observaciones y solicitud</w:t>
      </w:r>
      <w:r w:rsidR="00290E85">
        <w:t>es</w:t>
      </w:r>
      <w:r w:rsidR="001877C7">
        <w:t xml:space="preserve"> </w:t>
      </w:r>
      <w:r w:rsidRPr="002C7C71">
        <w:t>relativas al referido informe.</w:t>
      </w:r>
    </w:p>
    <w:bookmarkEnd w:id="0"/>
    <w:p w14:paraId="0251FA13" w14:textId="611EF4A2" w:rsidR="002049FB" w:rsidRDefault="001D408E" w:rsidP="00BE2F15">
      <w:pPr>
        <w:spacing w:line="240" w:lineRule="auto"/>
        <w:rPr>
          <w:b/>
        </w:rPr>
      </w:pPr>
      <w:r w:rsidRPr="002C7C71">
        <w:rPr>
          <w:b/>
        </w:rPr>
        <w:t>Observaciones</w:t>
      </w:r>
    </w:p>
    <w:p w14:paraId="1FDA1A61" w14:textId="4772943D" w:rsidR="00607D5F" w:rsidRPr="0015754E" w:rsidRDefault="00607D5F">
      <w:pPr>
        <w:pStyle w:val="Ttulo1"/>
        <w:rPr>
          <w:rStyle w:val="nfasis"/>
          <w:i w:val="0"/>
          <w:iCs w:val="0"/>
        </w:rPr>
      </w:pPr>
      <w:r w:rsidRPr="00BA7427">
        <w:rPr>
          <w:rStyle w:val="nfasis"/>
          <w:i w:val="0"/>
          <w:iCs w:val="0"/>
        </w:rPr>
        <w:t>Indexación de contratos</w:t>
      </w:r>
    </w:p>
    <w:p w14:paraId="0D32AD12" w14:textId="68675EE5" w:rsidR="00607D5F" w:rsidRPr="00607D5F" w:rsidRDefault="00607D5F" w:rsidP="0015754E">
      <w:pPr>
        <w:spacing w:line="240" w:lineRule="auto"/>
        <w:jc w:val="both"/>
      </w:pPr>
      <w:r w:rsidRPr="00607D5F">
        <w:t xml:space="preserve">En el cálculo de indexación para los contratos que inician suministro a partir de enero de 2021, </w:t>
      </w:r>
      <w:r w:rsidR="00C24F0F">
        <w:t xml:space="preserve">se ha verificado que estos </w:t>
      </w:r>
      <w:r w:rsidRPr="00607D5F">
        <w:t>son indexados al mes de octubre de 2020, debiendo ser indexados al mes de enero de 2021, de acuerdo con lo establecido en artículo 158° de la Ley General de Servicios Eléctricos (LGSE).</w:t>
      </w:r>
    </w:p>
    <w:p w14:paraId="6C2636FF" w14:textId="06C2347E" w:rsidR="00607D5F" w:rsidRDefault="00607D5F" w:rsidP="0015754E">
      <w:pPr>
        <w:spacing w:line="240" w:lineRule="auto"/>
        <w:jc w:val="both"/>
      </w:pPr>
      <w:r w:rsidRPr="00607D5F">
        <w:t xml:space="preserve">Se solicita </w:t>
      </w:r>
      <w:r w:rsidR="00F02425">
        <w:t xml:space="preserve">que en las hojas </w:t>
      </w:r>
      <w:r w:rsidR="00F02425" w:rsidRPr="0015754E">
        <w:rPr>
          <w:b/>
          <w:bCs/>
        </w:rPr>
        <w:t>“</w:t>
      </w:r>
      <w:proofErr w:type="spellStart"/>
      <w:r w:rsidR="00F02425" w:rsidRPr="0015754E">
        <w:rPr>
          <w:b/>
          <w:bCs/>
        </w:rPr>
        <w:t>Indexacion</w:t>
      </w:r>
      <w:proofErr w:type="spellEnd"/>
      <w:r w:rsidR="00F02425" w:rsidRPr="0015754E">
        <w:rPr>
          <w:b/>
          <w:bCs/>
        </w:rPr>
        <w:t xml:space="preserve"> Contratos</w:t>
      </w:r>
      <w:r w:rsidR="00F02425" w:rsidRPr="002A5D1C">
        <w:t>”</w:t>
      </w:r>
      <w:r w:rsidR="00F02425">
        <w:t xml:space="preserve">, de </w:t>
      </w:r>
      <w:r w:rsidR="002A5D1C" w:rsidRPr="002A5D1C">
        <w:t xml:space="preserve">los archivos de cálculos de precios de enero 2021 </w:t>
      </w:r>
      <w:r w:rsidR="002A5D1C" w:rsidRPr="0015754E">
        <w:rPr>
          <w:b/>
          <w:bCs/>
        </w:rPr>
        <w:t>“Modelo PNP Enero 2021_V3_Mes_Light”</w:t>
      </w:r>
      <w:r w:rsidR="002A5D1C" w:rsidRPr="002A5D1C">
        <w:t xml:space="preserve"> y de febrero 2021 </w:t>
      </w:r>
      <w:r w:rsidR="002A5D1C" w:rsidRPr="0015754E">
        <w:rPr>
          <w:b/>
          <w:bCs/>
        </w:rPr>
        <w:t>“Modelo PNP Febrero 2021_V3_Mes_Light”</w:t>
      </w:r>
      <w:r w:rsidR="00F02425">
        <w:rPr>
          <w:b/>
          <w:bCs/>
        </w:rPr>
        <w:t>,</w:t>
      </w:r>
      <w:bookmarkStart w:id="1" w:name="_GoBack"/>
      <w:bookmarkEnd w:id="1"/>
      <w:r w:rsidR="00F02425">
        <w:t xml:space="preserve"> se </w:t>
      </w:r>
      <w:r w:rsidR="002A5D1C" w:rsidRPr="002A5D1C">
        <w:t>corr</w:t>
      </w:r>
      <w:r w:rsidR="00F02425">
        <w:t>ija</w:t>
      </w:r>
      <w:r w:rsidR="002A5D1C" w:rsidRPr="002A5D1C">
        <w:t xml:space="preserve"> la indexación de los contratos asociados a la licitación 2015/01 indicados en la siguiente tabla.</w:t>
      </w:r>
    </w:p>
    <w:tbl>
      <w:tblPr>
        <w:tblStyle w:val="Tablanormal1"/>
        <w:tblW w:w="9040" w:type="dxa"/>
        <w:jc w:val="center"/>
        <w:tblLook w:val="04A0" w:firstRow="1" w:lastRow="0" w:firstColumn="1" w:lastColumn="0" w:noHBand="0" w:noVBand="1"/>
      </w:tblPr>
      <w:tblGrid>
        <w:gridCol w:w="1200"/>
        <w:gridCol w:w="3040"/>
        <w:gridCol w:w="1200"/>
        <w:gridCol w:w="1335"/>
        <w:gridCol w:w="1200"/>
        <w:gridCol w:w="1200"/>
      </w:tblGrid>
      <w:tr w:rsidR="00607D5F" w14:paraId="574D9177" w14:textId="77777777" w:rsidTr="007474AB">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FD1B835" w14:textId="77777777" w:rsidR="00607D5F" w:rsidRPr="007474AB" w:rsidRDefault="00607D5F">
            <w:pPr>
              <w:spacing w:before="0" w:after="0"/>
              <w:jc w:val="center"/>
              <w:rPr>
                <w:rFonts w:ascii="Calibri" w:eastAsia="Times New Roman" w:hAnsi="Calibri" w:cs="Times New Roman"/>
                <w:color w:val="000000"/>
                <w:lang w:val="es-ES" w:eastAsia="es-CL"/>
              </w:rPr>
            </w:pPr>
            <w:r w:rsidRPr="007474AB">
              <w:rPr>
                <w:rFonts w:ascii="Calibri" w:eastAsia="Times New Roman" w:hAnsi="Calibri" w:cs="Times New Roman"/>
                <w:color w:val="000000"/>
                <w:lang w:val="es-ES" w:eastAsia="es-CL"/>
              </w:rPr>
              <w:t>Proceso</w:t>
            </w:r>
          </w:p>
        </w:tc>
        <w:tc>
          <w:tcPr>
            <w:tcW w:w="3040" w:type="dxa"/>
            <w:noWrap/>
            <w:hideMark/>
          </w:tcPr>
          <w:p w14:paraId="5B94BB38"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r w:rsidRPr="007474AB">
              <w:rPr>
                <w:rFonts w:ascii="Calibri" w:eastAsia="Times New Roman" w:hAnsi="Calibri" w:cs="Times New Roman"/>
                <w:color w:val="000000"/>
                <w:lang w:val="es-ES" w:eastAsia="es-CL"/>
              </w:rPr>
              <w:t>proveedor</w:t>
            </w:r>
          </w:p>
        </w:tc>
        <w:tc>
          <w:tcPr>
            <w:tcW w:w="1200" w:type="dxa"/>
            <w:noWrap/>
            <w:hideMark/>
          </w:tcPr>
          <w:p w14:paraId="73DF37D2"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proofErr w:type="spellStart"/>
            <w:r w:rsidRPr="007474AB">
              <w:rPr>
                <w:rFonts w:ascii="Calibri" w:eastAsia="Times New Roman" w:hAnsi="Calibri" w:cs="Times New Roman"/>
                <w:color w:val="000000"/>
                <w:lang w:val="es-ES" w:eastAsia="es-CL"/>
              </w:rPr>
              <w:t>Pto</w:t>
            </w:r>
            <w:proofErr w:type="spellEnd"/>
            <w:r w:rsidRPr="007474AB">
              <w:rPr>
                <w:rFonts w:ascii="Calibri" w:eastAsia="Times New Roman" w:hAnsi="Calibri" w:cs="Times New Roman"/>
                <w:color w:val="000000"/>
                <w:lang w:val="es-ES" w:eastAsia="es-CL"/>
              </w:rPr>
              <w:t xml:space="preserve"> Oferta</w:t>
            </w:r>
          </w:p>
        </w:tc>
        <w:tc>
          <w:tcPr>
            <w:tcW w:w="1200" w:type="dxa"/>
            <w:noWrap/>
            <w:hideMark/>
          </w:tcPr>
          <w:p w14:paraId="556D6361"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proofErr w:type="spellStart"/>
            <w:r w:rsidRPr="007474AB">
              <w:rPr>
                <w:rFonts w:ascii="Calibri" w:eastAsia="Times New Roman" w:hAnsi="Calibri" w:cs="Times New Roman"/>
                <w:color w:val="000000"/>
                <w:lang w:val="es-ES" w:eastAsia="es-CL"/>
              </w:rPr>
              <w:t>tipo_Bloque</w:t>
            </w:r>
            <w:proofErr w:type="spellEnd"/>
          </w:p>
        </w:tc>
        <w:tc>
          <w:tcPr>
            <w:tcW w:w="1200" w:type="dxa"/>
            <w:noWrap/>
            <w:hideMark/>
          </w:tcPr>
          <w:p w14:paraId="608A7640"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proofErr w:type="spellStart"/>
            <w:r w:rsidRPr="007474AB">
              <w:rPr>
                <w:rFonts w:ascii="Calibri" w:eastAsia="Times New Roman" w:hAnsi="Calibri" w:cs="Times New Roman"/>
                <w:color w:val="000000"/>
                <w:lang w:val="es-ES" w:eastAsia="es-CL"/>
              </w:rPr>
              <w:t>inicio_ctto</w:t>
            </w:r>
            <w:proofErr w:type="spellEnd"/>
          </w:p>
        </w:tc>
        <w:tc>
          <w:tcPr>
            <w:tcW w:w="1200" w:type="dxa"/>
            <w:noWrap/>
            <w:hideMark/>
          </w:tcPr>
          <w:p w14:paraId="3AE75250"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proofErr w:type="spellStart"/>
            <w:r w:rsidRPr="007474AB">
              <w:rPr>
                <w:rFonts w:ascii="Calibri" w:eastAsia="Times New Roman" w:hAnsi="Calibri" w:cs="Times New Roman"/>
                <w:color w:val="000000"/>
                <w:lang w:val="es-ES" w:eastAsia="es-CL"/>
              </w:rPr>
              <w:t>fin_ctto</w:t>
            </w:r>
            <w:proofErr w:type="spellEnd"/>
          </w:p>
        </w:tc>
      </w:tr>
      <w:tr w:rsidR="00607D5F" w14:paraId="721EED15" w14:textId="77777777" w:rsidTr="007474A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5D26A3B" w14:textId="77777777" w:rsidR="00607D5F" w:rsidRDefault="00607D5F">
            <w:pPr>
              <w:spacing w:before="0" w:after="0"/>
              <w:rPr>
                <w:rFonts w:ascii="Calibri" w:eastAsia="Times New Roman" w:hAnsi="Calibri" w:cs="Times New Roman"/>
                <w:b w:val="0"/>
                <w:bCs w:val="0"/>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044237C6"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IBEREÓLICA CABO LEONES II S.A.</w:t>
            </w:r>
          </w:p>
        </w:tc>
        <w:tc>
          <w:tcPr>
            <w:tcW w:w="1200" w:type="dxa"/>
            <w:noWrap/>
            <w:hideMark/>
          </w:tcPr>
          <w:p w14:paraId="7B624E5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05644E4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741BB835"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6676AEDB"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15610AAB"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277A438E"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187E5B0E"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HUEMUL ENERGÍA (</w:t>
            </w:r>
            <w:proofErr w:type="spellStart"/>
            <w:r>
              <w:rPr>
                <w:rFonts w:ascii="Calibri" w:eastAsia="Times New Roman" w:hAnsi="Calibri" w:cs="Times New Roman"/>
                <w:color w:val="000000"/>
                <w:sz w:val="18"/>
                <w:szCs w:val="18"/>
                <w:lang w:val="es-ES" w:eastAsia="es-CL"/>
              </w:rPr>
              <w:t>Caman</w:t>
            </w:r>
            <w:proofErr w:type="spellEnd"/>
            <w:r>
              <w:rPr>
                <w:rFonts w:ascii="Calibri" w:eastAsia="Times New Roman" w:hAnsi="Calibri" w:cs="Times New Roman"/>
                <w:color w:val="000000"/>
                <w:sz w:val="18"/>
                <w:szCs w:val="18"/>
                <w:lang w:val="es-ES" w:eastAsia="es-CL"/>
              </w:rPr>
              <w:t>)</w:t>
            </w:r>
          </w:p>
        </w:tc>
        <w:tc>
          <w:tcPr>
            <w:tcW w:w="1200" w:type="dxa"/>
            <w:noWrap/>
            <w:hideMark/>
          </w:tcPr>
          <w:p w14:paraId="4277F1F7"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0E8A6E52"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BS1</w:t>
            </w:r>
          </w:p>
        </w:tc>
        <w:tc>
          <w:tcPr>
            <w:tcW w:w="1200" w:type="dxa"/>
            <w:noWrap/>
            <w:hideMark/>
          </w:tcPr>
          <w:p w14:paraId="6FB6EE3E"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7DEB20A"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4E58A5F3"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46E2FE37"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0D3F5163"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HUEMUL ENERGÍA (Coihue)</w:t>
            </w:r>
          </w:p>
        </w:tc>
        <w:tc>
          <w:tcPr>
            <w:tcW w:w="1200" w:type="dxa"/>
            <w:noWrap/>
            <w:hideMark/>
          </w:tcPr>
          <w:p w14:paraId="5121E86E"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CDE96E9"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BS1</w:t>
            </w:r>
          </w:p>
        </w:tc>
        <w:tc>
          <w:tcPr>
            <w:tcW w:w="1200" w:type="dxa"/>
            <w:noWrap/>
            <w:hideMark/>
          </w:tcPr>
          <w:p w14:paraId="22501F0B"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6C3BDE3"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29FF9E5B"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39E3381D"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5CEC8C65"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CONDOR ENERGÍA (Esperanza)</w:t>
            </w:r>
          </w:p>
        </w:tc>
        <w:tc>
          <w:tcPr>
            <w:tcW w:w="1200" w:type="dxa"/>
            <w:noWrap/>
            <w:hideMark/>
          </w:tcPr>
          <w:p w14:paraId="79D2F30D"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2CC33D4C"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591364F3"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8149E0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430949CD"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4E6ACFCA"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72B26434"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w:t>
            </w:r>
          </w:p>
        </w:tc>
        <w:tc>
          <w:tcPr>
            <w:tcW w:w="1200" w:type="dxa"/>
            <w:noWrap/>
            <w:hideMark/>
          </w:tcPr>
          <w:p w14:paraId="40BB075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62157689"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6C714F1E"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1F51A93"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5AD0741"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661137D"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65359054"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MARIA ELENA SOLAR</w:t>
            </w:r>
          </w:p>
        </w:tc>
        <w:tc>
          <w:tcPr>
            <w:tcW w:w="1200" w:type="dxa"/>
            <w:noWrap/>
            <w:hideMark/>
          </w:tcPr>
          <w:p w14:paraId="52EED243"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2F0535D3"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BS2B</w:t>
            </w:r>
          </w:p>
        </w:tc>
        <w:tc>
          <w:tcPr>
            <w:tcW w:w="1200" w:type="dxa"/>
            <w:noWrap/>
            <w:hideMark/>
          </w:tcPr>
          <w:p w14:paraId="75EE9F30"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E5DF5D6"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476E0954"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9FC33C2"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0B5A8FF1"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OPDENERGY</w:t>
            </w:r>
          </w:p>
        </w:tc>
        <w:tc>
          <w:tcPr>
            <w:tcW w:w="1200" w:type="dxa"/>
            <w:noWrap/>
            <w:hideMark/>
          </w:tcPr>
          <w:p w14:paraId="2C50CAB2"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327CE6B5"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BS1</w:t>
            </w:r>
          </w:p>
        </w:tc>
        <w:tc>
          <w:tcPr>
            <w:tcW w:w="1200" w:type="dxa"/>
            <w:noWrap/>
            <w:hideMark/>
          </w:tcPr>
          <w:p w14:paraId="7CAB71A3"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83369C8"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04686F87"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368B607"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431C1491"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 II)</w:t>
            </w:r>
          </w:p>
        </w:tc>
        <w:tc>
          <w:tcPr>
            <w:tcW w:w="1200" w:type="dxa"/>
            <w:noWrap/>
            <w:hideMark/>
          </w:tcPr>
          <w:p w14:paraId="274DD957"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7097B033"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064F8D51"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34ED086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3891E8EB"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358B372E"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38D0AED6"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NEGRETE</w:t>
            </w:r>
          </w:p>
        </w:tc>
        <w:tc>
          <w:tcPr>
            <w:tcW w:w="1200" w:type="dxa"/>
            <w:noWrap/>
            <w:hideMark/>
          </w:tcPr>
          <w:p w14:paraId="38D01A64"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22912F38"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36CD365C"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9AB380B"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058CAE96"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0A16101"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5A1330D6"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IBEREÓLICA CABO LEONES III </w:t>
            </w:r>
            <w:proofErr w:type="spellStart"/>
            <w:r>
              <w:rPr>
                <w:rFonts w:ascii="Calibri" w:eastAsia="Times New Roman" w:hAnsi="Calibri" w:cs="Times New Roman"/>
                <w:color w:val="000000"/>
                <w:sz w:val="18"/>
                <w:szCs w:val="18"/>
                <w:lang w:val="es-ES" w:eastAsia="es-CL"/>
              </w:rPr>
              <w:t>SpA</w:t>
            </w:r>
            <w:proofErr w:type="spellEnd"/>
          </w:p>
        </w:tc>
        <w:tc>
          <w:tcPr>
            <w:tcW w:w="1200" w:type="dxa"/>
            <w:noWrap/>
            <w:hideMark/>
          </w:tcPr>
          <w:p w14:paraId="2D457AE7"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5D88BEBE"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620A5C28"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427E6244"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00910488"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011268D8"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3A4CCA5C"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w:t>
            </w:r>
          </w:p>
        </w:tc>
        <w:tc>
          <w:tcPr>
            <w:tcW w:w="1200" w:type="dxa"/>
            <w:noWrap/>
            <w:hideMark/>
          </w:tcPr>
          <w:p w14:paraId="2EFC057D"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56B581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521F2F5D"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1168E7CB"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12F6FC63"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6678835"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5CE138F0"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IBEREÓLICA CABO LEONES III </w:t>
            </w:r>
            <w:proofErr w:type="spellStart"/>
            <w:r>
              <w:rPr>
                <w:rFonts w:ascii="Calibri" w:eastAsia="Times New Roman" w:hAnsi="Calibri" w:cs="Times New Roman"/>
                <w:color w:val="000000"/>
                <w:sz w:val="18"/>
                <w:szCs w:val="18"/>
                <w:lang w:val="es-ES" w:eastAsia="es-CL"/>
              </w:rPr>
              <w:t>SpA</w:t>
            </w:r>
            <w:proofErr w:type="spellEnd"/>
          </w:p>
        </w:tc>
        <w:tc>
          <w:tcPr>
            <w:tcW w:w="1200" w:type="dxa"/>
            <w:noWrap/>
            <w:hideMark/>
          </w:tcPr>
          <w:p w14:paraId="475232C4"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37727267"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3C9BB428"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3C5B3B1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3E37A19C"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283D0E53"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495B4E02"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 II)</w:t>
            </w:r>
          </w:p>
        </w:tc>
        <w:tc>
          <w:tcPr>
            <w:tcW w:w="1200" w:type="dxa"/>
            <w:noWrap/>
            <w:hideMark/>
          </w:tcPr>
          <w:p w14:paraId="4ECC83FC"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6F02B8C"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16C35AE6"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F82F681"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718C8DA5"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773FA2FA"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5F5C51B2"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PARQUE EÓLICO CABO LEONES I S.A.</w:t>
            </w:r>
          </w:p>
        </w:tc>
        <w:tc>
          <w:tcPr>
            <w:tcW w:w="1200" w:type="dxa"/>
            <w:noWrap/>
            <w:hideMark/>
          </w:tcPr>
          <w:p w14:paraId="73B703AF"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4F15519A"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7FE852B0"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0EB930A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D0E9D22"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3822F35F"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lastRenderedPageBreak/>
              <w:t>2015/01</w:t>
            </w:r>
          </w:p>
        </w:tc>
        <w:tc>
          <w:tcPr>
            <w:tcW w:w="3040" w:type="dxa"/>
            <w:noWrap/>
            <w:hideMark/>
          </w:tcPr>
          <w:p w14:paraId="2FDF43E0"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w:t>
            </w:r>
          </w:p>
        </w:tc>
        <w:tc>
          <w:tcPr>
            <w:tcW w:w="1200" w:type="dxa"/>
            <w:noWrap/>
            <w:hideMark/>
          </w:tcPr>
          <w:p w14:paraId="233BC35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46C1A7B6"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0E4BD96C"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0EE0B1B8"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0C2AE1D8"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14AF1186"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1B3FF1F0"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PARQUE EÓLICO CABO LEONES I S.A.</w:t>
            </w:r>
          </w:p>
        </w:tc>
        <w:tc>
          <w:tcPr>
            <w:tcW w:w="1200" w:type="dxa"/>
            <w:noWrap/>
            <w:hideMark/>
          </w:tcPr>
          <w:p w14:paraId="7F3136C3"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E0EC7FC"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381ACCD0"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7301F3A"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14EDE97"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426D2FD"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4079249A"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BESALCO</w:t>
            </w:r>
          </w:p>
        </w:tc>
        <w:tc>
          <w:tcPr>
            <w:tcW w:w="1200" w:type="dxa"/>
            <w:noWrap/>
            <w:hideMark/>
          </w:tcPr>
          <w:p w14:paraId="027E08FB"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382B414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6E740E32"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55176FE"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7D674012"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9BE2B7C"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6F970BB6"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 II)</w:t>
            </w:r>
          </w:p>
        </w:tc>
        <w:tc>
          <w:tcPr>
            <w:tcW w:w="1200" w:type="dxa"/>
            <w:noWrap/>
            <w:hideMark/>
          </w:tcPr>
          <w:p w14:paraId="10A932E4"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46120C5A"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3D70A306"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252AFE37"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7C169D6F"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7D11E64D"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32BD0A3D"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NEGRETE</w:t>
            </w:r>
          </w:p>
        </w:tc>
        <w:tc>
          <w:tcPr>
            <w:tcW w:w="1200" w:type="dxa"/>
            <w:noWrap/>
            <w:hideMark/>
          </w:tcPr>
          <w:p w14:paraId="193EA02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292B16B"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20AD00A8"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27FEFC02"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B2315FC"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0AA29AD2"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1B1A288F"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DUQUECO (</w:t>
            </w:r>
            <w:proofErr w:type="spellStart"/>
            <w:r>
              <w:rPr>
                <w:rFonts w:ascii="Calibri" w:eastAsia="Times New Roman" w:hAnsi="Calibri" w:cs="Times New Roman"/>
                <w:color w:val="000000"/>
                <w:sz w:val="18"/>
                <w:szCs w:val="18"/>
                <w:lang w:val="es-ES" w:eastAsia="es-CL"/>
              </w:rPr>
              <w:t>Duqueco</w:t>
            </w:r>
            <w:proofErr w:type="spellEnd"/>
            <w:r>
              <w:rPr>
                <w:rFonts w:ascii="Calibri" w:eastAsia="Times New Roman" w:hAnsi="Calibri" w:cs="Times New Roman"/>
                <w:color w:val="000000"/>
                <w:sz w:val="18"/>
                <w:szCs w:val="18"/>
                <w:lang w:val="es-ES" w:eastAsia="es-CL"/>
              </w:rPr>
              <w:t>)</w:t>
            </w:r>
          </w:p>
        </w:tc>
        <w:tc>
          <w:tcPr>
            <w:tcW w:w="1200" w:type="dxa"/>
            <w:noWrap/>
            <w:hideMark/>
          </w:tcPr>
          <w:p w14:paraId="5592A740"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76273004"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586A0DA0"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7999CD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4FC54FF3"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C0F46C7"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211B1F28"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DUQUECO (</w:t>
            </w:r>
            <w:proofErr w:type="spellStart"/>
            <w:r>
              <w:rPr>
                <w:rFonts w:ascii="Calibri" w:eastAsia="Times New Roman" w:hAnsi="Calibri" w:cs="Times New Roman"/>
                <w:color w:val="000000"/>
                <w:sz w:val="18"/>
                <w:szCs w:val="18"/>
                <w:lang w:val="es-ES" w:eastAsia="es-CL"/>
              </w:rPr>
              <w:t>Sta</w:t>
            </w:r>
            <w:proofErr w:type="spellEnd"/>
            <w:r>
              <w:rPr>
                <w:rFonts w:ascii="Calibri" w:eastAsia="Times New Roman" w:hAnsi="Calibri" w:cs="Times New Roman"/>
                <w:color w:val="000000"/>
                <w:sz w:val="18"/>
                <w:szCs w:val="18"/>
                <w:lang w:val="es-ES" w:eastAsia="es-CL"/>
              </w:rPr>
              <w:t xml:space="preserve"> Fe)</w:t>
            </w:r>
          </w:p>
        </w:tc>
        <w:tc>
          <w:tcPr>
            <w:tcW w:w="1200" w:type="dxa"/>
            <w:noWrap/>
            <w:hideMark/>
          </w:tcPr>
          <w:p w14:paraId="2886F383"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5C38A1FC"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03AB1FA3"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6E95095"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5EFE84B"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F9905BA"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0C7D925B"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NEGRETE</w:t>
            </w:r>
          </w:p>
        </w:tc>
        <w:tc>
          <w:tcPr>
            <w:tcW w:w="1200" w:type="dxa"/>
            <w:noWrap/>
            <w:hideMark/>
          </w:tcPr>
          <w:p w14:paraId="4864621C"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4E1496BA"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06E72D26"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6DBBBA88"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bl>
    <w:p w14:paraId="1C789F47" w14:textId="69477ADA" w:rsidR="00607D5F" w:rsidRPr="00607D5F" w:rsidRDefault="00731449" w:rsidP="000641A4">
      <w:pPr>
        <w:pStyle w:val="Ttulo1"/>
      </w:pPr>
      <w:r>
        <w:t>Cálculo de Transferencias entre Distribuidoras “TD”</w:t>
      </w:r>
    </w:p>
    <w:p w14:paraId="26E90803" w14:textId="77777777" w:rsidR="00731449" w:rsidRDefault="00731449" w:rsidP="00731449">
      <w:pPr>
        <w:spacing w:line="240" w:lineRule="auto"/>
        <w:jc w:val="both"/>
      </w:pPr>
      <w:r>
        <w:t>En la hoja “Factor” del archivo “Modelo PNP Julio 2021_V1_8.xlsx”, se ha considerado para el cálculo de las Transferencias entre Distribuidoras “TD” la aplicación del mismo factor de ajuste para todos los contratos vigentes de las respectivas distribuidoras, sin hacer distinción para los contratos que inician suministros a partir del 2021.</w:t>
      </w:r>
    </w:p>
    <w:p w14:paraId="54E5292A" w14:textId="0DFAA8FD" w:rsidR="00731449" w:rsidRDefault="00731449" w:rsidP="00731449">
      <w:pPr>
        <w:spacing w:line="240" w:lineRule="auto"/>
        <w:jc w:val="both"/>
      </w:pPr>
      <w:r>
        <w:t>En efecto, en el Artículo 11 de la R</w:t>
      </w:r>
      <w:r w:rsidR="00EA71A7">
        <w:t xml:space="preserve">esolución </w:t>
      </w:r>
      <w:r>
        <w:t>E</w:t>
      </w:r>
      <w:r w:rsidR="00EA71A7">
        <w:t xml:space="preserve">xenta </w:t>
      </w:r>
      <w:proofErr w:type="spellStart"/>
      <w:r w:rsidR="00EA71A7">
        <w:t>N°</w:t>
      </w:r>
      <w:proofErr w:type="spellEnd"/>
      <w:r w:rsidR="00EA71A7">
        <w:t> </w:t>
      </w:r>
      <w:r>
        <w:t>72</w:t>
      </w:r>
      <w:r w:rsidR="00EA71A7">
        <w:t>-</w:t>
      </w:r>
      <w:r>
        <w:t xml:space="preserve">2020, que establece las disposiciones técnicas para la implementación de la Ley </w:t>
      </w:r>
      <w:proofErr w:type="spellStart"/>
      <w:r>
        <w:t>N°</w:t>
      </w:r>
      <w:proofErr w:type="spellEnd"/>
      <w:r>
        <w:t xml:space="preserve"> 21.185, se indica que para los contratos cuyo inicio de suministro sea a partir del año 2021, el “Factor de Ajuste de energía y potencia será igual a uno”.</w:t>
      </w:r>
    </w:p>
    <w:p w14:paraId="0952539A" w14:textId="07CB6887" w:rsidR="00731449" w:rsidRDefault="00731449" w:rsidP="0015754E">
      <w:pPr>
        <w:spacing w:line="240" w:lineRule="auto"/>
        <w:jc w:val="both"/>
      </w:pPr>
      <w:r>
        <w:t>En tanto en el Artículo 12 de la misma Resolución Exenta, se establece que las transferencias entre Distribuidoras, en adelante “TD”, tienen por objetivo mantener la coherencia de la recaudación de cada Distribuidora con respecto al pago que deben efectuar a sus Suministradores y para su cálculo se utiliza la siguiente expresión:</w:t>
      </w:r>
    </w:p>
    <w:p w14:paraId="4BEF7E26" w14:textId="50725C3A" w:rsidR="00731449" w:rsidRDefault="00731449" w:rsidP="0015754E">
      <w:pPr>
        <w:spacing w:line="240" w:lineRule="auto"/>
        <w:jc w:val="center"/>
      </w:pPr>
      <w:r w:rsidRPr="008F7089">
        <w:rPr>
          <w:rFonts w:cs="Verdana"/>
          <w:i/>
          <w:iCs/>
          <w:noProof/>
          <w:lang w:eastAsia="es-CL"/>
        </w:rPr>
        <w:drawing>
          <wp:inline distT="0" distB="0" distL="0" distR="0" wp14:anchorId="2299B85B" wp14:editId="7E424C34">
            <wp:extent cx="3323646" cy="456934"/>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9451" cy="472855"/>
                    </a:xfrm>
                    <a:prstGeom prst="rect">
                      <a:avLst/>
                    </a:prstGeom>
                    <a:noFill/>
                    <a:ln>
                      <a:noFill/>
                    </a:ln>
                  </pic:spPr>
                </pic:pic>
              </a:graphicData>
            </a:graphic>
          </wp:inline>
        </w:drawing>
      </w:r>
    </w:p>
    <w:p w14:paraId="654D8ABD" w14:textId="15588E11" w:rsidR="00731449" w:rsidRPr="00956C86" w:rsidRDefault="00731449" w:rsidP="00731449">
      <w:pPr>
        <w:jc w:val="both"/>
        <w:rPr>
          <w:u w:val="single"/>
        </w:rPr>
      </w:pPr>
      <w:r w:rsidRPr="002D388E">
        <w:t xml:space="preserve">Donde el parámetro </w:t>
      </w:r>
      <w:proofErr w:type="spellStart"/>
      <w:proofErr w:type="gramStart"/>
      <w:r w:rsidRPr="002D388E">
        <w:rPr>
          <w:rFonts w:cs="Verdana"/>
          <w:b/>
          <w:iCs/>
        </w:rPr>
        <w:t>PNLPajustadoj,i</w:t>
      </w:r>
      <w:proofErr w:type="spellEnd"/>
      <w:proofErr w:type="gramEnd"/>
      <w:r w:rsidRPr="002D388E">
        <w:rPr>
          <w:rFonts w:cs="Verdana"/>
          <w:iCs/>
        </w:rPr>
        <w:t xml:space="preserve"> se define como los</w:t>
      </w:r>
      <w:r w:rsidRPr="002D388E">
        <w:rPr>
          <w:rFonts w:cs="Verdana"/>
        </w:rPr>
        <w:t xml:space="preserve"> </w:t>
      </w:r>
      <w:r w:rsidRPr="00956C86">
        <w:rPr>
          <w:rFonts w:cs="Verdana"/>
          <w:u w:val="single"/>
        </w:rPr>
        <w:t>Precios que la Distribuidora deberán pagar a sus Suministrador por su Contrato “j” en el Punto de Compra “i”, de conformidad a lo dispuesto en el Artículo 11.</w:t>
      </w:r>
    </w:p>
    <w:p w14:paraId="6AD064D3" w14:textId="7ADFAAE8" w:rsidR="00731449" w:rsidRDefault="00731449" w:rsidP="00731449">
      <w:pPr>
        <w:spacing w:line="240" w:lineRule="auto"/>
        <w:jc w:val="both"/>
      </w:pPr>
      <w:r>
        <w:t xml:space="preserve">Por la tanto, en el cálculo del TD de cada distribuidora, se deberá considerar en la valorización de la compra los precios establecidos en el respectivo PNLP con su correspondiente factor de ajuste, es decir, aquel que resulte de aplicar la metodología de cálculo establecida en el Artículo 11 de la </w:t>
      </w:r>
      <w:r w:rsidR="00EA71A7">
        <w:t xml:space="preserve">Resolución Exenta </w:t>
      </w:r>
      <w:proofErr w:type="spellStart"/>
      <w:r w:rsidR="00EA71A7">
        <w:t>N°</w:t>
      </w:r>
      <w:proofErr w:type="spellEnd"/>
      <w:r w:rsidR="00EA71A7">
        <w:t> 72-2020</w:t>
      </w:r>
      <w:r>
        <w:t xml:space="preserve"> para los contratos que iniciaron suministro antes del 2021 y con factor igual a “1” en aquellos contratos que inicien suministro a partir de enero 2021.</w:t>
      </w:r>
    </w:p>
    <w:p w14:paraId="57B8EFA2" w14:textId="77777777" w:rsidR="00731449" w:rsidRDefault="00731449" w:rsidP="00731449">
      <w:pPr>
        <w:spacing w:line="240" w:lineRule="auto"/>
        <w:jc w:val="both"/>
      </w:pPr>
      <w:r>
        <w:t>De acuerdo a lo anterior, solicitamos considerar en el cálculo de la columna “AL” (con título “</w:t>
      </w:r>
      <w:r w:rsidRPr="003A10F6">
        <w:t>Compra PNLPE * Factor $</w:t>
      </w:r>
      <w:r>
        <w:t>”) del archivo mencionado anteriormente, la aplicación del factor de ajuste igual a “1” para los contratos que inicien suministro a partir de enero 2021.</w:t>
      </w:r>
    </w:p>
    <w:p w14:paraId="6CCDF2CA" w14:textId="75AD5310" w:rsidR="00731449" w:rsidRDefault="00731449" w:rsidP="00731449">
      <w:pPr>
        <w:spacing w:line="240" w:lineRule="auto"/>
        <w:jc w:val="both"/>
      </w:pPr>
      <w:r>
        <w:t>La situación planteada anteriormente, se presenta también para el cálculo de las Transferencias entre Distribuidoras, en el archivo “</w:t>
      </w:r>
      <w:r w:rsidRPr="00A047E8">
        <w:t>Modelo PNP Enero 2021_V3</w:t>
      </w:r>
      <w:r>
        <w:t xml:space="preserve"> .xlsx” del informe asociado al PNLP de enero 2021.</w:t>
      </w:r>
    </w:p>
    <w:p w14:paraId="6B34994E" w14:textId="77777777" w:rsidR="00731449" w:rsidRPr="0015754E" w:rsidRDefault="00731449">
      <w:pPr>
        <w:pStyle w:val="Ttulo1"/>
        <w:rPr>
          <w:rStyle w:val="nfasis"/>
          <w:i w:val="0"/>
          <w:iCs w:val="0"/>
        </w:rPr>
      </w:pPr>
      <w:r w:rsidRPr="0015754E">
        <w:rPr>
          <w:rStyle w:val="nfasis"/>
          <w:i w:val="0"/>
          <w:iCs w:val="0"/>
        </w:rPr>
        <w:lastRenderedPageBreak/>
        <w:t>Factores de pérdidas de transmisión zonal.</w:t>
      </w:r>
    </w:p>
    <w:p w14:paraId="758C9F16" w14:textId="71AC77B8" w:rsidR="00731449" w:rsidRDefault="00731449" w:rsidP="00731449">
      <w:pPr>
        <w:spacing w:line="240" w:lineRule="auto"/>
        <w:jc w:val="both"/>
      </w:pPr>
      <w:r>
        <w:t>En la hoja “</w:t>
      </w:r>
      <w:proofErr w:type="spellStart"/>
      <w:r>
        <w:t>STx</w:t>
      </w:r>
      <w:proofErr w:type="spellEnd"/>
      <w:r>
        <w:t>” del archivo “</w:t>
      </w:r>
      <w:r w:rsidRPr="008E6FB2">
        <w:t>Modelo PNP Julio 2021_V1_8.xlsx”</w:t>
      </w:r>
      <w:r w:rsidRPr="00D769EA">
        <w:t xml:space="preserve">, se ha considerado </w:t>
      </w:r>
      <w:r>
        <w:t>para los factores de pérdidas de transmisión zonal esperadas del 2° semestre del 2021, valores distintos a los determinados por el C</w:t>
      </w:r>
      <w:r w:rsidR="00F0345C">
        <w:t>oordinador Eléctrico Nacional</w:t>
      </w:r>
      <w:r>
        <w:t xml:space="preserve">. </w:t>
      </w:r>
    </w:p>
    <w:p w14:paraId="2EC01650" w14:textId="5BEDF396" w:rsidR="00731449" w:rsidRDefault="00731449" w:rsidP="00731449">
      <w:pPr>
        <w:spacing w:line="240" w:lineRule="auto"/>
        <w:jc w:val="both"/>
      </w:pPr>
      <w:r>
        <w:t>Solicitamos corregir dichos factores de pérdidas</w:t>
      </w:r>
      <w:r w:rsidR="004E7E29" w:rsidRPr="004E7E29">
        <w:t xml:space="preserve"> </w:t>
      </w:r>
      <w:r w:rsidR="004E7E29">
        <w:t>para el periodo señalado</w:t>
      </w:r>
      <w:r>
        <w:t xml:space="preserve">, de acuerdo a los publicados por el </w:t>
      </w:r>
      <w:r w:rsidR="004E7E29">
        <w:t xml:space="preserve">Coordinador en su página web e informados mediante Carta </w:t>
      </w:r>
      <w:r w:rsidR="004E7E29" w:rsidRPr="004E7E29">
        <w:t>DE01942-21</w:t>
      </w:r>
      <w:r w:rsidR="004E7E29">
        <w:t xml:space="preserve">. Los factores a utilizar con los </w:t>
      </w:r>
      <w:r>
        <w:t>indicados en la siguiente tabla:</w:t>
      </w:r>
    </w:p>
    <w:tbl>
      <w:tblPr>
        <w:tblW w:w="3800" w:type="dxa"/>
        <w:jc w:val="center"/>
        <w:tblCellMar>
          <w:left w:w="70" w:type="dxa"/>
          <w:right w:w="70" w:type="dxa"/>
        </w:tblCellMar>
        <w:tblLook w:val="04A0" w:firstRow="1" w:lastRow="0" w:firstColumn="1" w:lastColumn="0" w:noHBand="0" w:noVBand="1"/>
      </w:tblPr>
      <w:tblGrid>
        <w:gridCol w:w="1105"/>
        <w:gridCol w:w="1342"/>
        <w:gridCol w:w="1353"/>
      </w:tblGrid>
      <w:tr w:rsidR="00731449" w:rsidRPr="00791D7E" w14:paraId="3FE12E9F" w14:textId="77777777" w:rsidTr="0015754E">
        <w:trPr>
          <w:trHeight w:val="315"/>
          <w:jc w:val="center"/>
        </w:trPr>
        <w:tc>
          <w:tcPr>
            <w:tcW w:w="3800" w:type="dxa"/>
            <w:gridSpan w:val="3"/>
            <w:tcBorders>
              <w:top w:val="nil"/>
              <w:left w:val="nil"/>
              <w:bottom w:val="nil"/>
              <w:right w:val="nil"/>
            </w:tcBorders>
            <w:shd w:val="clear" w:color="auto" w:fill="auto"/>
            <w:noWrap/>
            <w:vAlign w:val="center"/>
            <w:hideMark/>
          </w:tcPr>
          <w:p w14:paraId="124D707D" w14:textId="77777777" w:rsidR="00731449" w:rsidRPr="00791D7E" w:rsidRDefault="00731449" w:rsidP="00702B19">
            <w:pPr>
              <w:spacing w:before="0" w:after="0" w:line="240" w:lineRule="auto"/>
              <w:rPr>
                <w:rFonts w:ascii="Calibri" w:eastAsia="Times New Roman" w:hAnsi="Calibri" w:cs="Times New Roman"/>
                <w:b/>
                <w:bCs/>
                <w:color w:val="000000"/>
                <w:lang w:eastAsia="es-CL"/>
              </w:rPr>
            </w:pPr>
            <w:r w:rsidRPr="00791D7E">
              <w:rPr>
                <w:rFonts w:ascii="Calibri" w:eastAsia="Times New Roman" w:hAnsi="Calibri" w:cs="Times New Roman"/>
                <w:b/>
                <w:bCs/>
                <w:color w:val="000000"/>
                <w:lang w:eastAsia="es-CL"/>
              </w:rPr>
              <w:t>Tabla 3</w:t>
            </w:r>
            <w:r w:rsidRPr="00791D7E">
              <w:rPr>
                <w:rFonts w:ascii="Calibri" w:eastAsia="Times New Roman" w:hAnsi="Calibri" w:cs="Times New Roman"/>
                <w:b/>
                <w:bCs/>
                <w:color w:val="000000"/>
                <w:lang w:eastAsia="es-CL"/>
              </w:rPr>
              <w:noBreakHyphen/>
              <w:t>7: Factor Esperado de Pérdida de Energía y Potencia 2°Sem</w:t>
            </w:r>
          </w:p>
        </w:tc>
      </w:tr>
      <w:tr w:rsidR="00731449" w:rsidRPr="00791D7E" w14:paraId="605C8682" w14:textId="77777777" w:rsidTr="0015754E">
        <w:trPr>
          <w:trHeight w:val="315"/>
          <w:jc w:val="center"/>
        </w:trPr>
        <w:tc>
          <w:tcPr>
            <w:tcW w:w="1105" w:type="dxa"/>
            <w:tcBorders>
              <w:top w:val="single" w:sz="8" w:space="0" w:color="8EA9DB"/>
              <w:left w:val="single" w:sz="8" w:space="0" w:color="8EA9DB"/>
              <w:bottom w:val="single" w:sz="8" w:space="0" w:color="8EA9DB"/>
              <w:right w:val="nil"/>
            </w:tcBorders>
            <w:shd w:val="clear" w:color="000000" w:fill="4F81BD"/>
            <w:noWrap/>
            <w:vAlign w:val="center"/>
            <w:hideMark/>
          </w:tcPr>
          <w:p w14:paraId="3CC660FB" w14:textId="77777777" w:rsidR="00731449" w:rsidRPr="00791D7E" w:rsidRDefault="00731449" w:rsidP="00702B19">
            <w:pPr>
              <w:spacing w:before="0" w:after="0" w:line="240" w:lineRule="auto"/>
              <w:jc w:val="center"/>
              <w:rPr>
                <w:rFonts w:ascii="Calibri" w:eastAsia="Times New Roman" w:hAnsi="Calibri" w:cs="Times New Roman"/>
                <w:b/>
                <w:bCs/>
                <w:color w:val="FFFFFF"/>
                <w:sz w:val="16"/>
                <w:szCs w:val="16"/>
                <w:lang w:eastAsia="es-CL"/>
              </w:rPr>
            </w:pPr>
            <w:r w:rsidRPr="00791D7E">
              <w:rPr>
                <w:rFonts w:ascii="Calibri" w:eastAsia="Times New Roman" w:hAnsi="Calibri" w:cs="Times New Roman"/>
                <w:b/>
                <w:bCs/>
                <w:color w:val="FFFFFF"/>
                <w:sz w:val="16"/>
                <w:szCs w:val="16"/>
                <w:lang w:eastAsia="es-CL"/>
              </w:rPr>
              <w:t>Sistema</w:t>
            </w:r>
          </w:p>
        </w:tc>
        <w:tc>
          <w:tcPr>
            <w:tcW w:w="1342" w:type="dxa"/>
            <w:tcBorders>
              <w:top w:val="single" w:sz="8" w:space="0" w:color="8EA9DB"/>
              <w:left w:val="nil"/>
              <w:bottom w:val="single" w:sz="8" w:space="0" w:color="8EA9DB"/>
              <w:right w:val="nil"/>
            </w:tcBorders>
            <w:shd w:val="clear" w:color="000000" w:fill="4F81BD"/>
            <w:noWrap/>
            <w:vAlign w:val="center"/>
            <w:hideMark/>
          </w:tcPr>
          <w:p w14:paraId="21834125" w14:textId="77777777" w:rsidR="00731449" w:rsidRPr="00791D7E" w:rsidRDefault="00731449" w:rsidP="00702B19">
            <w:pPr>
              <w:spacing w:before="0" w:after="0" w:line="240" w:lineRule="auto"/>
              <w:jc w:val="center"/>
              <w:rPr>
                <w:rFonts w:ascii="Calibri" w:eastAsia="Times New Roman" w:hAnsi="Calibri" w:cs="Times New Roman"/>
                <w:b/>
                <w:bCs/>
                <w:color w:val="FFFFFF"/>
                <w:sz w:val="16"/>
                <w:szCs w:val="16"/>
                <w:lang w:eastAsia="es-CL"/>
              </w:rPr>
            </w:pPr>
            <w:proofErr w:type="spellStart"/>
            <w:r w:rsidRPr="00791D7E">
              <w:rPr>
                <w:rFonts w:ascii="Calibri" w:eastAsia="Times New Roman" w:hAnsi="Calibri" w:cs="Times New Roman"/>
                <w:b/>
                <w:bCs/>
                <w:color w:val="FFFFFF"/>
                <w:sz w:val="16"/>
                <w:szCs w:val="16"/>
                <w:lang w:eastAsia="es-CL"/>
              </w:rPr>
              <w:t>FactPerdidaE</w:t>
            </w:r>
            <w:proofErr w:type="spellEnd"/>
          </w:p>
        </w:tc>
        <w:tc>
          <w:tcPr>
            <w:tcW w:w="1353" w:type="dxa"/>
            <w:tcBorders>
              <w:top w:val="single" w:sz="8" w:space="0" w:color="8EA9DB"/>
              <w:left w:val="nil"/>
              <w:bottom w:val="single" w:sz="8" w:space="0" w:color="8EA9DB"/>
              <w:right w:val="single" w:sz="8" w:space="0" w:color="8EA9DB"/>
            </w:tcBorders>
            <w:shd w:val="clear" w:color="000000" w:fill="4F81BD"/>
            <w:noWrap/>
            <w:vAlign w:val="center"/>
            <w:hideMark/>
          </w:tcPr>
          <w:p w14:paraId="4366F89D" w14:textId="77777777" w:rsidR="00731449" w:rsidRPr="00791D7E" w:rsidRDefault="00731449" w:rsidP="00702B19">
            <w:pPr>
              <w:spacing w:before="0" w:after="0" w:line="240" w:lineRule="auto"/>
              <w:jc w:val="center"/>
              <w:rPr>
                <w:rFonts w:ascii="Calibri" w:eastAsia="Times New Roman" w:hAnsi="Calibri" w:cs="Times New Roman"/>
                <w:b/>
                <w:bCs/>
                <w:color w:val="FFFFFF"/>
                <w:sz w:val="16"/>
                <w:szCs w:val="16"/>
                <w:lang w:eastAsia="es-CL"/>
              </w:rPr>
            </w:pPr>
            <w:proofErr w:type="spellStart"/>
            <w:r w:rsidRPr="00791D7E">
              <w:rPr>
                <w:rFonts w:ascii="Calibri" w:eastAsia="Times New Roman" w:hAnsi="Calibri" w:cs="Times New Roman"/>
                <w:b/>
                <w:bCs/>
                <w:color w:val="FFFFFF"/>
                <w:sz w:val="16"/>
                <w:szCs w:val="16"/>
                <w:lang w:eastAsia="es-CL"/>
              </w:rPr>
              <w:t>FactPerdidaP</w:t>
            </w:r>
            <w:proofErr w:type="spellEnd"/>
          </w:p>
        </w:tc>
      </w:tr>
      <w:tr w:rsidR="00731449" w:rsidRPr="00791D7E" w14:paraId="42CE3ABB" w14:textId="77777777" w:rsidTr="0015754E">
        <w:trPr>
          <w:trHeight w:val="300"/>
          <w:jc w:val="center"/>
        </w:trPr>
        <w:tc>
          <w:tcPr>
            <w:tcW w:w="1105" w:type="dxa"/>
            <w:tcBorders>
              <w:top w:val="nil"/>
              <w:left w:val="single" w:sz="8" w:space="0" w:color="8EA9DB"/>
              <w:bottom w:val="single" w:sz="4" w:space="0" w:color="8EA9DB"/>
              <w:right w:val="nil"/>
            </w:tcBorders>
            <w:shd w:val="clear" w:color="auto" w:fill="auto"/>
            <w:noWrap/>
            <w:vAlign w:val="center"/>
            <w:hideMark/>
          </w:tcPr>
          <w:p w14:paraId="58A12382" w14:textId="77777777" w:rsidR="00731449" w:rsidRPr="00791D7E" w:rsidRDefault="00731449" w:rsidP="00702B19">
            <w:pPr>
              <w:spacing w:before="0" w:after="0" w:line="240" w:lineRule="auto"/>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SISTEMA A</w:t>
            </w:r>
          </w:p>
        </w:tc>
        <w:tc>
          <w:tcPr>
            <w:tcW w:w="1342" w:type="dxa"/>
            <w:tcBorders>
              <w:top w:val="nil"/>
              <w:left w:val="nil"/>
              <w:bottom w:val="single" w:sz="4" w:space="0" w:color="8EA9DB"/>
              <w:right w:val="nil"/>
            </w:tcBorders>
            <w:shd w:val="clear" w:color="auto" w:fill="auto"/>
            <w:noWrap/>
            <w:vAlign w:val="center"/>
            <w:hideMark/>
          </w:tcPr>
          <w:p w14:paraId="38DC1CDA"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1,01448</w:t>
            </w:r>
          </w:p>
        </w:tc>
        <w:tc>
          <w:tcPr>
            <w:tcW w:w="1353" w:type="dxa"/>
            <w:tcBorders>
              <w:top w:val="nil"/>
              <w:left w:val="nil"/>
              <w:bottom w:val="single" w:sz="4" w:space="0" w:color="8EA9DB"/>
              <w:right w:val="single" w:sz="8" w:space="0" w:color="8EA9DB"/>
            </w:tcBorders>
            <w:shd w:val="clear" w:color="auto" w:fill="auto"/>
            <w:noWrap/>
            <w:vAlign w:val="center"/>
            <w:hideMark/>
          </w:tcPr>
          <w:p w14:paraId="6F4B9CE0"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1,01967</w:t>
            </w:r>
          </w:p>
        </w:tc>
      </w:tr>
      <w:tr w:rsidR="00731449" w:rsidRPr="00791D7E" w14:paraId="096778B6" w14:textId="77777777" w:rsidTr="0015754E">
        <w:trPr>
          <w:trHeight w:val="300"/>
          <w:jc w:val="center"/>
        </w:trPr>
        <w:tc>
          <w:tcPr>
            <w:tcW w:w="1105" w:type="dxa"/>
            <w:tcBorders>
              <w:top w:val="nil"/>
              <w:left w:val="single" w:sz="8" w:space="0" w:color="8EA9DB"/>
              <w:bottom w:val="single" w:sz="4" w:space="0" w:color="8EA9DB"/>
              <w:right w:val="nil"/>
            </w:tcBorders>
            <w:shd w:val="clear" w:color="auto" w:fill="auto"/>
            <w:noWrap/>
            <w:vAlign w:val="center"/>
            <w:hideMark/>
          </w:tcPr>
          <w:p w14:paraId="7CAFED6C" w14:textId="77777777" w:rsidR="00731449" w:rsidRPr="00791D7E" w:rsidRDefault="00731449" w:rsidP="00702B19">
            <w:pPr>
              <w:spacing w:before="0" w:after="0" w:line="240" w:lineRule="auto"/>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SISTEMA B</w:t>
            </w:r>
          </w:p>
        </w:tc>
        <w:tc>
          <w:tcPr>
            <w:tcW w:w="1342" w:type="dxa"/>
            <w:tcBorders>
              <w:top w:val="nil"/>
              <w:left w:val="nil"/>
              <w:bottom w:val="single" w:sz="4" w:space="0" w:color="8EA9DB"/>
              <w:right w:val="nil"/>
            </w:tcBorders>
            <w:shd w:val="clear" w:color="auto" w:fill="auto"/>
            <w:noWrap/>
            <w:vAlign w:val="center"/>
            <w:hideMark/>
          </w:tcPr>
          <w:p w14:paraId="0434521B"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1,02218</w:t>
            </w:r>
          </w:p>
        </w:tc>
        <w:tc>
          <w:tcPr>
            <w:tcW w:w="1353" w:type="dxa"/>
            <w:tcBorders>
              <w:top w:val="nil"/>
              <w:left w:val="nil"/>
              <w:bottom w:val="single" w:sz="4" w:space="0" w:color="8EA9DB"/>
              <w:right w:val="single" w:sz="8" w:space="0" w:color="8EA9DB"/>
            </w:tcBorders>
            <w:shd w:val="clear" w:color="auto" w:fill="auto"/>
            <w:noWrap/>
            <w:vAlign w:val="center"/>
            <w:hideMark/>
          </w:tcPr>
          <w:p w14:paraId="663E91AD"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1,02992</w:t>
            </w:r>
          </w:p>
        </w:tc>
      </w:tr>
      <w:tr w:rsidR="00731449" w:rsidRPr="00791D7E" w14:paraId="776DEF1B" w14:textId="77777777" w:rsidTr="0015754E">
        <w:trPr>
          <w:trHeight w:val="300"/>
          <w:jc w:val="center"/>
        </w:trPr>
        <w:tc>
          <w:tcPr>
            <w:tcW w:w="1105" w:type="dxa"/>
            <w:tcBorders>
              <w:top w:val="nil"/>
              <w:left w:val="single" w:sz="8" w:space="0" w:color="8EA9DB"/>
              <w:bottom w:val="single" w:sz="4" w:space="0" w:color="8EA9DB"/>
              <w:right w:val="nil"/>
            </w:tcBorders>
            <w:shd w:val="clear" w:color="auto" w:fill="auto"/>
            <w:noWrap/>
            <w:vAlign w:val="center"/>
            <w:hideMark/>
          </w:tcPr>
          <w:p w14:paraId="618E8FF1" w14:textId="77777777" w:rsidR="00731449" w:rsidRPr="00791D7E" w:rsidRDefault="00731449" w:rsidP="00702B19">
            <w:pPr>
              <w:spacing w:before="0" w:after="0" w:line="240" w:lineRule="auto"/>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SISTEMA C</w:t>
            </w:r>
          </w:p>
        </w:tc>
        <w:tc>
          <w:tcPr>
            <w:tcW w:w="1342" w:type="dxa"/>
            <w:tcBorders>
              <w:top w:val="nil"/>
              <w:left w:val="nil"/>
              <w:bottom w:val="single" w:sz="4" w:space="0" w:color="8EA9DB"/>
              <w:right w:val="nil"/>
            </w:tcBorders>
            <w:shd w:val="clear" w:color="auto" w:fill="auto"/>
            <w:noWrap/>
            <w:vAlign w:val="center"/>
            <w:hideMark/>
          </w:tcPr>
          <w:p w14:paraId="353508BD"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1,02509</w:t>
            </w:r>
          </w:p>
        </w:tc>
        <w:tc>
          <w:tcPr>
            <w:tcW w:w="1353" w:type="dxa"/>
            <w:tcBorders>
              <w:top w:val="nil"/>
              <w:left w:val="nil"/>
              <w:bottom w:val="single" w:sz="4" w:space="0" w:color="8EA9DB"/>
              <w:right w:val="single" w:sz="8" w:space="0" w:color="8EA9DB"/>
            </w:tcBorders>
            <w:shd w:val="clear" w:color="auto" w:fill="auto"/>
            <w:noWrap/>
            <w:vAlign w:val="center"/>
            <w:hideMark/>
          </w:tcPr>
          <w:p w14:paraId="4E9CFB9F"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1,02613</w:t>
            </w:r>
          </w:p>
        </w:tc>
      </w:tr>
      <w:tr w:rsidR="00731449" w:rsidRPr="00791D7E" w14:paraId="787D9474" w14:textId="77777777" w:rsidTr="0015754E">
        <w:trPr>
          <w:trHeight w:val="300"/>
          <w:jc w:val="center"/>
        </w:trPr>
        <w:tc>
          <w:tcPr>
            <w:tcW w:w="1105" w:type="dxa"/>
            <w:tcBorders>
              <w:top w:val="nil"/>
              <w:left w:val="single" w:sz="8" w:space="0" w:color="8EA9DB"/>
              <w:bottom w:val="single" w:sz="4" w:space="0" w:color="8EA9DB"/>
              <w:right w:val="nil"/>
            </w:tcBorders>
            <w:shd w:val="clear" w:color="auto" w:fill="auto"/>
            <w:noWrap/>
            <w:vAlign w:val="center"/>
            <w:hideMark/>
          </w:tcPr>
          <w:p w14:paraId="4F7AD1AC" w14:textId="77777777" w:rsidR="00731449" w:rsidRPr="00791D7E" w:rsidRDefault="00731449" w:rsidP="00702B19">
            <w:pPr>
              <w:spacing w:before="0" w:after="0" w:line="240" w:lineRule="auto"/>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SISTEMA D</w:t>
            </w:r>
          </w:p>
        </w:tc>
        <w:tc>
          <w:tcPr>
            <w:tcW w:w="1342" w:type="dxa"/>
            <w:tcBorders>
              <w:top w:val="nil"/>
              <w:left w:val="nil"/>
              <w:bottom w:val="single" w:sz="4" w:space="0" w:color="8EA9DB"/>
              <w:right w:val="nil"/>
            </w:tcBorders>
            <w:shd w:val="clear" w:color="auto" w:fill="auto"/>
            <w:noWrap/>
            <w:vAlign w:val="center"/>
            <w:hideMark/>
          </w:tcPr>
          <w:p w14:paraId="35CA9EDC"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1,01468</w:t>
            </w:r>
          </w:p>
        </w:tc>
        <w:tc>
          <w:tcPr>
            <w:tcW w:w="1353" w:type="dxa"/>
            <w:tcBorders>
              <w:top w:val="nil"/>
              <w:left w:val="nil"/>
              <w:bottom w:val="single" w:sz="4" w:space="0" w:color="8EA9DB"/>
              <w:right w:val="single" w:sz="8" w:space="0" w:color="8EA9DB"/>
            </w:tcBorders>
            <w:shd w:val="clear" w:color="auto" w:fill="auto"/>
            <w:noWrap/>
            <w:vAlign w:val="center"/>
            <w:hideMark/>
          </w:tcPr>
          <w:p w14:paraId="393D1C90"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1,01463</w:t>
            </w:r>
          </w:p>
        </w:tc>
      </w:tr>
      <w:tr w:rsidR="00731449" w:rsidRPr="00791D7E" w14:paraId="6D11BD46" w14:textId="77777777" w:rsidTr="0015754E">
        <w:trPr>
          <w:trHeight w:val="300"/>
          <w:jc w:val="center"/>
        </w:trPr>
        <w:tc>
          <w:tcPr>
            <w:tcW w:w="1105" w:type="dxa"/>
            <w:tcBorders>
              <w:top w:val="nil"/>
              <w:left w:val="single" w:sz="8" w:space="0" w:color="8EA9DB"/>
              <w:bottom w:val="single" w:sz="4" w:space="0" w:color="8EA9DB"/>
              <w:right w:val="nil"/>
            </w:tcBorders>
            <w:shd w:val="clear" w:color="auto" w:fill="auto"/>
            <w:noWrap/>
            <w:vAlign w:val="center"/>
            <w:hideMark/>
          </w:tcPr>
          <w:p w14:paraId="04B525AC" w14:textId="77777777" w:rsidR="00731449" w:rsidRPr="00791D7E" w:rsidRDefault="00731449" w:rsidP="00702B19">
            <w:pPr>
              <w:spacing w:before="0" w:after="0" w:line="240" w:lineRule="auto"/>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SISTEMA E</w:t>
            </w:r>
          </w:p>
        </w:tc>
        <w:tc>
          <w:tcPr>
            <w:tcW w:w="1342" w:type="dxa"/>
            <w:tcBorders>
              <w:top w:val="nil"/>
              <w:left w:val="nil"/>
              <w:bottom w:val="single" w:sz="4" w:space="0" w:color="8EA9DB"/>
              <w:right w:val="nil"/>
            </w:tcBorders>
            <w:shd w:val="clear" w:color="auto" w:fill="auto"/>
            <w:noWrap/>
            <w:vAlign w:val="center"/>
            <w:hideMark/>
          </w:tcPr>
          <w:p w14:paraId="3472F0F5"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1,03051</w:t>
            </w:r>
          </w:p>
        </w:tc>
        <w:tc>
          <w:tcPr>
            <w:tcW w:w="1353" w:type="dxa"/>
            <w:tcBorders>
              <w:top w:val="nil"/>
              <w:left w:val="nil"/>
              <w:bottom w:val="single" w:sz="4" w:space="0" w:color="8EA9DB"/>
              <w:right w:val="single" w:sz="8" w:space="0" w:color="8EA9DB"/>
            </w:tcBorders>
            <w:shd w:val="clear" w:color="auto" w:fill="auto"/>
            <w:noWrap/>
            <w:vAlign w:val="center"/>
            <w:hideMark/>
          </w:tcPr>
          <w:p w14:paraId="3892A6B2"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1,01281</w:t>
            </w:r>
          </w:p>
        </w:tc>
      </w:tr>
      <w:tr w:rsidR="00731449" w:rsidRPr="00791D7E" w14:paraId="3A3DE6A0" w14:textId="77777777" w:rsidTr="0015754E">
        <w:trPr>
          <w:trHeight w:val="315"/>
          <w:jc w:val="center"/>
        </w:trPr>
        <w:tc>
          <w:tcPr>
            <w:tcW w:w="1105" w:type="dxa"/>
            <w:tcBorders>
              <w:top w:val="nil"/>
              <w:left w:val="single" w:sz="8" w:space="0" w:color="8EA9DB"/>
              <w:bottom w:val="single" w:sz="8" w:space="0" w:color="8EA9DB"/>
              <w:right w:val="nil"/>
            </w:tcBorders>
            <w:shd w:val="clear" w:color="auto" w:fill="auto"/>
            <w:noWrap/>
            <w:vAlign w:val="center"/>
            <w:hideMark/>
          </w:tcPr>
          <w:p w14:paraId="5C9712A0" w14:textId="77777777" w:rsidR="00731449" w:rsidRPr="00791D7E" w:rsidRDefault="00731449" w:rsidP="00702B19">
            <w:pPr>
              <w:spacing w:before="0" w:after="0" w:line="240" w:lineRule="auto"/>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SISTEMA F</w:t>
            </w:r>
          </w:p>
        </w:tc>
        <w:tc>
          <w:tcPr>
            <w:tcW w:w="1342" w:type="dxa"/>
            <w:tcBorders>
              <w:top w:val="nil"/>
              <w:left w:val="nil"/>
              <w:bottom w:val="single" w:sz="8" w:space="0" w:color="8EA9DB"/>
              <w:right w:val="nil"/>
            </w:tcBorders>
            <w:shd w:val="clear" w:color="auto" w:fill="auto"/>
            <w:noWrap/>
            <w:vAlign w:val="center"/>
            <w:hideMark/>
          </w:tcPr>
          <w:p w14:paraId="2AB2690E"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1,01884</w:t>
            </w:r>
          </w:p>
        </w:tc>
        <w:tc>
          <w:tcPr>
            <w:tcW w:w="1353" w:type="dxa"/>
            <w:tcBorders>
              <w:top w:val="nil"/>
              <w:left w:val="nil"/>
              <w:bottom w:val="single" w:sz="8" w:space="0" w:color="8EA9DB"/>
              <w:right w:val="single" w:sz="8" w:space="0" w:color="8EA9DB"/>
            </w:tcBorders>
            <w:shd w:val="clear" w:color="auto" w:fill="auto"/>
            <w:noWrap/>
            <w:vAlign w:val="center"/>
            <w:hideMark/>
          </w:tcPr>
          <w:p w14:paraId="19750B44" w14:textId="77777777" w:rsidR="00731449" w:rsidRPr="00791D7E" w:rsidRDefault="00731449" w:rsidP="00702B19">
            <w:pPr>
              <w:spacing w:before="0" w:after="0" w:line="240" w:lineRule="auto"/>
              <w:jc w:val="right"/>
              <w:rPr>
                <w:rFonts w:ascii="Calibri" w:eastAsia="Times New Roman" w:hAnsi="Calibri" w:cs="Times New Roman"/>
                <w:color w:val="000000"/>
                <w:sz w:val="16"/>
                <w:szCs w:val="16"/>
                <w:lang w:eastAsia="es-CL"/>
              </w:rPr>
            </w:pPr>
            <w:r w:rsidRPr="00791D7E">
              <w:rPr>
                <w:rFonts w:ascii="Calibri" w:eastAsia="Times New Roman" w:hAnsi="Calibri" w:cs="Times New Roman"/>
                <w:color w:val="000000"/>
                <w:sz w:val="16"/>
                <w:szCs w:val="16"/>
                <w:lang w:eastAsia="es-CL"/>
              </w:rPr>
              <w:t>1,02185</w:t>
            </w:r>
          </w:p>
        </w:tc>
      </w:tr>
    </w:tbl>
    <w:p w14:paraId="355E15E0" w14:textId="68C87F0E" w:rsidR="008A2DAB" w:rsidRPr="00BA7427" w:rsidRDefault="008A2DAB" w:rsidP="0015754E">
      <w:pPr>
        <w:pStyle w:val="Ttulo1"/>
      </w:pPr>
      <w:r w:rsidRPr="00BA7427">
        <w:t>Factores de referenciación</w:t>
      </w:r>
    </w:p>
    <w:p w14:paraId="683FF175" w14:textId="60E35800" w:rsidR="008A2DAB" w:rsidRDefault="008A2DAB">
      <w:pPr>
        <w:jc w:val="both"/>
      </w:pPr>
      <w:r w:rsidRPr="008A2DAB">
        <w:t>En la hoja “</w:t>
      </w:r>
      <w:proofErr w:type="spellStart"/>
      <w:r w:rsidRPr="008A2DAB">
        <w:t>STx</w:t>
      </w:r>
      <w:proofErr w:type="spellEnd"/>
      <w:r w:rsidRPr="008A2DAB">
        <w:t xml:space="preserve">” del archivo “Modelo PNP Julio 2021_V1_8.xlsx”, se ha considerado para los factores de </w:t>
      </w:r>
      <w:r>
        <w:t>referenciación</w:t>
      </w:r>
      <w:r w:rsidRPr="008A2DAB">
        <w:t xml:space="preserve"> del 2° semestre del 2021, valores distintos a </w:t>
      </w:r>
      <w:r w:rsidR="004E7E29" w:rsidRPr="004E7E29">
        <w:t>los publicados por el Coordinador en su página web e informados mediante Carta DE01942-21</w:t>
      </w:r>
      <w:r w:rsidRPr="008A2DAB">
        <w:t>.</w:t>
      </w:r>
    </w:p>
    <w:p w14:paraId="5A32A73B" w14:textId="77777777" w:rsidR="00423E0E" w:rsidRPr="00FD05C6" w:rsidRDefault="00423E0E" w:rsidP="00423E0E">
      <w:pPr>
        <w:pStyle w:val="Ttulo1"/>
        <w:rPr>
          <w:rStyle w:val="nfasis"/>
          <w:i w:val="0"/>
          <w:iCs w:val="0"/>
        </w:rPr>
      </w:pPr>
      <w:r w:rsidRPr="00BA7427">
        <w:rPr>
          <w:rStyle w:val="nfasis"/>
          <w:i w:val="0"/>
          <w:iCs w:val="0"/>
        </w:rPr>
        <w:t>Factores de Modulación</w:t>
      </w:r>
    </w:p>
    <w:p w14:paraId="64465B4C" w14:textId="77777777" w:rsidR="00423E0E" w:rsidRPr="00607D5F" w:rsidRDefault="00423E0E" w:rsidP="00423E0E">
      <w:pPr>
        <w:spacing w:line="240" w:lineRule="auto"/>
        <w:jc w:val="both"/>
      </w:pPr>
      <w:r w:rsidRPr="00607D5F">
        <w:t xml:space="preserve">En el cálculo de precios de las Licitaciones CGED 2008/01, CGED 2008/01-2, EMEL-SIC 2006/01-2, en el punto de compra </w:t>
      </w:r>
      <w:proofErr w:type="spellStart"/>
      <w:r w:rsidRPr="00607D5F">
        <w:t>Itahue</w:t>
      </w:r>
      <w:proofErr w:type="spellEnd"/>
      <w:r w:rsidRPr="00607D5F">
        <w:t xml:space="preserve"> 220, CNE utiliza los factores de modulación contenidos en el Decreto de Precio de Nudo de Corto Plazo vigente al momento del llamado de licitación para el punto de oferta y calcula factores de modulación para el punto de compra, los cuales no están contenidos en ningún decreto de precio de nudo de corto plazo.</w:t>
      </w:r>
    </w:p>
    <w:p w14:paraId="7A295CC8" w14:textId="77777777" w:rsidR="00423E0E" w:rsidRPr="00607D5F" w:rsidRDefault="00423E0E" w:rsidP="00423E0E">
      <w:pPr>
        <w:spacing w:line="240" w:lineRule="auto"/>
        <w:jc w:val="both"/>
        <w:rPr>
          <w:i/>
        </w:rPr>
      </w:pPr>
      <w:r w:rsidRPr="00607D5F">
        <w:t xml:space="preserve">Se solicita que CNE utilice para el cálculo de precios antes indicado, lo establecido en el Artículo Tercero Transitorio del Decreto </w:t>
      </w:r>
      <w:proofErr w:type="spellStart"/>
      <w:r w:rsidRPr="00607D5F">
        <w:t>N°</w:t>
      </w:r>
      <w:proofErr w:type="spellEnd"/>
      <w:r w:rsidRPr="00607D5F">
        <w:t xml:space="preserve"> 106-2015 del Ministerio de Energía, publicado en el Diario Oficial el 16 de junio de 2016, denominado “Reglamento sobre Licitaciones”, el cual establece que: </w:t>
      </w:r>
      <w:r w:rsidRPr="00607D5F">
        <w:rPr>
          <w:i/>
        </w:rPr>
        <w:t xml:space="preserve">“Mientras se encuentren vigentes los contratos de suministro celebrados producto de las adjudicaciones realizadas con anterioridad a la publicación del decreto supremo </w:t>
      </w:r>
      <w:proofErr w:type="spellStart"/>
      <w:r w:rsidRPr="00607D5F">
        <w:rPr>
          <w:i/>
        </w:rPr>
        <w:t>N°</w:t>
      </w:r>
      <w:proofErr w:type="spellEnd"/>
      <w:r w:rsidRPr="00607D5F">
        <w:rPr>
          <w:i/>
        </w:rPr>
        <w:t> 126, de 2013, del Ministerio de Energía, los precios en aquellos Puntos de Compra contenidos en las correspondientes bases de licitación, serán los resultantes de la aplicación de lo dispuesto en los respectivos contratos. Sin embargo, para efectos de la facturación de los referidos contratos en aquellos Puntos de Compra que no hayan sido individualizados en las correspondientes bases de licitación, el precio aplicable en dichos Puntos de Compra será determinado en conformidad a lo establecido en el artículo 37 del presente reglamento.”</w:t>
      </w:r>
      <w:r w:rsidRPr="00607D5F">
        <w:t xml:space="preserve"> Al respecto, el artículo 37 del mismo Reglamento señala que: </w:t>
      </w:r>
      <w:r w:rsidRPr="00607D5F">
        <w:rPr>
          <w:i/>
        </w:rPr>
        <w:t xml:space="preserve">“Los precios de energía en los Puntos de Compra serán iguales al precio de oferta del Adjudicatario, establecido en el respectivo Punto de Oferta, debidamente indexado, multiplicado por la razón entre el factor de modulación de energía del Punto de Compra y el </w:t>
      </w:r>
      <w:r w:rsidRPr="00607D5F">
        <w:rPr>
          <w:i/>
        </w:rPr>
        <w:lastRenderedPageBreak/>
        <w:t>factor de modulación de energía del Punto de Oferta. Estos factores de modulación corresponderán a los factores de modulación de energía incluidos en el Decreto de Precios de Nudo de Corto Plazo vigente a la fecha de facturación.”</w:t>
      </w:r>
    </w:p>
    <w:p w14:paraId="1FD94D42" w14:textId="77777777" w:rsidR="00423E0E" w:rsidRPr="00607D5F" w:rsidRDefault="00423E0E" w:rsidP="00423E0E">
      <w:pPr>
        <w:spacing w:line="240" w:lineRule="auto"/>
        <w:jc w:val="both"/>
      </w:pPr>
      <w:r w:rsidRPr="00607D5F">
        <w:t xml:space="preserve">En concreto, se solicita que para el PNP de enero 2021 se utilice los factores contenidos en el </w:t>
      </w:r>
      <w:r>
        <w:t>I</w:t>
      </w:r>
      <w:r w:rsidRPr="00607D5F">
        <w:t xml:space="preserve">nforme </w:t>
      </w:r>
      <w:r>
        <w:t>T</w:t>
      </w:r>
      <w:r w:rsidRPr="00607D5F">
        <w:t xml:space="preserve">écnico </w:t>
      </w:r>
      <w:r>
        <w:t xml:space="preserve">Definitivo para la Fijación de Precios de Nudo de Corto Plazo </w:t>
      </w:r>
      <w:r w:rsidRPr="00607D5F">
        <w:t>de octubre 2020</w:t>
      </w:r>
      <w:r>
        <w:t xml:space="preserve">, aprobado mediante Resolución Exenta </w:t>
      </w:r>
      <w:proofErr w:type="spellStart"/>
      <w:r>
        <w:t>N°</w:t>
      </w:r>
      <w:proofErr w:type="spellEnd"/>
      <w:r>
        <w:t xml:space="preserve"> 285-2020 y rectificado mediante Resolución Exenta </w:t>
      </w:r>
      <w:proofErr w:type="spellStart"/>
      <w:r>
        <w:t>N°</w:t>
      </w:r>
      <w:proofErr w:type="spellEnd"/>
      <w:r>
        <w:t> 304-2020</w:t>
      </w:r>
      <w:r w:rsidRPr="00607D5F">
        <w:t>.</w:t>
      </w:r>
    </w:p>
    <w:p w14:paraId="5315DFBF" w14:textId="18F8DB41" w:rsidR="002E11FD" w:rsidRDefault="002E11FD" w:rsidP="0015754E">
      <w:pPr>
        <w:pStyle w:val="Ttulo1"/>
      </w:pPr>
      <w:r>
        <w:t>Cambios de régimen</w:t>
      </w:r>
    </w:p>
    <w:p w14:paraId="39525D30" w14:textId="78B319F6" w:rsidR="002E11FD" w:rsidRDefault="00423E0E" w:rsidP="0015754E">
      <w:pPr>
        <w:jc w:val="both"/>
      </w:pPr>
      <w:r>
        <w:t xml:space="preserve">En el </w:t>
      </w:r>
      <w:r w:rsidR="002E11FD">
        <w:t xml:space="preserve">artículo 3° </w:t>
      </w:r>
      <w:r>
        <w:t xml:space="preserve">de la ley 21.185 se </w:t>
      </w:r>
      <w:r w:rsidR="002E11FD">
        <w:t>establece lo siguiente: “</w:t>
      </w:r>
      <w:r w:rsidR="002E11FD" w:rsidRPr="002E11FD">
        <w:t>Los clientes sometidos a regulación de precios que opten por cambiar al régimen de precios libres, a partir de la vigencia de esta ley hasta el término del mecanismo de estabilización, deberán participar de este mecanismo de estabilización en igualdad de condiciones con el resto de los clientes regulados, a través de una componente específica que se adicionará al peaje de distribución conforme lo determine la Comisión Nacional de Energía.</w:t>
      </w:r>
      <w:r w:rsidR="002E11FD">
        <w:t>”</w:t>
      </w:r>
    </w:p>
    <w:p w14:paraId="79FD1CFD" w14:textId="06922E09" w:rsidR="002416E8" w:rsidRDefault="00423E0E">
      <w:pPr>
        <w:jc w:val="both"/>
      </w:pPr>
      <w:r>
        <w:t>Al respecto, no se logra identificar la implementación del artículo citado en el Informe Técnico sujeto a observaciones, por lo que s</w:t>
      </w:r>
      <w:r w:rsidR="002E11FD">
        <w:t xml:space="preserve">e solicita aclarar </w:t>
      </w:r>
      <w:r>
        <w:t>cómo</w:t>
      </w:r>
      <w:r w:rsidR="002E11FD">
        <w:t xml:space="preserve"> </w:t>
      </w:r>
      <w:r>
        <w:t xml:space="preserve">y en qué oportunidad </w:t>
      </w:r>
      <w:r w:rsidR="002E11FD">
        <w:t xml:space="preserve">se implementará </w:t>
      </w:r>
      <w:r>
        <w:t xml:space="preserve">el mecanismo de estabilización de precios </w:t>
      </w:r>
      <w:r w:rsidR="002E11FD">
        <w:t>en las tarifas de los clientes</w:t>
      </w:r>
      <w:r w:rsidR="00A64249">
        <w:t xml:space="preserve"> que</w:t>
      </w:r>
      <w:r w:rsidR="002E11FD">
        <w:t xml:space="preserve"> </w:t>
      </w:r>
      <w:r w:rsidR="00BA7427" w:rsidRPr="00BA7427">
        <w:t>opten por cambiar al régimen de precios libres</w:t>
      </w:r>
      <w:r>
        <w:t>.</w:t>
      </w:r>
      <w:r w:rsidR="00BA7427" w:rsidRPr="00BA7427" w:rsidDel="00731449">
        <w:t xml:space="preserve"> </w:t>
      </w:r>
    </w:p>
    <w:p w14:paraId="138835BC" w14:textId="13583592" w:rsidR="002416E8" w:rsidRDefault="002416E8" w:rsidP="0015754E">
      <w:pPr>
        <w:pStyle w:val="Ttulo1"/>
      </w:pPr>
      <w:r>
        <w:t>Corrección EFACT junio 2020 -diciembre 2020</w:t>
      </w:r>
    </w:p>
    <w:p w14:paraId="50B25D58" w14:textId="74AE6432" w:rsidR="0015754E" w:rsidRDefault="0015754E" w:rsidP="0015754E">
      <w:pPr>
        <w:jc w:val="both"/>
      </w:pPr>
      <w:r w:rsidRPr="0015754E">
        <w:t>Se solicita modificar los valores de energía y potencia de los archivos “EfactDx_</w:t>
      </w:r>
      <w:r>
        <w:t>20</w:t>
      </w:r>
      <w:r w:rsidRPr="0015754E">
        <w:t>0</w:t>
      </w:r>
      <w:r>
        <w:t>6</w:t>
      </w:r>
      <w:r w:rsidRPr="0015754E">
        <w:t>_CNE.xlsx”, “EfactDx_</w:t>
      </w:r>
      <w:r>
        <w:t>20</w:t>
      </w:r>
      <w:r w:rsidRPr="0015754E">
        <w:t>0</w:t>
      </w:r>
      <w:r>
        <w:t>7</w:t>
      </w:r>
      <w:r w:rsidRPr="0015754E">
        <w:t>_CNE.xlsx”,</w:t>
      </w:r>
      <w:r>
        <w:t xml:space="preserve"> </w:t>
      </w:r>
      <w:r w:rsidRPr="0015754E">
        <w:t>“EfactDx_</w:t>
      </w:r>
      <w:r>
        <w:t>2008</w:t>
      </w:r>
      <w:r w:rsidRPr="0015754E">
        <w:t>_CNE.xlsx”,</w:t>
      </w:r>
      <w:r>
        <w:t xml:space="preserve"> </w:t>
      </w:r>
      <w:r w:rsidRPr="0015754E">
        <w:t>“EfactDx_</w:t>
      </w:r>
      <w:r>
        <w:t>2009</w:t>
      </w:r>
      <w:r w:rsidRPr="0015754E">
        <w:t>_CNE.xlsx”</w:t>
      </w:r>
      <w:r w:rsidRPr="0015754E">
        <w:t>, “EfactDx_</w:t>
      </w:r>
      <w:r>
        <w:t>20</w:t>
      </w:r>
      <w:r>
        <w:t>10</w:t>
      </w:r>
      <w:r w:rsidRPr="0015754E">
        <w:t>_CNE.xlsx”</w:t>
      </w:r>
      <w:r>
        <w:t xml:space="preserve">, </w:t>
      </w:r>
      <w:r w:rsidRPr="0015754E">
        <w:t>“EfactDx_</w:t>
      </w:r>
      <w:r>
        <w:t>20</w:t>
      </w:r>
      <w:r>
        <w:t>11</w:t>
      </w:r>
      <w:r w:rsidRPr="0015754E">
        <w:t>_CNE.xlsx”</w:t>
      </w:r>
      <w:r>
        <w:t xml:space="preserve"> y </w:t>
      </w:r>
      <w:r w:rsidRPr="0015754E">
        <w:t>“EfactDx_</w:t>
      </w:r>
      <w:r>
        <w:t>2012</w:t>
      </w:r>
      <w:r w:rsidRPr="0015754E">
        <w:t>_CNE.xlsx”,</w:t>
      </w:r>
      <w:r>
        <w:t xml:space="preserve"> </w:t>
      </w:r>
      <w:r w:rsidRPr="0015754E">
        <w:t xml:space="preserve">considerando la información más actualizada disponible a la fecha, enviada al Coordinador Eléctrico Nacional </w:t>
      </w:r>
      <w:r>
        <w:t>con esta fecha</w:t>
      </w:r>
      <w:r w:rsidRPr="0015754E">
        <w:t>.</w:t>
      </w:r>
    </w:p>
    <w:sectPr w:rsidR="0015754E" w:rsidSect="002D7E0F">
      <w:pgSz w:w="12240" w:h="15840" w:code="1"/>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CCAAA" w16cex:dateUtc="2021-05-05T11:41: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90C53"/>
    <w:multiLevelType w:val="hybridMultilevel"/>
    <w:tmpl w:val="AB82457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76266B1"/>
    <w:multiLevelType w:val="hybridMultilevel"/>
    <w:tmpl w:val="BCC435CA"/>
    <w:lvl w:ilvl="0" w:tplc="340A0017">
      <w:start w:val="1"/>
      <w:numFmt w:val="lowerLetter"/>
      <w:lvlText w:val="%1)"/>
      <w:lvlJc w:val="left"/>
      <w:pPr>
        <w:ind w:left="1440" w:hanging="360"/>
      </w:p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2" w15:restartNumberingAfterBreak="0">
    <w:nsid w:val="09622FD7"/>
    <w:multiLevelType w:val="hybridMultilevel"/>
    <w:tmpl w:val="32D2FD3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B7A7C06"/>
    <w:multiLevelType w:val="hybridMultilevel"/>
    <w:tmpl w:val="888AAE1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C060224"/>
    <w:multiLevelType w:val="hybridMultilevel"/>
    <w:tmpl w:val="95A44EF4"/>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5" w15:restartNumberingAfterBreak="0">
    <w:nsid w:val="0CEF6632"/>
    <w:multiLevelType w:val="multilevel"/>
    <w:tmpl w:val="5986DBCE"/>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E3AC5"/>
    <w:multiLevelType w:val="hybridMultilevel"/>
    <w:tmpl w:val="C9CEA1C8"/>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0F597912"/>
    <w:multiLevelType w:val="hybridMultilevel"/>
    <w:tmpl w:val="350EA7E6"/>
    <w:lvl w:ilvl="0" w:tplc="0AE08D04">
      <w:numFmt w:val="bullet"/>
      <w:lvlText w:val="-"/>
      <w:lvlJc w:val="left"/>
      <w:pPr>
        <w:ind w:left="720" w:hanging="360"/>
      </w:pPr>
      <w:rPr>
        <w:rFonts w:ascii="Calibri" w:eastAsia="Calibri" w:hAnsi="Calibri"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8" w15:restartNumberingAfterBreak="0">
    <w:nsid w:val="13195CE6"/>
    <w:multiLevelType w:val="hybridMultilevel"/>
    <w:tmpl w:val="4308066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15:restartNumberingAfterBreak="0">
    <w:nsid w:val="154E161D"/>
    <w:multiLevelType w:val="hybridMultilevel"/>
    <w:tmpl w:val="011E53C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C23F7C"/>
    <w:multiLevelType w:val="hybridMultilevel"/>
    <w:tmpl w:val="7B223476"/>
    <w:lvl w:ilvl="0" w:tplc="340A0001">
      <w:start w:val="1"/>
      <w:numFmt w:val="bullet"/>
      <w:lvlText w:val=""/>
      <w:lvlJc w:val="left"/>
      <w:pPr>
        <w:ind w:left="1123" w:hanging="360"/>
      </w:pPr>
      <w:rPr>
        <w:rFonts w:ascii="Symbol" w:hAnsi="Symbol" w:hint="default"/>
      </w:rPr>
    </w:lvl>
    <w:lvl w:ilvl="1" w:tplc="340A0003" w:tentative="1">
      <w:start w:val="1"/>
      <w:numFmt w:val="bullet"/>
      <w:lvlText w:val="o"/>
      <w:lvlJc w:val="left"/>
      <w:pPr>
        <w:ind w:left="1843" w:hanging="360"/>
      </w:pPr>
      <w:rPr>
        <w:rFonts w:ascii="Courier New" w:hAnsi="Courier New" w:cs="Courier New" w:hint="default"/>
      </w:rPr>
    </w:lvl>
    <w:lvl w:ilvl="2" w:tplc="340A0005" w:tentative="1">
      <w:start w:val="1"/>
      <w:numFmt w:val="bullet"/>
      <w:lvlText w:val=""/>
      <w:lvlJc w:val="left"/>
      <w:pPr>
        <w:ind w:left="2563" w:hanging="360"/>
      </w:pPr>
      <w:rPr>
        <w:rFonts w:ascii="Wingdings" w:hAnsi="Wingdings" w:hint="default"/>
      </w:rPr>
    </w:lvl>
    <w:lvl w:ilvl="3" w:tplc="340A0001" w:tentative="1">
      <w:start w:val="1"/>
      <w:numFmt w:val="bullet"/>
      <w:lvlText w:val=""/>
      <w:lvlJc w:val="left"/>
      <w:pPr>
        <w:ind w:left="3283" w:hanging="360"/>
      </w:pPr>
      <w:rPr>
        <w:rFonts w:ascii="Symbol" w:hAnsi="Symbol" w:hint="default"/>
      </w:rPr>
    </w:lvl>
    <w:lvl w:ilvl="4" w:tplc="340A0003" w:tentative="1">
      <w:start w:val="1"/>
      <w:numFmt w:val="bullet"/>
      <w:lvlText w:val="o"/>
      <w:lvlJc w:val="left"/>
      <w:pPr>
        <w:ind w:left="4003" w:hanging="360"/>
      </w:pPr>
      <w:rPr>
        <w:rFonts w:ascii="Courier New" w:hAnsi="Courier New" w:cs="Courier New" w:hint="default"/>
      </w:rPr>
    </w:lvl>
    <w:lvl w:ilvl="5" w:tplc="340A0005" w:tentative="1">
      <w:start w:val="1"/>
      <w:numFmt w:val="bullet"/>
      <w:lvlText w:val=""/>
      <w:lvlJc w:val="left"/>
      <w:pPr>
        <w:ind w:left="4723" w:hanging="360"/>
      </w:pPr>
      <w:rPr>
        <w:rFonts w:ascii="Wingdings" w:hAnsi="Wingdings" w:hint="default"/>
      </w:rPr>
    </w:lvl>
    <w:lvl w:ilvl="6" w:tplc="340A0001" w:tentative="1">
      <w:start w:val="1"/>
      <w:numFmt w:val="bullet"/>
      <w:lvlText w:val=""/>
      <w:lvlJc w:val="left"/>
      <w:pPr>
        <w:ind w:left="5443" w:hanging="360"/>
      </w:pPr>
      <w:rPr>
        <w:rFonts w:ascii="Symbol" w:hAnsi="Symbol" w:hint="default"/>
      </w:rPr>
    </w:lvl>
    <w:lvl w:ilvl="7" w:tplc="340A0003" w:tentative="1">
      <w:start w:val="1"/>
      <w:numFmt w:val="bullet"/>
      <w:lvlText w:val="o"/>
      <w:lvlJc w:val="left"/>
      <w:pPr>
        <w:ind w:left="6163" w:hanging="360"/>
      </w:pPr>
      <w:rPr>
        <w:rFonts w:ascii="Courier New" w:hAnsi="Courier New" w:cs="Courier New" w:hint="default"/>
      </w:rPr>
    </w:lvl>
    <w:lvl w:ilvl="8" w:tplc="340A0005" w:tentative="1">
      <w:start w:val="1"/>
      <w:numFmt w:val="bullet"/>
      <w:lvlText w:val=""/>
      <w:lvlJc w:val="left"/>
      <w:pPr>
        <w:ind w:left="6883" w:hanging="360"/>
      </w:pPr>
      <w:rPr>
        <w:rFonts w:ascii="Wingdings" w:hAnsi="Wingdings" w:hint="default"/>
      </w:rPr>
    </w:lvl>
  </w:abstractNum>
  <w:abstractNum w:abstractNumId="11" w15:restartNumberingAfterBreak="0">
    <w:nsid w:val="16F603F3"/>
    <w:multiLevelType w:val="hybridMultilevel"/>
    <w:tmpl w:val="44422E4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0970B28"/>
    <w:multiLevelType w:val="hybridMultilevel"/>
    <w:tmpl w:val="78AE23A6"/>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13" w15:restartNumberingAfterBreak="0">
    <w:nsid w:val="21EB6B32"/>
    <w:multiLevelType w:val="hybridMultilevel"/>
    <w:tmpl w:val="6EA2CE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22FF4240"/>
    <w:multiLevelType w:val="multilevel"/>
    <w:tmpl w:val="D23288DA"/>
    <w:lvl w:ilvl="0">
      <w:start w:val="1"/>
      <w:numFmt w:val="decimal"/>
      <w:pStyle w:val="Ttulo1"/>
      <w:lvlText w:val="%1."/>
      <w:lvlJc w:val="left"/>
      <w:pPr>
        <w:ind w:left="360" w:hanging="36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15" w15:restartNumberingAfterBreak="0">
    <w:nsid w:val="32F5309A"/>
    <w:multiLevelType w:val="multilevel"/>
    <w:tmpl w:val="66DA3A74"/>
    <w:lvl w:ilvl="0">
      <w:start w:val="1"/>
      <w:numFmt w:val="decimal"/>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33B55A87"/>
    <w:multiLevelType w:val="multilevel"/>
    <w:tmpl w:val="71786324"/>
    <w:lvl w:ilvl="0">
      <w:start w:val="1"/>
      <w:numFmt w:val="decimal"/>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355960E9"/>
    <w:multiLevelType w:val="hybridMultilevel"/>
    <w:tmpl w:val="3EE2B1F2"/>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8" w15:restartNumberingAfterBreak="0">
    <w:nsid w:val="3CC9317C"/>
    <w:multiLevelType w:val="multilevel"/>
    <w:tmpl w:val="21C4DFD6"/>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15:restartNumberingAfterBreak="0">
    <w:nsid w:val="40FD7E01"/>
    <w:multiLevelType w:val="hybridMultilevel"/>
    <w:tmpl w:val="1610DAE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22667B1"/>
    <w:multiLevelType w:val="hybridMultilevel"/>
    <w:tmpl w:val="29D8BE9A"/>
    <w:lvl w:ilvl="0" w:tplc="BD4483BC">
      <w:start w:val="1"/>
      <w:numFmt w:val="decimal"/>
      <w:lvlText w:val="%1."/>
      <w:lvlJc w:val="left"/>
      <w:pPr>
        <w:ind w:left="720" w:hanging="360"/>
      </w:pPr>
      <w:rPr>
        <w:rFonts w:hint="default"/>
        <w:b w:val="0"/>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56B5BC9"/>
    <w:multiLevelType w:val="hybridMultilevel"/>
    <w:tmpl w:val="0396E500"/>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22" w15:restartNumberingAfterBreak="0">
    <w:nsid w:val="498946CC"/>
    <w:multiLevelType w:val="hybridMultilevel"/>
    <w:tmpl w:val="7C2C3BCA"/>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3" w15:restartNumberingAfterBreak="0">
    <w:nsid w:val="4FB77723"/>
    <w:multiLevelType w:val="hybridMultilevel"/>
    <w:tmpl w:val="A7C8363C"/>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4" w15:restartNumberingAfterBreak="0">
    <w:nsid w:val="58F14E88"/>
    <w:multiLevelType w:val="hybridMultilevel"/>
    <w:tmpl w:val="E6E6B2BE"/>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5" w15:restartNumberingAfterBreak="0">
    <w:nsid w:val="66B15B34"/>
    <w:multiLevelType w:val="hybridMultilevel"/>
    <w:tmpl w:val="2256BBCA"/>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26" w15:restartNumberingAfterBreak="0">
    <w:nsid w:val="69D02080"/>
    <w:multiLevelType w:val="hybridMultilevel"/>
    <w:tmpl w:val="12A481E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D5C43B5"/>
    <w:multiLevelType w:val="hybridMultilevel"/>
    <w:tmpl w:val="811A3146"/>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8" w15:restartNumberingAfterBreak="0">
    <w:nsid w:val="73C23105"/>
    <w:multiLevelType w:val="hybridMultilevel"/>
    <w:tmpl w:val="AFEC84B0"/>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9" w15:restartNumberingAfterBreak="0">
    <w:nsid w:val="76DE04E5"/>
    <w:multiLevelType w:val="hybridMultilevel"/>
    <w:tmpl w:val="F166941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0" w15:restartNumberingAfterBreak="0">
    <w:nsid w:val="7AA55B0B"/>
    <w:multiLevelType w:val="hybridMultilevel"/>
    <w:tmpl w:val="FD82E6F2"/>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1" w15:restartNumberingAfterBreak="0">
    <w:nsid w:val="7B6B1162"/>
    <w:multiLevelType w:val="hybridMultilevel"/>
    <w:tmpl w:val="2AAEB0AC"/>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5"/>
  </w:num>
  <w:num w:numId="2">
    <w:abstractNumId w:val="25"/>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1"/>
  </w:num>
  <w:num w:numId="5">
    <w:abstractNumId w:val="17"/>
  </w:num>
  <w:num w:numId="6">
    <w:abstractNumId w:val="11"/>
  </w:num>
  <w:num w:numId="7">
    <w:abstractNumId w:val="6"/>
  </w:num>
  <w:num w:numId="8">
    <w:abstractNumId w:val="8"/>
  </w:num>
  <w:num w:numId="9">
    <w:abstractNumId w:val="4"/>
  </w:num>
  <w:num w:numId="10">
    <w:abstractNumId w:val="9"/>
  </w:num>
  <w:num w:numId="11">
    <w:abstractNumId w:val="12"/>
  </w:num>
  <w:num w:numId="12">
    <w:abstractNumId w:val="13"/>
  </w:num>
  <w:num w:numId="13">
    <w:abstractNumId w:val="7"/>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0"/>
  </w:num>
  <w:num w:numId="17">
    <w:abstractNumId w:val="19"/>
  </w:num>
  <w:num w:numId="18">
    <w:abstractNumId w:val="2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1"/>
  </w:num>
  <w:num w:numId="23">
    <w:abstractNumId w:val="24"/>
  </w:num>
  <w:num w:numId="24">
    <w:abstractNumId w:val="30"/>
  </w:num>
  <w:num w:numId="25">
    <w:abstractNumId w:val="22"/>
  </w:num>
  <w:num w:numId="26">
    <w:abstractNumId w:val="31"/>
  </w:num>
  <w:num w:numId="27">
    <w:abstractNumId w:val="27"/>
  </w:num>
  <w:num w:numId="28">
    <w:abstractNumId w:val="2"/>
  </w:num>
  <w:num w:numId="29">
    <w:abstractNumId w:val="29"/>
  </w:num>
  <w:num w:numId="30">
    <w:abstractNumId w:val="26"/>
  </w:num>
  <w:num w:numId="31">
    <w:abstractNumId w:val="3"/>
  </w:num>
  <w:num w:numId="32">
    <w:abstractNumId w:val="14"/>
  </w:num>
  <w:num w:numId="33">
    <w:abstractNumId w:val="16"/>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D408E"/>
    <w:rsid w:val="000003F4"/>
    <w:rsid w:val="00003108"/>
    <w:rsid w:val="00003476"/>
    <w:rsid w:val="00003BA8"/>
    <w:rsid w:val="00004D84"/>
    <w:rsid w:val="00006508"/>
    <w:rsid w:val="00006E0B"/>
    <w:rsid w:val="00013F61"/>
    <w:rsid w:val="00014697"/>
    <w:rsid w:val="000167FB"/>
    <w:rsid w:val="00020503"/>
    <w:rsid w:val="00023298"/>
    <w:rsid w:val="00023AA9"/>
    <w:rsid w:val="000268C4"/>
    <w:rsid w:val="000279F1"/>
    <w:rsid w:val="000337EF"/>
    <w:rsid w:val="000353FF"/>
    <w:rsid w:val="00036122"/>
    <w:rsid w:val="0003660E"/>
    <w:rsid w:val="00040380"/>
    <w:rsid w:val="0005163E"/>
    <w:rsid w:val="00051BF1"/>
    <w:rsid w:val="00052158"/>
    <w:rsid w:val="000565C8"/>
    <w:rsid w:val="000569F0"/>
    <w:rsid w:val="00057289"/>
    <w:rsid w:val="00057A56"/>
    <w:rsid w:val="00057FBD"/>
    <w:rsid w:val="00061333"/>
    <w:rsid w:val="0006244A"/>
    <w:rsid w:val="000626F0"/>
    <w:rsid w:val="000641A4"/>
    <w:rsid w:val="00064C32"/>
    <w:rsid w:val="00065F6E"/>
    <w:rsid w:val="00066D4D"/>
    <w:rsid w:val="0007321F"/>
    <w:rsid w:val="0007425F"/>
    <w:rsid w:val="00075B0C"/>
    <w:rsid w:val="000771B6"/>
    <w:rsid w:val="00080982"/>
    <w:rsid w:val="00081165"/>
    <w:rsid w:val="000816CF"/>
    <w:rsid w:val="000842D2"/>
    <w:rsid w:val="00085FBE"/>
    <w:rsid w:val="00087CF6"/>
    <w:rsid w:val="00091F15"/>
    <w:rsid w:val="000932FE"/>
    <w:rsid w:val="00093B1A"/>
    <w:rsid w:val="000967D4"/>
    <w:rsid w:val="000975F8"/>
    <w:rsid w:val="000A0008"/>
    <w:rsid w:val="000A01CE"/>
    <w:rsid w:val="000A1B16"/>
    <w:rsid w:val="000A5D4B"/>
    <w:rsid w:val="000A77FA"/>
    <w:rsid w:val="000B132B"/>
    <w:rsid w:val="000B21EE"/>
    <w:rsid w:val="000B2609"/>
    <w:rsid w:val="000B3949"/>
    <w:rsid w:val="000B429C"/>
    <w:rsid w:val="000B735D"/>
    <w:rsid w:val="000B7607"/>
    <w:rsid w:val="000C142C"/>
    <w:rsid w:val="000C2565"/>
    <w:rsid w:val="000C2B44"/>
    <w:rsid w:val="000C46E0"/>
    <w:rsid w:val="000C6763"/>
    <w:rsid w:val="000D4B3C"/>
    <w:rsid w:val="000E0607"/>
    <w:rsid w:val="000E09CE"/>
    <w:rsid w:val="000E18D6"/>
    <w:rsid w:val="000E21A7"/>
    <w:rsid w:val="000E65E7"/>
    <w:rsid w:val="000F1E34"/>
    <w:rsid w:val="001000A5"/>
    <w:rsid w:val="00115FD9"/>
    <w:rsid w:val="00117DEA"/>
    <w:rsid w:val="001234AD"/>
    <w:rsid w:val="001252BD"/>
    <w:rsid w:val="00126E1E"/>
    <w:rsid w:val="001303D5"/>
    <w:rsid w:val="00130D61"/>
    <w:rsid w:val="00131389"/>
    <w:rsid w:val="00132BF4"/>
    <w:rsid w:val="00135321"/>
    <w:rsid w:val="001363E4"/>
    <w:rsid w:val="001423E9"/>
    <w:rsid w:val="00143B83"/>
    <w:rsid w:val="001444A2"/>
    <w:rsid w:val="00144C78"/>
    <w:rsid w:val="00144D9F"/>
    <w:rsid w:val="00145F82"/>
    <w:rsid w:val="00147988"/>
    <w:rsid w:val="00154756"/>
    <w:rsid w:val="0015667A"/>
    <w:rsid w:val="00156A3E"/>
    <w:rsid w:val="00156B48"/>
    <w:rsid w:val="0015754E"/>
    <w:rsid w:val="00157FC0"/>
    <w:rsid w:val="00160C56"/>
    <w:rsid w:val="00163D3D"/>
    <w:rsid w:val="00165A47"/>
    <w:rsid w:val="00172005"/>
    <w:rsid w:val="00172C47"/>
    <w:rsid w:val="00174F10"/>
    <w:rsid w:val="00180630"/>
    <w:rsid w:val="00182404"/>
    <w:rsid w:val="001877C7"/>
    <w:rsid w:val="001A1C46"/>
    <w:rsid w:val="001A395E"/>
    <w:rsid w:val="001B23AA"/>
    <w:rsid w:val="001B344C"/>
    <w:rsid w:val="001B514A"/>
    <w:rsid w:val="001B5797"/>
    <w:rsid w:val="001B653A"/>
    <w:rsid w:val="001C18DC"/>
    <w:rsid w:val="001C4336"/>
    <w:rsid w:val="001D368E"/>
    <w:rsid w:val="001D408E"/>
    <w:rsid w:val="001D46DD"/>
    <w:rsid w:val="001D5191"/>
    <w:rsid w:val="001D7113"/>
    <w:rsid w:val="001E0BC5"/>
    <w:rsid w:val="001E29BC"/>
    <w:rsid w:val="001E3446"/>
    <w:rsid w:val="001E7BD4"/>
    <w:rsid w:val="001E7BF8"/>
    <w:rsid w:val="001F19A6"/>
    <w:rsid w:val="001F46F3"/>
    <w:rsid w:val="001F490F"/>
    <w:rsid w:val="00203C1D"/>
    <w:rsid w:val="00204746"/>
    <w:rsid w:val="002049FB"/>
    <w:rsid w:val="00204EF9"/>
    <w:rsid w:val="00206C4A"/>
    <w:rsid w:val="00211083"/>
    <w:rsid w:val="0021169E"/>
    <w:rsid w:val="00212793"/>
    <w:rsid w:val="0021415F"/>
    <w:rsid w:val="00224247"/>
    <w:rsid w:val="00224D93"/>
    <w:rsid w:val="0022569B"/>
    <w:rsid w:val="00226498"/>
    <w:rsid w:val="00231260"/>
    <w:rsid w:val="00234878"/>
    <w:rsid w:val="002416E8"/>
    <w:rsid w:val="0024446F"/>
    <w:rsid w:val="0025015D"/>
    <w:rsid w:val="0025133B"/>
    <w:rsid w:val="00252081"/>
    <w:rsid w:val="0025670E"/>
    <w:rsid w:val="00261596"/>
    <w:rsid w:val="00266227"/>
    <w:rsid w:val="002729A8"/>
    <w:rsid w:val="00284F29"/>
    <w:rsid w:val="00287696"/>
    <w:rsid w:val="00290D5F"/>
    <w:rsid w:val="00290E85"/>
    <w:rsid w:val="00291969"/>
    <w:rsid w:val="00295762"/>
    <w:rsid w:val="002959B3"/>
    <w:rsid w:val="00297B33"/>
    <w:rsid w:val="002A344E"/>
    <w:rsid w:val="002A3E30"/>
    <w:rsid w:val="002A57D4"/>
    <w:rsid w:val="002A5D1C"/>
    <w:rsid w:val="002A6864"/>
    <w:rsid w:val="002B1C1A"/>
    <w:rsid w:val="002B5456"/>
    <w:rsid w:val="002B5B66"/>
    <w:rsid w:val="002C0CA9"/>
    <w:rsid w:val="002C5EF5"/>
    <w:rsid w:val="002C7C71"/>
    <w:rsid w:val="002D2459"/>
    <w:rsid w:val="002D5773"/>
    <w:rsid w:val="002D63C1"/>
    <w:rsid w:val="002D7AB9"/>
    <w:rsid w:val="002D7AC4"/>
    <w:rsid w:val="002D7E0F"/>
    <w:rsid w:val="002E11FD"/>
    <w:rsid w:val="002E40D1"/>
    <w:rsid w:val="002E5B12"/>
    <w:rsid w:val="002E61AF"/>
    <w:rsid w:val="002E64B7"/>
    <w:rsid w:val="002E6BC6"/>
    <w:rsid w:val="002E6E41"/>
    <w:rsid w:val="002E77C6"/>
    <w:rsid w:val="002F08FF"/>
    <w:rsid w:val="002F0A9A"/>
    <w:rsid w:val="002F0B67"/>
    <w:rsid w:val="0030022A"/>
    <w:rsid w:val="00302847"/>
    <w:rsid w:val="00303876"/>
    <w:rsid w:val="00304162"/>
    <w:rsid w:val="0030549D"/>
    <w:rsid w:val="00305A26"/>
    <w:rsid w:val="003104A6"/>
    <w:rsid w:val="003138DE"/>
    <w:rsid w:val="003154F7"/>
    <w:rsid w:val="003174D4"/>
    <w:rsid w:val="00320867"/>
    <w:rsid w:val="00320884"/>
    <w:rsid w:val="00321B97"/>
    <w:rsid w:val="00323328"/>
    <w:rsid w:val="00326445"/>
    <w:rsid w:val="00326AD1"/>
    <w:rsid w:val="00327202"/>
    <w:rsid w:val="00333BAE"/>
    <w:rsid w:val="00335E8A"/>
    <w:rsid w:val="00337EE5"/>
    <w:rsid w:val="0034115E"/>
    <w:rsid w:val="00346FF3"/>
    <w:rsid w:val="003479E4"/>
    <w:rsid w:val="003510FD"/>
    <w:rsid w:val="003526D0"/>
    <w:rsid w:val="0035736B"/>
    <w:rsid w:val="00360907"/>
    <w:rsid w:val="003618AD"/>
    <w:rsid w:val="00362144"/>
    <w:rsid w:val="00370111"/>
    <w:rsid w:val="00370704"/>
    <w:rsid w:val="00371793"/>
    <w:rsid w:val="00374756"/>
    <w:rsid w:val="0037496E"/>
    <w:rsid w:val="003772EE"/>
    <w:rsid w:val="00382311"/>
    <w:rsid w:val="00384762"/>
    <w:rsid w:val="00384EED"/>
    <w:rsid w:val="00390C1B"/>
    <w:rsid w:val="003916D3"/>
    <w:rsid w:val="00392EE1"/>
    <w:rsid w:val="0039471F"/>
    <w:rsid w:val="00396308"/>
    <w:rsid w:val="003A1A83"/>
    <w:rsid w:val="003A5D2D"/>
    <w:rsid w:val="003A61C6"/>
    <w:rsid w:val="003B0ADD"/>
    <w:rsid w:val="003B1C9A"/>
    <w:rsid w:val="003C0A35"/>
    <w:rsid w:val="003C57B9"/>
    <w:rsid w:val="003C6333"/>
    <w:rsid w:val="003C6A10"/>
    <w:rsid w:val="003D0B5B"/>
    <w:rsid w:val="003D1401"/>
    <w:rsid w:val="003D3155"/>
    <w:rsid w:val="003D4DF3"/>
    <w:rsid w:val="003D6353"/>
    <w:rsid w:val="003D63DC"/>
    <w:rsid w:val="003E4F40"/>
    <w:rsid w:val="003E5953"/>
    <w:rsid w:val="003E5FEA"/>
    <w:rsid w:val="003F0DC0"/>
    <w:rsid w:val="003F0FD3"/>
    <w:rsid w:val="003F3AC3"/>
    <w:rsid w:val="003F638D"/>
    <w:rsid w:val="003F6EC6"/>
    <w:rsid w:val="004019FE"/>
    <w:rsid w:val="00407CC9"/>
    <w:rsid w:val="004117DA"/>
    <w:rsid w:val="004129F5"/>
    <w:rsid w:val="004146B2"/>
    <w:rsid w:val="00423532"/>
    <w:rsid w:val="00423E0E"/>
    <w:rsid w:val="004267E0"/>
    <w:rsid w:val="004269A9"/>
    <w:rsid w:val="00430971"/>
    <w:rsid w:val="004374B7"/>
    <w:rsid w:val="00440E34"/>
    <w:rsid w:val="00442B5C"/>
    <w:rsid w:val="004451D7"/>
    <w:rsid w:val="004453E2"/>
    <w:rsid w:val="00446C09"/>
    <w:rsid w:val="00450951"/>
    <w:rsid w:val="00451BFD"/>
    <w:rsid w:val="00455850"/>
    <w:rsid w:val="004607C5"/>
    <w:rsid w:val="0046091C"/>
    <w:rsid w:val="00462849"/>
    <w:rsid w:val="00463209"/>
    <w:rsid w:val="00466899"/>
    <w:rsid w:val="00467241"/>
    <w:rsid w:val="00467E4A"/>
    <w:rsid w:val="00473ACA"/>
    <w:rsid w:val="00477E95"/>
    <w:rsid w:val="00480BDD"/>
    <w:rsid w:val="00484A65"/>
    <w:rsid w:val="00484FA3"/>
    <w:rsid w:val="0049314A"/>
    <w:rsid w:val="00496CAD"/>
    <w:rsid w:val="004A0972"/>
    <w:rsid w:val="004A25FF"/>
    <w:rsid w:val="004A760F"/>
    <w:rsid w:val="004B0AB7"/>
    <w:rsid w:val="004B2592"/>
    <w:rsid w:val="004B25E0"/>
    <w:rsid w:val="004B3775"/>
    <w:rsid w:val="004B4E0A"/>
    <w:rsid w:val="004B777A"/>
    <w:rsid w:val="004C1FC5"/>
    <w:rsid w:val="004D2715"/>
    <w:rsid w:val="004D3072"/>
    <w:rsid w:val="004D5CAD"/>
    <w:rsid w:val="004E1B1B"/>
    <w:rsid w:val="004E2749"/>
    <w:rsid w:val="004E3389"/>
    <w:rsid w:val="004E64FE"/>
    <w:rsid w:val="004E7E29"/>
    <w:rsid w:val="004F281D"/>
    <w:rsid w:val="004F3F32"/>
    <w:rsid w:val="0050055A"/>
    <w:rsid w:val="005008CB"/>
    <w:rsid w:val="00503B05"/>
    <w:rsid w:val="00503EEA"/>
    <w:rsid w:val="005054F9"/>
    <w:rsid w:val="00506376"/>
    <w:rsid w:val="00513505"/>
    <w:rsid w:val="0051381A"/>
    <w:rsid w:val="00514AEC"/>
    <w:rsid w:val="0051572B"/>
    <w:rsid w:val="00516907"/>
    <w:rsid w:val="00523A42"/>
    <w:rsid w:val="0052435C"/>
    <w:rsid w:val="00534192"/>
    <w:rsid w:val="0054196C"/>
    <w:rsid w:val="00542B8A"/>
    <w:rsid w:val="00542EEB"/>
    <w:rsid w:val="005437DE"/>
    <w:rsid w:val="005461F5"/>
    <w:rsid w:val="00546F27"/>
    <w:rsid w:val="005500B9"/>
    <w:rsid w:val="005520E5"/>
    <w:rsid w:val="005534A5"/>
    <w:rsid w:val="00557083"/>
    <w:rsid w:val="005576F6"/>
    <w:rsid w:val="00564376"/>
    <w:rsid w:val="00564C8A"/>
    <w:rsid w:val="005657FE"/>
    <w:rsid w:val="005673B5"/>
    <w:rsid w:val="00567D10"/>
    <w:rsid w:val="00576907"/>
    <w:rsid w:val="0058039D"/>
    <w:rsid w:val="00584A73"/>
    <w:rsid w:val="00584D53"/>
    <w:rsid w:val="00587084"/>
    <w:rsid w:val="00594A44"/>
    <w:rsid w:val="00594D74"/>
    <w:rsid w:val="005A0A9F"/>
    <w:rsid w:val="005A2A76"/>
    <w:rsid w:val="005A4432"/>
    <w:rsid w:val="005A4988"/>
    <w:rsid w:val="005A5EC8"/>
    <w:rsid w:val="005A62D9"/>
    <w:rsid w:val="005B4C10"/>
    <w:rsid w:val="005B617B"/>
    <w:rsid w:val="005B693F"/>
    <w:rsid w:val="005C07D2"/>
    <w:rsid w:val="005D1BA1"/>
    <w:rsid w:val="005E010D"/>
    <w:rsid w:val="005E24E0"/>
    <w:rsid w:val="005E29C2"/>
    <w:rsid w:val="005F14BC"/>
    <w:rsid w:val="005F47DE"/>
    <w:rsid w:val="005F643F"/>
    <w:rsid w:val="005F7320"/>
    <w:rsid w:val="00601310"/>
    <w:rsid w:val="00605AE0"/>
    <w:rsid w:val="00607D5F"/>
    <w:rsid w:val="00607DB6"/>
    <w:rsid w:val="00610A20"/>
    <w:rsid w:val="00613812"/>
    <w:rsid w:val="00613834"/>
    <w:rsid w:val="00617165"/>
    <w:rsid w:val="00617A49"/>
    <w:rsid w:val="00622BD5"/>
    <w:rsid w:val="00627B03"/>
    <w:rsid w:val="00627E60"/>
    <w:rsid w:val="00630722"/>
    <w:rsid w:val="006309C3"/>
    <w:rsid w:val="00633515"/>
    <w:rsid w:val="00643158"/>
    <w:rsid w:val="0064596F"/>
    <w:rsid w:val="006551A8"/>
    <w:rsid w:val="0065677D"/>
    <w:rsid w:val="00656F8D"/>
    <w:rsid w:val="00663384"/>
    <w:rsid w:val="0066439A"/>
    <w:rsid w:val="00667DA6"/>
    <w:rsid w:val="00667F04"/>
    <w:rsid w:val="006736D5"/>
    <w:rsid w:val="006754A4"/>
    <w:rsid w:val="00677AE4"/>
    <w:rsid w:val="006800AB"/>
    <w:rsid w:val="00681717"/>
    <w:rsid w:val="00684537"/>
    <w:rsid w:val="00690FEF"/>
    <w:rsid w:val="00693317"/>
    <w:rsid w:val="0069338D"/>
    <w:rsid w:val="00693759"/>
    <w:rsid w:val="006969E3"/>
    <w:rsid w:val="00697C57"/>
    <w:rsid w:val="006A0293"/>
    <w:rsid w:val="006A295A"/>
    <w:rsid w:val="006A6D76"/>
    <w:rsid w:val="006B2367"/>
    <w:rsid w:val="006B67A3"/>
    <w:rsid w:val="006B70C9"/>
    <w:rsid w:val="006B79AD"/>
    <w:rsid w:val="006C4292"/>
    <w:rsid w:val="006C4C4E"/>
    <w:rsid w:val="006D0530"/>
    <w:rsid w:val="006D0AF3"/>
    <w:rsid w:val="006D1B51"/>
    <w:rsid w:val="006D508A"/>
    <w:rsid w:val="006D55DB"/>
    <w:rsid w:val="006E1C69"/>
    <w:rsid w:val="006E1EB2"/>
    <w:rsid w:val="006E4E41"/>
    <w:rsid w:val="006E6949"/>
    <w:rsid w:val="006F2AD4"/>
    <w:rsid w:val="006F399E"/>
    <w:rsid w:val="00703131"/>
    <w:rsid w:val="00710363"/>
    <w:rsid w:val="00713049"/>
    <w:rsid w:val="00714745"/>
    <w:rsid w:val="00715324"/>
    <w:rsid w:val="007175F3"/>
    <w:rsid w:val="007242FD"/>
    <w:rsid w:val="00730383"/>
    <w:rsid w:val="007306A3"/>
    <w:rsid w:val="00731449"/>
    <w:rsid w:val="007351E2"/>
    <w:rsid w:val="00736E5D"/>
    <w:rsid w:val="00737F26"/>
    <w:rsid w:val="00741F88"/>
    <w:rsid w:val="007443AE"/>
    <w:rsid w:val="007474AB"/>
    <w:rsid w:val="007601B9"/>
    <w:rsid w:val="00762250"/>
    <w:rsid w:val="0076509C"/>
    <w:rsid w:val="0076619B"/>
    <w:rsid w:val="00770A2F"/>
    <w:rsid w:val="00773A9A"/>
    <w:rsid w:val="00780348"/>
    <w:rsid w:val="00780E55"/>
    <w:rsid w:val="007837DF"/>
    <w:rsid w:val="00783BE4"/>
    <w:rsid w:val="00792A84"/>
    <w:rsid w:val="00793437"/>
    <w:rsid w:val="007A2F7C"/>
    <w:rsid w:val="007B1DA1"/>
    <w:rsid w:val="007B73F5"/>
    <w:rsid w:val="007C7FD6"/>
    <w:rsid w:val="007D07A0"/>
    <w:rsid w:val="007D14C8"/>
    <w:rsid w:val="007D17CE"/>
    <w:rsid w:val="007D596A"/>
    <w:rsid w:val="007D7DA4"/>
    <w:rsid w:val="007E0F96"/>
    <w:rsid w:val="007E52F4"/>
    <w:rsid w:val="007E6297"/>
    <w:rsid w:val="007E69C0"/>
    <w:rsid w:val="007E7C1F"/>
    <w:rsid w:val="007F0115"/>
    <w:rsid w:val="007F49A3"/>
    <w:rsid w:val="007F5A94"/>
    <w:rsid w:val="00800127"/>
    <w:rsid w:val="008010F6"/>
    <w:rsid w:val="008033F0"/>
    <w:rsid w:val="008101A8"/>
    <w:rsid w:val="0081047B"/>
    <w:rsid w:val="00810E26"/>
    <w:rsid w:val="0081143E"/>
    <w:rsid w:val="008123FC"/>
    <w:rsid w:val="00813CFB"/>
    <w:rsid w:val="008200C4"/>
    <w:rsid w:val="0082019B"/>
    <w:rsid w:val="0082754F"/>
    <w:rsid w:val="00827AFA"/>
    <w:rsid w:val="00832638"/>
    <w:rsid w:val="00833689"/>
    <w:rsid w:val="00835DE6"/>
    <w:rsid w:val="008401E1"/>
    <w:rsid w:val="00845FBB"/>
    <w:rsid w:val="00850CC9"/>
    <w:rsid w:val="0085628F"/>
    <w:rsid w:val="00860106"/>
    <w:rsid w:val="0086034C"/>
    <w:rsid w:val="00863D22"/>
    <w:rsid w:val="0086473B"/>
    <w:rsid w:val="00864B47"/>
    <w:rsid w:val="008671A9"/>
    <w:rsid w:val="00871D96"/>
    <w:rsid w:val="00874F63"/>
    <w:rsid w:val="00881D4A"/>
    <w:rsid w:val="0088644E"/>
    <w:rsid w:val="00887004"/>
    <w:rsid w:val="008978B5"/>
    <w:rsid w:val="008A00DE"/>
    <w:rsid w:val="008A0FE0"/>
    <w:rsid w:val="008A2DAB"/>
    <w:rsid w:val="008A2FF9"/>
    <w:rsid w:val="008A515D"/>
    <w:rsid w:val="008A7C23"/>
    <w:rsid w:val="008B2428"/>
    <w:rsid w:val="008B3EE0"/>
    <w:rsid w:val="008B734F"/>
    <w:rsid w:val="008B78C7"/>
    <w:rsid w:val="008C42AD"/>
    <w:rsid w:val="008C43D7"/>
    <w:rsid w:val="008C6AF6"/>
    <w:rsid w:val="008D3279"/>
    <w:rsid w:val="008D3EF3"/>
    <w:rsid w:val="008D44D1"/>
    <w:rsid w:val="008D4C0A"/>
    <w:rsid w:val="008E2BC2"/>
    <w:rsid w:val="008E4CCB"/>
    <w:rsid w:val="008E53B4"/>
    <w:rsid w:val="008F4413"/>
    <w:rsid w:val="008F77D1"/>
    <w:rsid w:val="0090577A"/>
    <w:rsid w:val="00914A44"/>
    <w:rsid w:val="00914A88"/>
    <w:rsid w:val="00914D34"/>
    <w:rsid w:val="009174FB"/>
    <w:rsid w:val="00917569"/>
    <w:rsid w:val="00920E9A"/>
    <w:rsid w:val="0092273E"/>
    <w:rsid w:val="009228D0"/>
    <w:rsid w:val="009255FA"/>
    <w:rsid w:val="00926CC5"/>
    <w:rsid w:val="00931C40"/>
    <w:rsid w:val="00933B60"/>
    <w:rsid w:val="00935B80"/>
    <w:rsid w:val="009362B8"/>
    <w:rsid w:val="00936F2F"/>
    <w:rsid w:val="009462BC"/>
    <w:rsid w:val="0094632F"/>
    <w:rsid w:val="00951B18"/>
    <w:rsid w:val="009560DE"/>
    <w:rsid w:val="00956D48"/>
    <w:rsid w:val="00957453"/>
    <w:rsid w:val="00957543"/>
    <w:rsid w:val="0096134F"/>
    <w:rsid w:val="00963836"/>
    <w:rsid w:val="00966CDB"/>
    <w:rsid w:val="00970F20"/>
    <w:rsid w:val="00973289"/>
    <w:rsid w:val="00974A02"/>
    <w:rsid w:val="009774C4"/>
    <w:rsid w:val="009816B5"/>
    <w:rsid w:val="00986FCA"/>
    <w:rsid w:val="0099478B"/>
    <w:rsid w:val="0099666C"/>
    <w:rsid w:val="009972F4"/>
    <w:rsid w:val="009A088F"/>
    <w:rsid w:val="009A0F6D"/>
    <w:rsid w:val="009A37DF"/>
    <w:rsid w:val="009A7C47"/>
    <w:rsid w:val="009B0AA6"/>
    <w:rsid w:val="009B2BF9"/>
    <w:rsid w:val="009B2D67"/>
    <w:rsid w:val="009C589E"/>
    <w:rsid w:val="009C61FB"/>
    <w:rsid w:val="009D572A"/>
    <w:rsid w:val="009D775A"/>
    <w:rsid w:val="009E2C31"/>
    <w:rsid w:val="009E57A8"/>
    <w:rsid w:val="009F23C9"/>
    <w:rsid w:val="009F2528"/>
    <w:rsid w:val="009F338E"/>
    <w:rsid w:val="009F3D32"/>
    <w:rsid w:val="009F5E98"/>
    <w:rsid w:val="009F7397"/>
    <w:rsid w:val="00A026B7"/>
    <w:rsid w:val="00A06801"/>
    <w:rsid w:val="00A06C1F"/>
    <w:rsid w:val="00A0785F"/>
    <w:rsid w:val="00A1148D"/>
    <w:rsid w:val="00A15C3E"/>
    <w:rsid w:val="00A227BE"/>
    <w:rsid w:val="00A23AC4"/>
    <w:rsid w:val="00A323DE"/>
    <w:rsid w:val="00A34C21"/>
    <w:rsid w:val="00A34C7B"/>
    <w:rsid w:val="00A40897"/>
    <w:rsid w:val="00A41C43"/>
    <w:rsid w:val="00A50124"/>
    <w:rsid w:val="00A507EE"/>
    <w:rsid w:val="00A51584"/>
    <w:rsid w:val="00A55C96"/>
    <w:rsid w:val="00A57014"/>
    <w:rsid w:val="00A578CC"/>
    <w:rsid w:val="00A64133"/>
    <w:rsid w:val="00A64249"/>
    <w:rsid w:val="00A642E3"/>
    <w:rsid w:val="00A66DDA"/>
    <w:rsid w:val="00A70281"/>
    <w:rsid w:val="00A73F98"/>
    <w:rsid w:val="00A748D3"/>
    <w:rsid w:val="00A755A2"/>
    <w:rsid w:val="00A87913"/>
    <w:rsid w:val="00A9002E"/>
    <w:rsid w:val="00A90AAA"/>
    <w:rsid w:val="00A93B84"/>
    <w:rsid w:val="00A9459E"/>
    <w:rsid w:val="00AB1759"/>
    <w:rsid w:val="00AB1ECE"/>
    <w:rsid w:val="00AB2D0A"/>
    <w:rsid w:val="00AB4E30"/>
    <w:rsid w:val="00AC2983"/>
    <w:rsid w:val="00AC2A5C"/>
    <w:rsid w:val="00AC2F2B"/>
    <w:rsid w:val="00AD01D3"/>
    <w:rsid w:val="00AD0A71"/>
    <w:rsid w:val="00AD0F0E"/>
    <w:rsid w:val="00AD1AB5"/>
    <w:rsid w:val="00AD207E"/>
    <w:rsid w:val="00AD3B6B"/>
    <w:rsid w:val="00AE252E"/>
    <w:rsid w:val="00AE2797"/>
    <w:rsid w:val="00AE4508"/>
    <w:rsid w:val="00AE6215"/>
    <w:rsid w:val="00AF094A"/>
    <w:rsid w:val="00AF0E8F"/>
    <w:rsid w:val="00AF182A"/>
    <w:rsid w:val="00AF3446"/>
    <w:rsid w:val="00AF3E98"/>
    <w:rsid w:val="00AF44D6"/>
    <w:rsid w:val="00AF7573"/>
    <w:rsid w:val="00B03E10"/>
    <w:rsid w:val="00B14B72"/>
    <w:rsid w:val="00B16584"/>
    <w:rsid w:val="00B16FED"/>
    <w:rsid w:val="00B201B5"/>
    <w:rsid w:val="00B237C1"/>
    <w:rsid w:val="00B3073E"/>
    <w:rsid w:val="00B323CC"/>
    <w:rsid w:val="00B338C5"/>
    <w:rsid w:val="00B33C64"/>
    <w:rsid w:val="00B36177"/>
    <w:rsid w:val="00B465E2"/>
    <w:rsid w:val="00B46620"/>
    <w:rsid w:val="00B47AAD"/>
    <w:rsid w:val="00B55046"/>
    <w:rsid w:val="00B55464"/>
    <w:rsid w:val="00B67262"/>
    <w:rsid w:val="00B71327"/>
    <w:rsid w:val="00B72620"/>
    <w:rsid w:val="00B729E1"/>
    <w:rsid w:val="00B72C62"/>
    <w:rsid w:val="00B7383A"/>
    <w:rsid w:val="00B77DAA"/>
    <w:rsid w:val="00B836B7"/>
    <w:rsid w:val="00B83EEC"/>
    <w:rsid w:val="00B926A4"/>
    <w:rsid w:val="00B9547D"/>
    <w:rsid w:val="00B963AF"/>
    <w:rsid w:val="00BA1546"/>
    <w:rsid w:val="00BA2092"/>
    <w:rsid w:val="00BA7427"/>
    <w:rsid w:val="00BA7726"/>
    <w:rsid w:val="00BB54FD"/>
    <w:rsid w:val="00BC0B17"/>
    <w:rsid w:val="00BC1110"/>
    <w:rsid w:val="00BC203E"/>
    <w:rsid w:val="00BD2192"/>
    <w:rsid w:val="00BD30F9"/>
    <w:rsid w:val="00BD6A09"/>
    <w:rsid w:val="00BD7657"/>
    <w:rsid w:val="00BE07BF"/>
    <w:rsid w:val="00BE2F15"/>
    <w:rsid w:val="00BE5589"/>
    <w:rsid w:val="00BF0906"/>
    <w:rsid w:val="00BF0F27"/>
    <w:rsid w:val="00BF1888"/>
    <w:rsid w:val="00C00D45"/>
    <w:rsid w:val="00C04C82"/>
    <w:rsid w:val="00C10572"/>
    <w:rsid w:val="00C12DED"/>
    <w:rsid w:val="00C14CB5"/>
    <w:rsid w:val="00C20940"/>
    <w:rsid w:val="00C2414F"/>
    <w:rsid w:val="00C24A05"/>
    <w:rsid w:val="00C24F0F"/>
    <w:rsid w:val="00C269C7"/>
    <w:rsid w:val="00C27D76"/>
    <w:rsid w:val="00C311C2"/>
    <w:rsid w:val="00C31DF7"/>
    <w:rsid w:val="00C326DC"/>
    <w:rsid w:val="00C3749B"/>
    <w:rsid w:val="00C3776C"/>
    <w:rsid w:val="00C37AB9"/>
    <w:rsid w:val="00C40E34"/>
    <w:rsid w:val="00C41366"/>
    <w:rsid w:val="00C43A70"/>
    <w:rsid w:val="00C4584C"/>
    <w:rsid w:val="00C503AD"/>
    <w:rsid w:val="00C523A0"/>
    <w:rsid w:val="00C52525"/>
    <w:rsid w:val="00C52E3E"/>
    <w:rsid w:val="00C540BE"/>
    <w:rsid w:val="00C54B77"/>
    <w:rsid w:val="00C57073"/>
    <w:rsid w:val="00C62FA5"/>
    <w:rsid w:val="00C655EC"/>
    <w:rsid w:val="00C6784C"/>
    <w:rsid w:val="00C67A13"/>
    <w:rsid w:val="00C732E1"/>
    <w:rsid w:val="00C735E2"/>
    <w:rsid w:val="00C737B9"/>
    <w:rsid w:val="00C75D8D"/>
    <w:rsid w:val="00C813CB"/>
    <w:rsid w:val="00C943B1"/>
    <w:rsid w:val="00C963AC"/>
    <w:rsid w:val="00C96C2F"/>
    <w:rsid w:val="00CA1F44"/>
    <w:rsid w:val="00CA26DB"/>
    <w:rsid w:val="00CA275E"/>
    <w:rsid w:val="00CB258E"/>
    <w:rsid w:val="00CB2B75"/>
    <w:rsid w:val="00CB6ECA"/>
    <w:rsid w:val="00CC12A5"/>
    <w:rsid w:val="00CC6B46"/>
    <w:rsid w:val="00CD2B67"/>
    <w:rsid w:val="00CD3E4F"/>
    <w:rsid w:val="00CE0AEA"/>
    <w:rsid w:val="00CE3FEF"/>
    <w:rsid w:val="00CE48FB"/>
    <w:rsid w:val="00CF614E"/>
    <w:rsid w:val="00CF6232"/>
    <w:rsid w:val="00CF7712"/>
    <w:rsid w:val="00D00ED6"/>
    <w:rsid w:val="00D010F4"/>
    <w:rsid w:val="00D02256"/>
    <w:rsid w:val="00D03881"/>
    <w:rsid w:val="00D04003"/>
    <w:rsid w:val="00D044E2"/>
    <w:rsid w:val="00D062DA"/>
    <w:rsid w:val="00D06DE5"/>
    <w:rsid w:val="00D10C6B"/>
    <w:rsid w:val="00D10D3A"/>
    <w:rsid w:val="00D12051"/>
    <w:rsid w:val="00D2052D"/>
    <w:rsid w:val="00D25B71"/>
    <w:rsid w:val="00D266F4"/>
    <w:rsid w:val="00D26DA4"/>
    <w:rsid w:val="00D31420"/>
    <w:rsid w:val="00D3706C"/>
    <w:rsid w:val="00D438F6"/>
    <w:rsid w:val="00D44F25"/>
    <w:rsid w:val="00D46CAD"/>
    <w:rsid w:val="00D471C3"/>
    <w:rsid w:val="00D5001D"/>
    <w:rsid w:val="00D55162"/>
    <w:rsid w:val="00D60014"/>
    <w:rsid w:val="00D60F1D"/>
    <w:rsid w:val="00D62451"/>
    <w:rsid w:val="00D64510"/>
    <w:rsid w:val="00D702EF"/>
    <w:rsid w:val="00D7101F"/>
    <w:rsid w:val="00D72950"/>
    <w:rsid w:val="00D74291"/>
    <w:rsid w:val="00D74343"/>
    <w:rsid w:val="00D83C07"/>
    <w:rsid w:val="00D9082D"/>
    <w:rsid w:val="00D90BFE"/>
    <w:rsid w:val="00D90C5E"/>
    <w:rsid w:val="00D929ED"/>
    <w:rsid w:val="00D95276"/>
    <w:rsid w:val="00DA3B88"/>
    <w:rsid w:val="00DA56AD"/>
    <w:rsid w:val="00DB0758"/>
    <w:rsid w:val="00DB42B8"/>
    <w:rsid w:val="00DB46F3"/>
    <w:rsid w:val="00DB6D9C"/>
    <w:rsid w:val="00DB7FE1"/>
    <w:rsid w:val="00DC035B"/>
    <w:rsid w:val="00DC3C6E"/>
    <w:rsid w:val="00DC4209"/>
    <w:rsid w:val="00DC4AE9"/>
    <w:rsid w:val="00DC51BB"/>
    <w:rsid w:val="00DC5D6A"/>
    <w:rsid w:val="00DD301E"/>
    <w:rsid w:val="00DD3FB6"/>
    <w:rsid w:val="00DD4737"/>
    <w:rsid w:val="00DE0F62"/>
    <w:rsid w:val="00DE21C9"/>
    <w:rsid w:val="00DE5A4E"/>
    <w:rsid w:val="00DE6153"/>
    <w:rsid w:val="00DE6776"/>
    <w:rsid w:val="00DF4186"/>
    <w:rsid w:val="00DF5391"/>
    <w:rsid w:val="00DF583E"/>
    <w:rsid w:val="00E02348"/>
    <w:rsid w:val="00E04695"/>
    <w:rsid w:val="00E11DF5"/>
    <w:rsid w:val="00E148A0"/>
    <w:rsid w:val="00E173F8"/>
    <w:rsid w:val="00E205A2"/>
    <w:rsid w:val="00E22047"/>
    <w:rsid w:val="00E23DBF"/>
    <w:rsid w:val="00E25913"/>
    <w:rsid w:val="00E272C2"/>
    <w:rsid w:val="00E31F25"/>
    <w:rsid w:val="00E3385B"/>
    <w:rsid w:val="00E338A4"/>
    <w:rsid w:val="00E35777"/>
    <w:rsid w:val="00E44FDD"/>
    <w:rsid w:val="00E46A45"/>
    <w:rsid w:val="00E46BEE"/>
    <w:rsid w:val="00E52534"/>
    <w:rsid w:val="00E54BC5"/>
    <w:rsid w:val="00E5751C"/>
    <w:rsid w:val="00E65690"/>
    <w:rsid w:val="00E7078E"/>
    <w:rsid w:val="00E70B8B"/>
    <w:rsid w:val="00E73357"/>
    <w:rsid w:val="00E73743"/>
    <w:rsid w:val="00E74548"/>
    <w:rsid w:val="00E74DDF"/>
    <w:rsid w:val="00E74F5E"/>
    <w:rsid w:val="00E7738B"/>
    <w:rsid w:val="00E77A8C"/>
    <w:rsid w:val="00E804EF"/>
    <w:rsid w:val="00E94911"/>
    <w:rsid w:val="00EA71A7"/>
    <w:rsid w:val="00EA72A7"/>
    <w:rsid w:val="00EB6A1F"/>
    <w:rsid w:val="00EB6A86"/>
    <w:rsid w:val="00EC0B07"/>
    <w:rsid w:val="00EC1297"/>
    <w:rsid w:val="00EC642E"/>
    <w:rsid w:val="00ED0BD0"/>
    <w:rsid w:val="00ED0E66"/>
    <w:rsid w:val="00ED238F"/>
    <w:rsid w:val="00ED25A9"/>
    <w:rsid w:val="00EE0967"/>
    <w:rsid w:val="00EF18BC"/>
    <w:rsid w:val="00EF31C3"/>
    <w:rsid w:val="00EF51BC"/>
    <w:rsid w:val="00F01A1B"/>
    <w:rsid w:val="00F02425"/>
    <w:rsid w:val="00F03168"/>
    <w:rsid w:val="00F0345C"/>
    <w:rsid w:val="00F053A8"/>
    <w:rsid w:val="00F06F6E"/>
    <w:rsid w:val="00F14C53"/>
    <w:rsid w:val="00F23259"/>
    <w:rsid w:val="00F234A5"/>
    <w:rsid w:val="00F24FAA"/>
    <w:rsid w:val="00F25961"/>
    <w:rsid w:val="00F26B5A"/>
    <w:rsid w:val="00F31D3D"/>
    <w:rsid w:val="00F3737D"/>
    <w:rsid w:val="00F37440"/>
    <w:rsid w:val="00F4079E"/>
    <w:rsid w:val="00F427D0"/>
    <w:rsid w:val="00F46BC9"/>
    <w:rsid w:val="00F46FEF"/>
    <w:rsid w:val="00F50E24"/>
    <w:rsid w:val="00F5458C"/>
    <w:rsid w:val="00F565CE"/>
    <w:rsid w:val="00F61F50"/>
    <w:rsid w:val="00F649D1"/>
    <w:rsid w:val="00F723E8"/>
    <w:rsid w:val="00F81943"/>
    <w:rsid w:val="00F9077D"/>
    <w:rsid w:val="00F91A12"/>
    <w:rsid w:val="00F93CD3"/>
    <w:rsid w:val="00FA0598"/>
    <w:rsid w:val="00FB4F2D"/>
    <w:rsid w:val="00FC3ED8"/>
    <w:rsid w:val="00FC41DD"/>
    <w:rsid w:val="00FC4449"/>
    <w:rsid w:val="00FC7B36"/>
    <w:rsid w:val="00FD0A65"/>
    <w:rsid w:val="00FD6D0F"/>
    <w:rsid w:val="00FE04C2"/>
    <w:rsid w:val="00FE2B49"/>
    <w:rsid w:val="00FE2F8E"/>
    <w:rsid w:val="00FE380A"/>
    <w:rsid w:val="00FE40DB"/>
    <w:rsid w:val="00FE64E6"/>
    <w:rsid w:val="00FF0665"/>
    <w:rsid w:val="00FF294F"/>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90CF"/>
  <w15:docId w15:val="{0D943B56-3C1D-4A5D-A77C-E31EE43B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408E"/>
    <w:pPr>
      <w:spacing w:before="240" w:after="240"/>
    </w:pPr>
    <w:rPr>
      <w:lang w:val="es-CL"/>
    </w:rPr>
  </w:style>
  <w:style w:type="paragraph" w:styleId="Ttulo1">
    <w:name w:val="heading 1"/>
    <w:basedOn w:val="Normal"/>
    <w:next w:val="Normal"/>
    <w:link w:val="Ttulo1Car"/>
    <w:uiPriority w:val="9"/>
    <w:qFormat/>
    <w:rsid w:val="00287696"/>
    <w:pPr>
      <w:keepNext/>
      <w:keepLines/>
      <w:numPr>
        <w:numId w:val="32"/>
      </w:numPr>
      <w:spacing w:after="0"/>
      <w:outlineLvl w:val="0"/>
    </w:pPr>
    <w:rPr>
      <w:rFonts w:eastAsiaTheme="majorEastAsia" w:cstheme="majorBidi"/>
      <w:color w:val="365F91" w:themeColor="accent1" w:themeShade="BF"/>
      <w:szCs w:val="32"/>
    </w:rPr>
  </w:style>
  <w:style w:type="paragraph" w:styleId="Ttulo2">
    <w:name w:val="heading 2"/>
    <w:basedOn w:val="Normal"/>
    <w:next w:val="Normal"/>
    <w:link w:val="Ttulo2Car"/>
    <w:uiPriority w:val="9"/>
    <w:unhideWhenUsed/>
    <w:qFormat/>
    <w:rsid w:val="00810E26"/>
    <w:pPr>
      <w:keepNext/>
      <w:keepLines/>
      <w:numPr>
        <w:ilvl w:val="1"/>
        <w:numId w:val="32"/>
      </w:numPr>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0641A4"/>
    <w:pPr>
      <w:keepNext/>
      <w:keepLines/>
      <w:numPr>
        <w:ilvl w:val="2"/>
        <w:numId w:val="3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0641A4"/>
    <w:pPr>
      <w:keepNext/>
      <w:keepLines/>
      <w:numPr>
        <w:ilvl w:val="3"/>
        <w:numId w:val="32"/>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0641A4"/>
    <w:pPr>
      <w:keepNext/>
      <w:keepLines/>
      <w:numPr>
        <w:ilvl w:val="4"/>
        <w:numId w:val="32"/>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0641A4"/>
    <w:pPr>
      <w:keepNext/>
      <w:keepLines/>
      <w:numPr>
        <w:ilvl w:val="5"/>
        <w:numId w:val="32"/>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0641A4"/>
    <w:pPr>
      <w:keepNext/>
      <w:keepLines/>
      <w:numPr>
        <w:ilvl w:val="6"/>
        <w:numId w:val="32"/>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0641A4"/>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641A4"/>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D408E"/>
    <w:rPr>
      <w:color w:val="0000FF" w:themeColor="hyperlink"/>
      <w:u w:val="single"/>
    </w:rPr>
  </w:style>
  <w:style w:type="paragraph" w:styleId="Prrafodelista">
    <w:name w:val="List Paragraph"/>
    <w:basedOn w:val="Normal"/>
    <w:uiPriority w:val="34"/>
    <w:qFormat/>
    <w:rsid w:val="001D408E"/>
    <w:pPr>
      <w:ind w:left="720"/>
      <w:contextualSpacing/>
    </w:pPr>
  </w:style>
  <w:style w:type="table" w:styleId="Sombreadomedio1-nfasis1">
    <w:name w:val="Medium Shading 1 Accent 1"/>
    <w:basedOn w:val="Tablanormal"/>
    <w:uiPriority w:val="63"/>
    <w:rsid w:val="001D408E"/>
    <w:pPr>
      <w:spacing w:after="0" w:line="240" w:lineRule="auto"/>
    </w:pPr>
    <w:rPr>
      <w:lang w:val="es-C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deglobo">
    <w:name w:val="Balloon Text"/>
    <w:basedOn w:val="Normal"/>
    <w:link w:val="TextodegloboCar"/>
    <w:uiPriority w:val="99"/>
    <w:semiHidden/>
    <w:unhideWhenUsed/>
    <w:rsid w:val="005437DE"/>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37DE"/>
    <w:rPr>
      <w:rFonts w:ascii="Tahoma" w:hAnsi="Tahoma" w:cs="Tahoma"/>
      <w:sz w:val="16"/>
      <w:szCs w:val="16"/>
      <w:lang w:val="es-CL"/>
    </w:rPr>
  </w:style>
  <w:style w:type="paragraph" w:styleId="Revisin">
    <w:name w:val="Revision"/>
    <w:hidden/>
    <w:uiPriority w:val="99"/>
    <w:semiHidden/>
    <w:rsid w:val="00F03168"/>
    <w:pPr>
      <w:spacing w:after="0" w:line="240" w:lineRule="auto"/>
    </w:pPr>
    <w:rPr>
      <w:lang w:val="es-CL"/>
    </w:rPr>
  </w:style>
  <w:style w:type="character" w:styleId="Refdecomentario">
    <w:name w:val="annotation reference"/>
    <w:basedOn w:val="Fuentedeprrafopredeter"/>
    <w:uiPriority w:val="99"/>
    <w:semiHidden/>
    <w:unhideWhenUsed/>
    <w:rsid w:val="00F91A12"/>
    <w:rPr>
      <w:sz w:val="16"/>
      <w:szCs w:val="16"/>
    </w:rPr>
  </w:style>
  <w:style w:type="paragraph" w:styleId="Textocomentario">
    <w:name w:val="annotation text"/>
    <w:basedOn w:val="Normal"/>
    <w:link w:val="TextocomentarioCar"/>
    <w:uiPriority w:val="99"/>
    <w:semiHidden/>
    <w:unhideWhenUsed/>
    <w:rsid w:val="00F91A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91A12"/>
    <w:rPr>
      <w:sz w:val="20"/>
      <w:szCs w:val="20"/>
      <w:lang w:val="es-CL"/>
    </w:rPr>
  </w:style>
  <w:style w:type="paragraph" w:styleId="Asuntodelcomentario">
    <w:name w:val="annotation subject"/>
    <w:basedOn w:val="Textocomentario"/>
    <w:next w:val="Textocomentario"/>
    <w:link w:val="AsuntodelcomentarioCar"/>
    <w:uiPriority w:val="99"/>
    <w:semiHidden/>
    <w:unhideWhenUsed/>
    <w:rsid w:val="00F91A12"/>
    <w:rPr>
      <w:b/>
      <w:bCs/>
    </w:rPr>
  </w:style>
  <w:style w:type="character" w:customStyle="1" w:styleId="AsuntodelcomentarioCar">
    <w:name w:val="Asunto del comentario Car"/>
    <w:basedOn w:val="TextocomentarioCar"/>
    <w:link w:val="Asuntodelcomentario"/>
    <w:uiPriority w:val="99"/>
    <w:semiHidden/>
    <w:rsid w:val="00F91A12"/>
    <w:rPr>
      <w:b/>
      <w:bCs/>
      <w:sz w:val="20"/>
      <w:szCs w:val="20"/>
      <w:lang w:val="es-CL"/>
    </w:rPr>
  </w:style>
  <w:style w:type="table" w:styleId="Tablaconcuadrcula">
    <w:name w:val="Table Grid"/>
    <w:basedOn w:val="Tablanormal"/>
    <w:uiPriority w:val="59"/>
    <w:rsid w:val="00762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media2-nfasis1">
    <w:name w:val="Medium List 2 Accent 1"/>
    <w:basedOn w:val="Tablanormal"/>
    <w:uiPriority w:val="66"/>
    <w:rsid w:val="00762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Textodelmarcadordeposicin">
    <w:name w:val="Placeholder Text"/>
    <w:basedOn w:val="Fuentedeprrafopredeter"/>
    <w:uiPriority w:val="99"/>
    <w:semiHidden/>
    <w:rsid w:val="00584D53"/>
    <w:rPr>
      <w:color w:val="808080"/>
    </w:rPr>
  </w:style>
  <w:style w:type="table" w:styleId="Sombreadoclaro-nfasis1">
    <w:name w:val="Light Shading Accent 1"/>
    <w:basedOn w:val="Tablanormal"/>
    <w:uiPriority w:val="60"/>
    <w:rsid w:val="00BC0B1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5A4432"/>
    <w:pPr>
      <w:autoSpaceDE w:val="0"/>
      <w:autoSpaceDN w:val="0"/>
      <w:adjustRightInd w:val="0"/>
      <w:spacing w:after="0" w:line="240" w:lineRule="auto"/>
    </w:pPr>
    <w:rPr>
      <w:rFonts w:ascii="Arial" w:hAnsi="Arial" w:cs="Arial"/>
      <w:color w:val="000000"/>
      <w:sz w:val="24"/>
      <w:szCs w:val="24"/>
      <w:lang w:val="es-CL"/>
    </w:rPr>
  </w:style>
  <w:style w:type="table" w:styleId="Listavistosa-nfasis3">
    <w:name w:val="Colorful List Accent 3"/>
    <w:basedOn w:val="Tablanormal"/>
    <w:uiPriority w:val="72"/>
    <w:rsid w:val="005534A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styleId="Textosinformato">
    <w:name w:val="Plain Text"/>
    <w:basedOn w:val="Normal"/>
    <w:link w:val="TextosinformatoCar"/>
    <w:uiPriority w:val="99"/>
    <w:unhideWhenUsed/>
    <w:rsid w:val="00E04695"/>
    <w:pPr>
      <w:spacing w:before="0" w:after="0" w:line="240" w:lineRule="auto"/>
    </w:pPr>
    <w:rPr>
      <w:rFonts w:ascii="Calibri" w:hAnsi="Calibri" w:cs="Times New Roman"/>
    </w:rPr>
  </w:style>
  <w:style w:type="character" w:customStyle="1" w:styleId="TextosinformatoCar">
    <w:name w:val="Texto sin formato Car"/>
    <w:basedOn w:val="Fuentedeprrafopredeter"/>
    <w:link w:val="Textosinformato"/>
    <w:uiPriority w:val="99"/>
    <w:rsid w:val="00E04695"/>
    <w:rPr>
      <w:rFonts w:ascii="Calibri" w:hAnsi="Calibri" w:cs="Times New Roman"/>
      <w:lang w:val="es-CL"/>
    </w:rPr>
  </w:style>
  <w:style w:type="table" w:styleId="Tablaconcuadrcula4-nfasis1">
    <w:name w:val="Grid Table 4 Accent 1"/>
    <w:basedOn w:val="Tablanormal"/>
    <w:uiPriority w:val="49"/>
    <w:rsid w:val="00CC6B4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tulo2Car">
    <w:name w:val="Título 2 Car"/>
    <w:basedOn w:val="Fuentedeprrafopredeter"/>
    <w:link w:val="Ttulo2"/>
    <w:uiPriority w:val="9"/>
    <w:rsid w:val="00810E26"/>
    <w:rPr>
      <w:rFonts w:asciiTheme="majorHAnsi" w:eastAsiaTheme="majorEastAsia" w:hAnsiTheme="majorHAnsi" w:cstheme="majorBidi"/>
      <w:color w:val="365F91" w:themeColor="accent1" w:themeShade="BF"/>
      <w:sz w:val="26"/>
      <w:szCs w:val="26"/>
      <w:lang w:val="es-CL"/>
    </w:rPr>
  </w:style>
  <w:style w:type="table" w:styleId="Tablaconcuadrcula1clara">
    <w:name w:val="Grid Table 1 Light"/>
    <w:basedOn w:val="Tablanormal"/>
    <w:uiPriority w:val="46"/>
    <w:rsid w:val="008E53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fasis">
    <w:name w:val="Emphasis"/>
    <w:basedOn w:val="Fuentedeprrafopredeter"/>
    <w:uiPriority w:val="20"/>
    <w:qFormat/>
    <w:rsid w:val="000641A4"/>
    <w:rPr>
      <w:i/>
      <w:iCs/>
    </w:rPr>
  </w:style>
  <w:style w:type="character" w:customStyle="1" w:styleId="Ttulo1Car">
    <w:name w:val="Título 1 Car"/>
    <w:basedOn w:val="Fuentedeprrafopredeter"/>
    <w:link w:val="Ttulo1"/>
    <w:uiPriority w:val="9"/>
    <w:rsid w:val="00287696"/>
    <w:rPr>
      <w:rFonts w:eastAsiaTheme="majorEastAsia" w:cstheme="majorBidi"/>
      <w:color w:val="365F91" w:themeColor="accent1" w:themeShade="BF"/>
      <w:szCs w:val="32"/>
      <w:lang w:val="es-CL"/>
    </w:rPr>
  </w:style>
  <w:style w:type="character" w:customStyle="1" w:styleId="Ttulo3Car">
    <w:name w:val="Título 3 Car"/>
    <w:basedOn w:val="Fuentedeprrafopredeter"/>
    <w:link w:val="Ttulo3"/>
    <w:uiPriority w:val="9"/>
    <w:rsid w:val="000641A4"/>
    <w:rPr>
      <w:rFonts w:asciiTheme="majorHAnsi" w:eastAsiaTheme="majorEastAsia" w:hAnsiTheme="majorHAnsi" w:cstheme="majorBidi"/>
      <w:color w:val="243F60" w:themeColor="accent1" w:themeShade="7F"/>
      <w:sz w:val="24"/>
      <w:szCs w:val="24"/>
      <w:lang w:val="es-CL"/>
    </w:rPr>
  </w:style>
  <w:style w:type="character" w:customStyle="1" w:styleId="Ttulo4Car">
    <w:name w:val="Título 4 Car"/>
    <w:basedOn w:val="Fuentedeprrafopredeter"/>
    <w:link w:val="Ttulo4"/>
    <w:uiPriority w:val="9"/>
    <w:semiHidden/>
    <w:rsid w:val="000641A4"/>
    <w:rPr>
      <w:rFonts w:asciiTheme="majorHAnsi" w:eastAsiaTheme="majorEastAsia" w:hAnsiTheme="majorHAnsi" w:cstheme="majorBidi"/>
      <w:i/>
      <w:iCs/>
      <w:color w:val="365F91" w:themeColor="accent1" w:themeShade="BF"/>
      <w:lang w:val="es-CL"/>
    </w:rPr>
  </w:style>
  <w:style w:type="character" w:customStyle="1" w:styleId="Ttulo5Car">
    <w:name w:val="Título 5 Car"/>
    <w:basedOn w:val="Fuentedeprrafopredeter"/>
    <w:link w:val="Ttulo5"/>
    <w:uiPriority w:val="9"/>
    <w:semiHidden/>
    <w:rsid w:val="000641A4"/>
    <w:rPr>
      <w:rFonts w:asciiTheme="majorHAnsi" w:eastAsiaTheme="majorEastAsia" w:hAnsiTheme="majorHAnsi" w:cstheme="majorBidi"/>
      <w:color w:val="365F91" w:themeColor="accent1" w:themeShade="BF"/>
      <w:lang w:val="es-CL"/>
    </w:rPr>
  </w:style>
  <w:style w:type="character" w:customStyle="1" w:styleId="Ttulo6Car">
    <w:name w:val="Título 6 Car"/>
    <w:basedOn w:val="Fuentedeprrafopredeter"/>
    <w:link w:val="Ttulo6"/>
    <w:uiPriority w:val="9"/>
    <w:semiHidden/>
    <w:rsid w:val="000641A4"/>
    <w:rPr>
      <w:rFonts w:asciiTheme="majorHAnsi" w:eastAsiaTheme="majorEastAsia" w:hAnsiTheme="majorHAnsi" w:cstheme="majorBidi"/>
      <w:color w:val="243F60" w:themeColor="accent1" w:themeShade="7F"/>
      <w:lang w:val="es-CL"/>
    </w:rPr>
  </w:style>
  <w:style w:type="character" w:customStyle="1" w:styleId="Ttulo7Car">
    <w:name w:val="Título 7 Car"/>
    <w:basedOn w:val="Fuentedeprrafopredeter"/>
    <w:link w:val="Ttulo7"/>
    <w:uiPriority w:val="9"/>
    <w:semiHidden/>
    <w:rsid w:val="000641A4"/>
    <w:rPr>
      <w:rFonts w:asciiTheme="majorHAnsi" w:eastAsiaTheme="majorEastAsia" w:hAnsiTheme="majorHAnsi" w:cstheme="majorBidi"/>
      <w:i/>
      <w:iCs/>
      <w:color w:val="243F60" w:themeColor="accent1" w:themeShade="7F"/>
      <w:lang w:val="es-CL"/>
    </w:rPr>
  </w:style>
  <w:style w:type="character" w:customStyle="1" w:styleId="Ttulo8Car">
    <w:name w:val="Título 8 Car"/>
    <w:basedOn w:val="Fuentedeprrafopredeter"/>
    <w:link w:val="Ttulo8"/>
    <w:uiPriority w:val="9"/>
    <w:semiHidden/>
    <w:rsid w:val="000641A4"/>
    <w:rPr>
      <w:rFonts w:asciiTheme="majorHAnsi" w:eastAsiaTheme="majorEastAsia" w:hAnsiTheme="majorHAnsi" w:cstheme="majorBidi"/>
      <w:color w:val="272727" w:themeColor="text1" w:themeTint="D8"/>
      <w:sz w:val="21"/>
      <w:szCs w:val="21"/>
      <w:lang w:val="es-CL"/>
    </w:rPr>
  </w:style>
  <w:style w:type="character" w:customStyle="1" w:styleId="Ttulo9Car">
    <w:name w:val="Título 9 Car"/>
    <w:basedOn w:val="Fuentedeprrafopredeter"/>
    <w:link w:val="Ttulo9"/>
    <w:uiPriority w:val="9"/>
    <w:semiHidden/>
    <w:rsid w:val="000641A4"/>
    <w:rPr>
      <w:rFonts w:asciiTheme="majorHAnsi" w:eastAsiaTheme="majorEastAsia" w:hAnsiTheme="majorHAnsi" w:cstheme="majorBidi"/>
      <w:i/>
      <w:iCs/>
      <w:color w:val="272727" w:themeColor="text1" w:themeTint="D8"/>
      <w:sz w:val="21"/>
      <w:szCs w:val="21"/>
      <w:lang w:val="es-CL"/>
    </w:rPr>
  </w:style>
  <w:style w:type="table" w:styleId="Tablanormal1">
    <w:name w:val="Plain Table 1"/>
    <w:basedOn w:val="Tablanormal"/>
    <w:uiPriority w:val="41"/>
    <w:rsid w:val="007474A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53673">
      <w:bodyDiv w:val="1"/>
      <w:marLeft w:val="0"/>
      <w:marRight w:val="0"/>
      <w:marTop w:val="0"/>
      <w:marBottom w:val="0"/>
      <w:divBdr>
        <w:top w:val="none" w:sz="0" w:space="0" w:color="auto"/>
        <w:left w:val="none" w:sz="0" w:space="0" w:color="auto"/>
        <w:bottom w:val="none" w:sz="0" w:space="0" w:color="auto"/>
        <w:right w:val="none" w:sz="0" w:space="0" w:color="auto"/>
      </w:divBdr>
    </w:div>
    <w:div w:id="63846076">
      <w:bodyDiv w:val="1"/>
      <w:marLeft w:val="0"/>
      <w:marRight w:val="0"/>
      <w:marTop w:val="0"/>
      <w:marBottom w:val="0"/>
      <w:divBdr>
        <w:top w:val="none" w:sz="0" w:space="0" w:color="auto"/>
        <w:left w:val="none" w:sz="0" w:space="0" w:color="auto"/>
        <w:bottom w:val="none" w:sz="0" w:space="0" w:color="auto"/>
        <w:right w:val="none" w:sz="0" w:space="0" w:color="auto"/>
      </w:divBdr>
    </w:div>
    <w:div w:id="129711697">
      <w:bodyDiv w:val="1"/>
      <w:marLeft w:val="0"/>
      <w:marRight w:val="0"/>
      <w:marTop w:val="0"/>
      <w:marBottom w:val="0"/>
      <w:divBdr>
        <w:top w:val="none" w:sz="0" w:space="0" w:color="auto"/>
        <w:left w:val="none" w:sz="0" w:space="0" w:color="auto"/>
        <w:bottom w:val="none" w:sz="0" w:space="0" w:color="auto"/>
        <w:right w:val="none" w:sz="0" w:space="0" w:color="auto"/>
      </w:divBdr>
    </w:div>
    <w:div w:id="241064907">
      <w:bodyDiv w:val="1"/>
      <w:marLeft w:val="0"/>
      <w:marRight w:val="0"/>
      <w:marTop w:val="0"/>
      <w:marBottom w:val="0"/>
      <w:divBdr>
        <w:top w:val="none" w:sz="0" w:space="0" w:color="auto"/>
        <w:left w:val="none" w:sz="0" w:space="0" w:color="auto"/>
        <w:bottom w:val="none" w:sz="0" w:space="0" w:color="auto"/>
        <w:right w:val="none" w:sz="0" w:space="0" w:color="auto"/>
      </w:divBdr>
    </w:div>
    <w:div w:id="254479328">
      <w:bodyDiv w:val="1"/>
      <w:marLeft w:val="0"/>
      <w:marRight w:val="0"/>
      <w:marTop w:val="0"/>
      <w:marBottom w:val="0"/>
      <w:divBdr>
        <w:top w:val="none" w:sz="0" w:space="0" w:color="auto"/>
        <w:left w:val="none" w:sz="0" w:space="0" w:color="auto"/>
        <w:bottom w:val="none" w:sz="0" w:space="0" w:color="auto"/>
        <w:right w:val="none" w:sz="0" w:space="0" w:color="auto"/>
      </w:divBdr>
    </w:div>
    <w:div w:id="271940879">
      <w:bodyDiv w:val="1"/>
      <w:marLeft w:val="0"/>
      <w:marRight w:val="0"/>
      <w:marTop w:val="0"/>
      <w:marBottom w:val="0"/>
      <w:divBdr>
        <w:top w:val="none" w:sz="0" w:space="0" w:color="auto"/>
        <w:left w:val="none" w:sz="0" w:space="0" w:color="auto"/>
        <w:bottom w:val="none" w:sz="0" w:space="0" w:color="auto"/>
        <w:right w:val="none" w:sz="0" w:space="0" w:color="auto"/>
      </w:divBdr>
    </w:div>
    <w:div w:id="311449575">
      <w:bodyDiv w:val="1"/>
      <w:marLeft w:val="0"/>
      <w:marRight w:val="0"/>
      <w:marTop w:val="0"/>
      <w:marBottom w:val="0"/>
      <w:divBdr>
        <w:top w:val="none" w:sz="0" w:space="0" w:color="auto"/>
        <w:left w:val="none" w:sz="0" w:space="0" w:color="auto"/>
        <w:bottom w:val="none" w:sz="0" w:space="0" w:color="auto"/>
        <w:right w:val="none" w:sz="0" w:space="0" w:color="auto"/>
      </w:divBdr>
    </w:div>
    <w:div w:id="327556481">
      <w:bodyDiv w:val="1"/>
      <w:marLeft w:val="0"/>
      <w:marRight w:val="0"/>
      <w:marTop w:val="0"/>
      <w:marBottom w:val="0"/>
      <w:divBdr>
        <w:top w:val="none" w:sz="0" w:space="0" w:color="auto"/>
        <w:left w:val="none" w:sz="0" w:space="0" w:color="auto"/>
        <w:bottom w:val="none" w:sz="0" w:space="0" w:color="auto"/>
        <w:right w:val="none" w:sz="0" w:space="0" w:color="auto"/>
      </w:divBdr>
    </w:div>
    <w:div w:id="349526106">
      <w:bodyDiv w:val="1"/>
      <w:marLeft w:val="0"/>
      <w:marRight w:val="0"/>
      <w:marTop w:val="0"/>
      <w:marBottom w:val="0"/>
      <w:divBdr>
        <w:top w:val="none" w:sz="0" w:space="0" w:color="auto"/>
        <w:left w:val="none" w:sz="0" w:space="0" w:color="auto"/>
        <w:bottom w:val="none" w:sz="0" w:space="0" w:color="auto"/>
        <w:right w:val="none" w:sz="0" w:space="0" w:color="auto"/>
      </w:divBdr>
    </w:div>
    <w:div w:id="355622025">
      <w:bodyDiv w:val="1"/>
      <w:marLeft w:val="0"/>
      <w:marRight w:val="0"/>
      <w:marTop w:val="0"/>
      <w:marBottom w:val="0"/>
      <w:divBdr>
        <w:top w:val="none" w:sz="0" w:space="0" w:color="auto"/>
        <w:left w:val="none" w:sz="0" w:space="0" w:color="auto"/>
        <w:bottom w:val="none" w:sz="0" w:space="0" w:color="auto"/>
        <w:right w:val="none" w:sz="0" w:space="0" w:color="auto"/>
      </w:divBdr>
    </w:div>
    <w:div w:id="357782917">
      <w:bodyDiv w:val="1"/>
      <w:marLeft w:val="0"/>
      <w:marRight w:val="0"/>
      <w:marTop w:val="0"/>
      <w:marBottom w:val="0"/>
      <w:divBdr>
        <w:top w:val="none" w:sz="0" w:space="0" w:color="auto"/>
        <w:left w:val="none" w:sz="0" w:space="0" w:color="auto"/>
        <w:bottom w:val="none" w:sz="0" w:space="0" w:color="auto"/>
        <w:right w:val="none" w:sz="0" w:space="0" w:color="auto"/>
      </w:divBdr>
    </w:div>
    <w:div w:id="375399770">
      <w:bodyDiv w:val="1"/>
      <w:marLeft w:val="0"/>
      <w:marRight w:val="0"/>
      <w:marTop w:val="0"/>
      <w:marBottom w:val="0"/>
      <w:divBdr>
        <w:top w:val="none" w:sz="0" w:space="0" w:color="auto"/>
        <w:left w:val="none" w:sz="0" w:space="0" w:color="auto"/>
        <w:bottom w:val="none" w:sz="0" w:space="0" w:color="auto"/>
        <w:right w:val="none" w:sz="0" w:space="0" w:color="auto"/>
      </w:divBdr>
    </w:div>
    <w:div w:id="386341682">
      <w:bodyDiv w:val="1"/>
      <w:marLeft w:val="0"/>
      <w:marRight w:val="0"/>
      <w:marTop w:val="0"/>
      <w:marBottom w:val="0"/>
      <w:divBdr>
        <w:top w:val="none" w:sz="0" w:space="0" w:color="auto"/>
        <w:left w:val="none" w:sz="0" w:space="0" w:color="auto"/>
        <w:bottom w:val="none" w:sz="0" w:space="0" w:color="auto"/>
        <w:right w:val="none" w:sz="0" w:space="0" w:color="auto"/>
      </w:divBdr>
    </w:div>
    <w:div w:id="389960068">
      <w:bodyDiv w:val="1"/>
      <w:marLeft w:val="0"/>
      <w:marRight w:val="0"/>
      <w:marTop w:val="0"/>
      <w:marBottom w:val="0"/>
      <w:divBdr>
        <w:top w:val="none" w:sz="0" w:space="0" w:color="auto"/>
        <w:left w:val="none" w:sz="0" w:space="0" w:color="auto"/>
        <w:bottom w:val="none" w:sz="0" w:space="0" w:color="auto"/>
        <w:right w:val="none" w:sz="0" w:space="0" w:color="auto"/>
      </w:divBdr>
    </w:div>
    <w:div w:id="398134113">
      <w:bodyDiv w:val="1"/>
      <w:marLeft w:val="0"/>
      <w:marRight w:val="0"/>
      <w:marTop w:val="0"/>
      <w:marBottom w:val="0"/>
      <w:divBdr>
        <w:top w:val="none" w:sz="0" w:space="0" w:color="auto"/>
        <w:left w:val="none" w:sz="0" w:space="0" w:color="auto"/>
        <w:bottom w:val="none" w:sz="0" w:space="0" w:color="auto"/>
        <w:right w:val="none" w:sz="0" w:space="0" w:color="auto"/>
      </w:divBdr>
    </w:div>
    <w:div w:id="461731123">
      <w:bodyDiv w:val="1"/>
      <w:marLeft w:val="0"/>
      <w:marRight w:val="0"/>
      <w:marTop w:val="0"/>
      <w:marBottom w:val="0"/>
      <w:divBdr>
        <w:top w:val="none" w:sz="0" w:space="0" w:color="auto"/>
        <w:left w:val="none" w:sz="0" w:space="0" w:color="auto"/>
        <w:bottom w:val="none" w:sz="0" w:space="0" w:color="auto"/>
        <w:right w:val="none" w:sz="0" w:space="0" w:color="auto"/>
      </w:divBdr>
    </w:div>
    <w:div w:id="558128674">
      <w:bodyDiv w:val="1"/>
      <w:marLeft w:val="0"/>
      <w:marRight w:val="0"/>
      <w:marTop w:val="0"/>
      <w:marBottom w:val="0"/>
      <w:divBdr>
        <w:top w:val="none" w:sz="0" w:space="0" w:color="auto"/>
        <w:left w:val="none" w:sz="0" w:space="0" w:color="auto"/>
        <w:bottom w:val="none" w:sz="0" w:space="0" w:color="auto"/>
        <w:right w:val="none" w:sz="0" w:space="0" w:color="auto"/>
      </w:divBdr>
    </w:div>
    <w:div w:id="693531056">
      <w:bodyDiv w:val="1"/>
      <w:marLeft w:val="0"/>
      <w:marRight w:val="0"/>
      <w:marTop w:val="0"/>
      <w:marBottom w:val="0"/>
      <w:divBdr>
        <w:top w:val="none" w:sz="0" w:space="0" w:color="auto"/>
        <w:left w:val="none" w:sz="0" w:space="0" w:color="auto"/>
        <w:bottom w:val="none" w:sz="0" w:space="0" w:color="auto"/>
        <w:right w:val="none" w:sz="0" w:space="0" w:color="auto"/>
      </w:divBdr>
    </w:div>
    <w:div w:id="757215853">
      <w:bodyDiv w:val="1"/>
      <w:marLeft w:val="0"/>
      <w:marRight w:val="0"/>
      <w:marTop w:val="0"/>
      <w:marBottom w:val="0"/>
      <w:divBdr>
        <w:top w:val="none" w:sz="0" w:space="0" w:color="auto"/>
        <w:left w:val="none" w:sz="0" w:space="0" w:color="auto"/>
        <w:bottom w:val="none" w:sz="0" w:space="0" w:color="auto"/>
        <w:right w:val="none" w:sz="0" w:space="0" w:color="auto"/>
      </w:divBdr>
    </w:div>
    <w:div w:id="805470094">
      <w:bodyDiv w:val="1"/>
      <w:marLeft w:val="0"/>
      <w:marRight w:val="0"/>
      <w:marTop w:val="0"/>
      <w:marBottom w:val="0"/>
      <w:divBdr>
        <w:top w:val="none" w:sz="0" w:space="0" w:color="auto"/>
        <w:left w:val="none" w:sz="0" w:space="0" w:color="auto"/>
        <w:bottom w:val="none" w:sz="0" w:space="0" w:color="auto"/>
        <w:right w:val="none" w:sz="0" w:space="0" w:color="auto"/>
      </w:divBdr>
    </w:div>
    <w:div w:id="900098391">
      <w:bodyDiv w:val="1"/>
      <w:marLeft w:val="0"/>
      <w:marRight w:val="0"/>
      <w:marTop w:val="0"/>
      <w:marBottom w:val="0"/>
      <w:divBdr>
        <w:top w:val="none" w:sz="0" w:space="0" w:color="auto"/>
        <w:left w:val="none" w:sz="0" w:space="0" w:color="auto"/>
        <w:bottom w:val="none" w:sz="0" w:space="0" w:color="auto"/>
        <w:right w:val="none" w:sz="0" w:space="0" w:color="auto"/>
      </w:divBdr>
    </w:div>
    <w:div w:id="1007446038">
      <w:bodyDiv w:val="1"/>
      <w:marLeft w:val="0"/>
      <w:marRight w:val="0"/>
      <w:marTop w:val="0"/>
      <w:marBottom w:val="0"/>
      <w:divBdr>
        <w:top w:val="none" w:sz="0" w:space="0" w:color="auto"/>
        <w:left w:val="none" w:sz="0" w:space="0" w:color="auto"/>
        <w:bottom w:val="none" w:sz="0" w:space="0" w:color="auto"/>
        <w:right w:val="none" w:sz="0" w:space="0" w:color="auto"/>
      </w:divBdr>
    </w:div>
    <w:div w:id="1016804819">
      <w:bodyDiv w:val="1"/>
      <w:marLeft w:val="0"/>
      <w:marRight w:val="0"/>
      <w:marTop w:val="0"/>
      <w:marBottom w:val="0"/>
      <w:divBdr>
        <w:top w:val="none" w:sz="0" w:space="0" w:color="auto"/>
        <w:left w:val="none" w:sz="0" w:space="0" w:color="auto"/>
        <w:bottom w:val="none" w:sz="0" w:space="0" w:color="auto"/>
        <w:right w:val="none" w:sz="0" w:space="0" w:color="auto"/>
      </w:divBdr>
    </w:div>
    <w:div w:id="1021709304">
      <w:bodyDiv w:val="1"/>
      <w:marLeft w:val="0"/>
      <w:marRight w:val="0"/>
      <w:marTop w:val="0"/>
      <w:marBottom w:val="0"/>
      <w:divBdr>
        <w:top w:val="none" w:sz="0" w:space="0" w:color="auto"/>
        <w:left w:val="none" w:sz="0" w:space="0" w:color="auto"/>
        <w:bottom w:val="none" w:sz="0" w:space="0" w:color="auto"/>
        <w:right w:val="none" w:sz="0" w:space="0" w:color="auto"/>
      </w:divBdr>
    </w:div>
    <w:div w:id="1030842118">
      <w:bodyDiv w:val="1"/>
      <w:marLeft w:val="0"/>
      <w:marRight w:val="0"/>
      <w:marTop w:val="0"/>
      <w:marBottom w:val="0"/>
      <w:divBdr>
        <w:top w:val="none" w:sz="0" w:space="0" w:color="auto"/>
        <w:left w:val="none" w:sz="0" w:space="0" w:color="auto"/>
        <w:bottom w:val="none" w:sz="0" w:space="0" w:color="auto"/>
        <w:right w:val="none" w:sz="0" w:space="0" w:color="auto"/>
      </w:divBdr>
    </w:div>
    <w:div w:id="1037240296">
      <w:bodyDiv w:val="1"/>
      <w:marLeft w:val="0"/>
      <w:marRight w:val="0"/>
      <w:marTop w:val="0"/>
      <w:marBottom w:val="0"/>
      <w:divBdr>
        <w:top w:val="none" w:sz="0" w:space="0" w:color="auto"/>
        <w:left w:val="none" w:sz="0" w:space="0" w:color="auto"/>
        <w:bottom w:val="none" w:sz="0" w:space="0" w:color="auto"/>
        <w:right w:val="none" w:sz="0" w:space="0" w:color="auto"/>
      </w:divBdr>
    </w:div>
    <w:div w:id="1037437428">
      <w:bodyDiv w:val="1"/>
      <w:marLeft w:val="0"/>
      <w:marRight w:val="0"/>
      <w:marTop w:val="0"/>
      <w:marBottom w:val="0"/>
      <w:divBdr>
        <w:top w:val="none" w:sz="0" w:space="0" w:color="auto"/>
        <w:left w:val="none" w:sz="0" w:space="0" w:color="auto"/>
        <w:bottom w:val="none" w:sz="0" w:space="0" w:color="auto"/>
        <w:right w:val="none" w:sz="0" w:space="0" w:color="auto"/>
      </w:divBdr>
    </w:div>
    <w:div w:id="1105808465">
      <w:bodyDiv w:val="1"/>
      <w:marLeft w:val="0"/>
      <w:marRight w:val="0"/>
      <w:marTop w:val="0"/>
      <w:marBottom w:val="0"/>
      <w:divBdr>
        <w:top w:val="none" w:sz="0" w:space="0" w:color="auto"/>
        <w:left w:val="none" w:sz="0" w:space="0" w:color="auto"/>
        <w:bottom w:val="none" w:sz="0" w:space="0" w:color="auto"/>
        <w:right w:val="none" w:sz="0" w:space="0" w:color="auto"/>
      </w:divBdr>
    </w:div>
    <w:div w:id="1115490223">
      <w:bodyDiv w:val="1"/>
      <w:marLeft w:val="0"/>
      <w:marRight w:val="0"/>
      <w:marTop w:val="0"/>
      <w:marBottom w:val="0"/>
      <w:divBdr>
        <w:top w:val="none" w:sz="0" w:space="0" w:color="auto"/>
        <w:left w:val="none" w:sz="0" w:space="0" w:color="auto"/>
        <w:bottom w:val="none" w:sz="0" w:space="0" w:color="auto"/>
        <w:right w:val="none" w:sz="0" w:space="0" w:color="auto"/>
      </w:divBdr>
    </w:div>
    <w:div w:id="1147623586">
      <w:bodyDiv w:val="1"/>
      <w:marLeft w:val="0"/>
      <w:marRight w:val="0"/>
      <w:marTop w:val="0"/>
      <w:marBottom w:val="0"/>
      <w:divBdr>
        <w:top w:val="none" w:sz="0" w:space="0" w:color="auto"/>
        <w:left w:val="none" w:sz="0" w:space="0" w:color="auto"/>
        <w:bottom w:val="none" w:sz="0" w:space="0" w:color="auto"/>
        <w:right w:val="none" w:sz="0" w:space="0" w:color="auto"/>
      </w:divBdr>
    </w:div>
    <w:div w:id="1203058817">
      <w:bodyDiv w:val="1"/>
      <w:marLeft w:val="0"/>
      <w:marRight w:val="0"/>
      <w:marTop w:val="0"/>
      <w:marBottom w:val="0"/>
      <w:divBdr>
        <w:top w:val="none" w:sz="0" w:space="0" w:color="auto"/>
        <w:left w:val="none" w:sz="0" w:space="0" w:color="auto"/>
        <w:bottom w:val="none" w:sz="0" w:space="0" w:color="auto"/>
        <w:right w:val="none" w:sz="0" w:space="0" w:color="auto"/>
      </w:divBdr>
    </w:div>
    <w:div w:id="1239288233">
      <w:bodyDiv w:val="1"/>
      <w:marLeft w:val="0"/>
      <w:marRight w:val="0"/>
      <w:marTop w:val="0"/>
      <w:marBottom w:val="0"/>
      <w:divBdr>
        <w:top w:val="none" w:sz="0" w:space="0" w:color="auto"/>
        <w:left w:val="none" w:sz="0" w:space="0" w:color="auto"/>
        <w:bottom w:val="none" w:sz="0" w:space="0" w:color="auto"/>
        <w:right w:val="none" w:sz="0" w:space="0" w:color="auto"/>
      </w:divBdr>
    </w:div>
    <w:div w:id="1264652596">
      <w:bodyDiv w:val="1"/>
      <w:marLeft w:val="0"/>
      <w:marRight w:val="0"/>
      <w:marTop w:val="0"/>
      <w:marBottom w:val="0"/>
      <w:divBdr>
        <w:top w:val="none" w:sz="0" w:space="0" w:color="auto"/>
        <w:left w:val="none" w:sz="0" w:space="0" w:color="auto"/>
        <w:bottom w:val="none" w:sz="0" w:space="0" w:color="auto"/>
        <w:right w:val="none" w:sz="0" w:space="0" w:color="auto"/>
      </w:divBdr>
    </w:div>
    <w:div w:id="1269775123">
      <w:bodyDiv w:val="1"/>
      <w:marLeft w:val="0"/>
      <w:marRight w:val="0"/>
      <w:marTop w:val="0"/>
      <w:marBottom w:val="0"/>
      <w:divBdr>
        <w:top w:val="none" w:sz="0" w:space="0" w:color="auto"/>
        <w:left w:val="none" w:sz="0" w:space="0" w:color="auto"/>
        <w:bottom w:val="none" w:sz="0" w:space="0" w:color="auto"/>
        <w:right w:val="none" w:sz="0" w:space="0" w:color="auto"/>
      </w:divBdr>
    </w:div>
    <w:div w:id="1279410270">
      <w:bodyDiv w:val="1"/>
      <w:marLeft w:val="0"/>
      <w:marRight w:val="0"/>
      <w:marTop w:val="0"/>
      <w:marBottom w:val="0"/>
      <w:divBdr>
        <w:top w:val="none" w:sz="0" w:space="0" w:color="auto"/>
        <w:left w:val="none" w:sz="0" w:space="0" w:color="auto"/>
        <w:bottom w:val="none" w:sz="0" w:space="0" w:color="auto"/>
        <w:right w:val="none" w:sz="0" w:space="0" w:color="auto"/>
      </w:divBdr>
    </w:div>
    <w:div w:id="1387221817">
      <w:bodyDiv w:val="1"/>
      <w:marLeft w:val="0"/>
      <w:marRight w:val="0"/>
      <w:marTop w:val="0"/>
      <w:marBottom w:val="0"/>
      <w:divBdr>
        <w:top w:val="none" w:sz="0" w:space="0" w:color="auto"/>
        <w:left w:val="none" w:sz="0" w:space="0" w:color="auto"/>
        <w:bottom w:val="none" w:sz="0" w:space="0" w:color="auto"/>
        <w:right w:val="none" w:sz="0" w:space="0" w:color="auto"/>
      </w:divBdr>
    </w:div>
    <w:div w:id="1388994121">
      <w:bodyDiv w:val="1"/>
      <w:marLeft w:val="0"/>
      <w:marRight w:val="0"/>
      <w:marTop w:val="0"/>
      <w:marBottom w:val="0"/>
      <w:divBdr>
        <w:top w:val="none" w:sz="0" w:space="0" w:color="auto"/>
        <w:left w:val="none" w:sz="0" w:space="0" w:color="auto"/>
        <w:bottom w:val="none" w:sz="0" w:space="0" w:color="auto"/>
        <w:right w:val="none" w:sz="0" w:space="0" w:color="auto"/>
      </w:divBdr>
    </w:div>
    <w:div w:id="1389649322">
      <w:bodyDiv w:val="1"/>
      <w:marLeft w:val="0"/>
      <w:marRight w:val="0"/>
      <w:marTop w:val="0"/>
      <w:marBottom w:val="0"/>
      <w:divBdr>
        <w:top w:val="none" w:sz="0" w:space="0" w:color="auto"/>
        <w:left w:val="none" w:sz="0" w:space="0" w:color="auto"/>
        <w:bottom w:val="none" w:sz="0" w:space="0" w:color="auto"/>
        <w:right w:val="none" w:sz="0" w:space="0" w:color="auto"/>
      </w:divBdr>
    </w:div>
    <w:div w:id="1404909216">
      <w:bodyDiv w:val="1"/>
      <w:marLeft w:val="0"/>
      <w:marRight w:val="0"/>
      <w:marTop w:val="0"/>
      <w:marBottom w:val="0"/>
      <w:divBdr>
        <w:top w:val="none" w:sz="0" w:space="0" w:color="auto"/>
        <w:left w:val="none" w:sz="0" w:space="0" w:color="auto"/>
        <w:bottom w:val="none" w:sz="0" w:space="0" w:color="auto"/>
        <w:right w:val="none" w:sz="0" w:space="0" w:color="auto"/>
      </w:divBdr>
    </w:div>
    <w:div w:id="1414544037">
      <w:bodyDiv w:val="1"/>
      <w:marLeft w:val="0"/>
      <w:marRight w:val="0"/>
      <w:marTop w:val="0"/>
      <w:marBottom w:val="0"/>
      <w:divBdr>
        <w:top w:val="none" w:sz="0" w:space="0" w:color="auto"/>
        <w:left w:val="none" w:sz="0" w:space="0" w:color="auto"/>
        <w:bottom w:val="none" w:sz="0" w:space="0" w:color="auto"/>
        <w:right w:val="none" w:sz="0" w:space="0" w:color="auto"/>
      </w:divBdr>
    </w:div>
    <w:div w:id="1494562485">
      <w:bodyDiv w:val="1"/>
      <w:marLeft w:val="0"/>
      <w:marRight w:val="0"/>
      <w:marTop w:val="0"/>
      <w:marBottom w:val="0"/>
      <w:divBdr>
        <w:top w:val="none" w:sz="0" w:space="0" w:color="auto"/>
        <w:left w:val="none" w:sz="0" w:space="0" w:color="auto"/>
        <w:bottom w:val="none" w:sz="0" w:space="0" w:color="auto"/>
        <w:right w:val="none" w:sz="0" w:space="0" w:color="auto"/>
      </w:divBdr>
    </w:div>
    <w:div w:id="1512796530">
      <w:bodyDiv w:val="1"/>
      <w:marLeft w:val="0"/>
      <w:marRight w:val="0"/>
      <w:marTop w:val="0"/>
      <w:marBottom w:val="0"/>
      <w:divBdr>
        <w:top w:val="none" w:sz="0" w:space="0" w:color="auto"/>
        <w:left w:val="none" w:sz="0" w:space="0" w:color="auto"/>
        <w:bottom w:val="none" w:sz="0" w:space="0" w:color="auto"/>
        <w:right w:val="none" w:sz="0" w:space="0" w:color="auto"/>
      </w:divBdr>
    </w:div>
    <w:div w:id="1516117815">
      <w:bodyDiv w:val="1"/>
      <w:marLeft w:val="0"/>
      <w:marRight w:val="0"/>
      <w:marTop w:val="0"/>
      <w:marBottom w:val="0"/>
      <w:divBdr>
        <w:top w:val="none" w:sz="0" w:space="0" w:color="auto"/>
        <w:left w:val="none" w:sz="0" w:space="0" w:color="auto"/>
        <w:bottom w:val="none" w:sz="0" w:space="0" w:color="auto"/>
        <w:right w:val="none" w:sz="0" w:space="0" w:color="auto"/>
      </w:divBdr>
    </w:div>
    <w:div w:id="1539320435">
      <w:bodyDiv w:val="1"/>
      <w:marLeft w:val="0"/>
      <w:marRight w:val="0"/>
      <w:marTop w:val="0"/>
      <w:marBottom w:val="0"/>
      <w:divBdr>
        <w:top w:val="none" w:sz="0" w:space="0" w:color="auto"/>
        <w:left w:val="none" w:sz="0" w:space="0" w:color="auto"/>
        <w:bottom w:val="none" w:sz="0" w:space="0" w:color="auto"/>
        <w:right w:val="none" w:sz="0" w:space="0" w:color="auto"/>
      </w:divBdr>
    </w:div>
    <w:div w:id="1577284129">
      <w:bodyDiv w:val="1"/>
      <w:marLeft w:val="0"/>
      <w:marRight w:val="0"/>
      <w:marTop w:val="0"/>
      <w:marBottom w:val="0"/>
      <w:divBdr>
        <w:top w:val="none" w:sz="0" w:space="0" w:color="auto"/>
        <w:left w:val="none" w:sz="0" w:space="0" w:color="auto"/>
        <w:bottom w:val="none" w:sz="0" w:space="0" w:color="auto"/>
        <w:right w:val="none" w:sz="0" w:space="0" w:color="auto"/>
      </w:divBdr>
    </w:div>
    <w:div w:id="1739084820">
      <w:bodyDiv w:val="1"/>
      <w:marLeft w:val="0"/>
      <w:marRight w:val="0"/>
      <w:marTop w:val="0"/>
      <w:marBottom w:val="0"/>
      <w:divBdr>
        <w:top w:val="none" w:sz="0" w:space="0" w:color="auto"/>
        <w:left w:val="none" w:sz="0" w:space="0" w:color="auto"/>
        <w:bottom w:val="none" w:sz="0" w:space="0" w:color="auto"/>
        <w:right w:val="none" w:sz="0" w:space="0" w:color="auto"/>
      </w:divBdr>
    </w:div>
    <w:div w:id="1769426533">
      <w:bodyDiv w:val="1"/>
      <w:marLeft w:val="0"/>
      <w:marRight w:val="0"/>
      <w:marTop w:val="0"/>
      <w:marBottom w:val="0"/>
      <w:divBdr>
        <w:top w:val="none" w:sz="0" w:space="0" w:color="auto"/>
        <w:left w:val="none" w:sz="0" w:space="0" w:color="auto"/>
        <w:bottom w:val="none" w:sz="0" w:space="0" w:color="auto"/>
        <w:right w:val="none" w:sz="0" w:space="0" w:color="auto"/>
      </w:divBdr>
    </w:div>
    <w:div w:id="1836071401">
      <w:bodyDiv w:val="1"/>
      <w:marLeft w:val="0"/>
      <w:marRight w:val="0"/>
      <w:marTop w:val="0"/>
      <w:marBottom w:val="0"/>
      <w:divBdr>
        <w:top w:val="none" w:sz="0" w:space="0" w:color="auto"/>
        <w:left w:val="none" w:sz="0" w:space="0" w:color="auto"/>
        <w:bottom w:val="none" w:sz="0" w:space="0" w:color="auto"/>
        <w:right w:val="none" w:sz="0" w:space="0" w:color="auto"/>
      </w:divBdr>
    </w:div>
    <w:div w:id="1925456831">
      <w:bodyDiv w:val="1"/>
      <w:marLeft w:val="0"/>
      <w:marRight w:val="0"/>
      <w:marTop w:val="0"/>
      <w:marBottom w:val="0"/>
      <w:divBdr>
        <w:top w:val="none" w:sz="0" w:space="0" w:color="auto"/>
        <w:left w:val="none" w:sz="0" w:space="0" w:color="auto"/>
        <w:bottom w:val="none" w:sz="0" w:space="0" w:color="auto"/>
        <w:right w:val="none" w:sz="0" w:space="0" w:color="auto"/>
      </w:divBdr>
    </w:div>
    <w:div w:id="1928418421">
      <w:bodyDiv w:val="1"/>
      <w:marLeft w:val="0"/>
      <w:marRight w:val="0"/>
      <w:marTop w:val="0"/>
      <w:marBottom w:val="0"/>
      <w:divBdr>
        <w:top w:val="none" w:sz="0" w:space="0" w:color="auto"/>
        <w:left w:val="none" w:sz="0" w:space="0" w:color="auto"/>
        <w:bottom w:val="none" w:sz="0" w:space="0" w:color="auto"/>
        <w:right w:val="none" w:sz="0" w:space="0" w:color="auto"/>
      </w:divBdr>
    </w:div>
    <w:div w:id="2024093167">
      <w:bodyDiv w:val="1"/>
      <w:marLeft w:val="0"/>
      <w:marRight w:val="0"/>
      <w:marTop w:val="0"/>
      <w:marBottom w:val="0"/>
      <w:divBdr>
        <w:top w:val="none" w:sz="0" w:space="0" w:color="auto"/>
        <w:left w:val="none" w:sz="0" w:space="0" w:color="auto"/>
        <w:bottom w:val="none" w:sz="0" w:space="0" w:color="auto"/>
        <w:right w:val="none" w:sz="0" w:space="0" w:color="auto"/>
      </w:divBdr>
    </w:div>
    <w:div w:id="2028630705">
      <w:bodyDiv w:val="1"/>
      <w:marLeft w:val="0"/>
      <w:marRight w:val="0"/>
      <w:marTop w:val="0"/>
      <w:marBottom w:val="0"/>
      <w:divBdr>
        <w:top w:val="none" w:sz="0" w:space="0" w:color="auto"/>
        <w:left w:val="none" w:sz="0" w:space="0" w:color="auto"/>
        <w:bottom w:val="none" w:sz="0" w:space="0" w:color="auto"/>
        <w:right w:val="none" w:sz="0" w:space="0" w:color="auto"/>
      </w:divBdr>
    </w:div>
    <w:div w:id="2078741087">
      <w:bodyDiv w:val="1"/>
      <w:marLeft w:val="0"/>
      <w:marRight w:val="0"/>
      <w:marTop w:val="0"/>
      <w:marBottom w:val="0"/>
      <w:divBdr>
        <w:top w:val="none" w:sz="0" w:space="0" w:color="auto"/>
        <w:left w:val="none" w:sz="0" w:space="0" w:color="auto"/>
        <w:bottom w:val="none" w:sz="0" w:space="0" w:color="auto"/>
        <w:right w:val="none" w:sz="0" w:space="0" w:color="auto"/>
      </w:divBdr>
    </w:div>
    <w:div w:id="209007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183AA-41A7-412B-8EC5-FDF88151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4955</TotalTime>
  <Pages>4</Pages>
  <Words>1563</Words>
  <Characters>8600</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Binaria</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CGE</dc:creator>
  <cp:lastModifiedBy>Mauricio Camposano Ibarra</cp:lastModifiedBy>
  <cp:revision>300</cp:revision>
  <cp:lastPrinted>2013-05-31T20:49:00Z</cp:lastPrinted>
  <dcterms:created xsi:type="dcterms:W3CDTF">2016-11-23T19:40:00Z</dcterms:created>
  <dcterms:modified xsi:type="dcterms:W3CDTF">2021-05-05T23:45:00Z</dcterms:modified>
</cp:coreProperties>
</file>