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4A364" w14:textId="726E9624" w:rsidR="00852402" w:rsidRDefault="00C1418F" w:rsidP="00852402">
      <w:pPr>
        <w:spacing w:after="0"/>
        <w:jc w:val="right"/>
        <w:rPr>
          <w:b/>
          <w:lang w:val="es-ES"/>
        </w:rPr>
      </w:pPr>
      <w:r>
        <w:rPr>
          <w:b/>
          <w:lang w:val="es-ES"/>
        </w:rPr>
        <w:t xml:space="preserve">Valparaíso, </w:t>
      </w:r>
      <w:r w:rsidR="002A0C7D">
        <w:rPr>
          <w:b/>
          <w:lang w:val="es-ES"/>
        </w:rPr>
        <w:t>05</w:t>
      </w:r>
      <w:r w:rsidR="00852402">
        <w:rPr>
          <w:b/>
          <w:lang w:val="es-ES"/>
        </w:rPr>
        <w:t xml:space="preserve"> </w:t>
      </w:r>
      <w:r>
        <w:rPr>
          <w:b/>
          <w:lang w:val="es-ES"/>
        </w:rPr>
        <w:t>de</w:t>
      </w:r>
      <w:r w:rsidR="00F118A6">
        <w:rPr>
          <w:b/>
          <w:lang w:val="es-ES"/>
        </w:rPr>
        <w:t xml:space="preserve"> </w:t>
      </w:r>
      <w:r w:rsidR="002A0C7D">
        <w:rPr>
          <w:b/>
          <w:lang w:val="es-ES"/>
        </w:rPr>
        <w:t xml:space="preserve">mayo </w:t>
      </w:r>
      <w:r w:rsidR="00F62250">
        <w:rPr>
          <w:b/>
          <w:lang w:val="es-ES"/>
        </w:rPr>
        <w:t>2021</w:t>
      </w:r>
    </w:p>
    <w:p w14:paraId="0F0CE515" w14:textId="77777777" w:rsidR="00F12415" w:rsidRDefault="00F12415" w:rsidP="009D0D3E">
      <w:pPr>
        <w:spacing w:after="0"/>
        <w:rPr>
          <w:b/>
          <w:lang w:val="es-ES"/>
        </w:rPr>
      </w:pPr>
    </w:p>
    <w:p w14:paraId="7CBD217B" w14:textId="140006A5" w:rsidR="00C1418F" w:rsidRDefault="00C1418F" w:rsidP="009D0D3E">
      <w:pPr>
        <w:spacing w:after="0"/>
        <w:rPr>
          <w:lang w:val="es-ES"/>
        </w:rPr>
      </w:pPr>
      <w:r>
        <w:rPr>
          <w:b/>
          <w:lang w:val="es-ES"/>
        </w:rPr>
        <w:t xml:space="preserve">Asunto: </w:t>
      </w:r>
      <w:r w:rsidRPr="00C1418F">
        <w:rPr>
          <w:lang w:val="es-ES"/>
        </w:rPr>
        <w:t xml:space="preserve">Observaciones </w:t>
      </w:r>
      <w:r w:rsidR="00F6222A">
        <w:rPr>
          <w:lang w:val="es-ES"/>
        </w:rPr>
        <w:t>–</w:t>
      </w:r>
      <w:r w:rsidRPr="00C1418F">
        <w:rPr>
          <w:lang w:val="es-ES"/>
        </w:rPr>
        <w:t xml:space="preserve"> </w:t>
      </w:r>
      <w:r w:rsidR="00F6222A">
        <w:rPr>
          <w:lang w:val="es-ES"/>
        </w:rPr>
        <w:t xml:space="preserve">CNE OF. ORD. </w:t>
      </w:r>
      <w:r w:rsidR="00F62250">
        <w:rPr>
          <w:lang w:val="es-ES"/>
        </w:rPr>
        <w:t>278</w:t>
      </w:r>
      <w:r w:rsidR="00DC2204">
        <w:rPr>
          <w:lang w:val="es-ES"/>
        </w:rPr>
        <w:t xml:space="preserve"> -</w:t>
      </w:r>
      <w:r w:rsidR="00852402">
        <w:rPr>
          <w:lang w:val="es-ES"/>
        </w:rPr>
        <w:t xml:space="preserve"> ITP PNP </w:t>
      </w:r>
      <w:r w:rsidR="00F62250">
        <w:rPr>
          <w:lang w:val="es-ES"/>
        </w:rPr>
        <w:t>julio</w:t>
      </w:r>
      <w:r w:rsidR="00852402">
        <w:rPr>
          <w:lang w:val="es-ES"/>
        </w:rPr>
        <w:t xml:space="preserve"> 202</w:t>
      </w:r>
      <w:r w:rsidR="00F118A6">
        <w:rPr>
          <w:lang w:val="es-ES"/>
        </w:rPr>
        <w:t>1</w:t>
      </w:r>
    </w:p>
    <w:p w14:paraId="7EBA5721" w14:textId="77777777" w:rsidR="00852402" w:rsidRDefault="00852402" w:rsidP="009D0D3E">
      <w:pPr>
        <w:spacing w:after="0"/>
        <w:rPr>
          <w:b/>
          <w:lang w:val="es-ES"/>
        </w:rPr>
      </w:pPr>
    </w:p>
    <w:p w14:paraId="4DAD791C" w14:textId="77777777" w:rsidR="00C1418F" w:rsidRDefault="000E5BE9" w:rsidP="009D0D3E">
      <w:pPr>
        <w:spacing w:after="0"/>
        <w:rPr>
          <w:b/>
          <w:lang w:val="es-ES"/>
        </w:rPr>
      </w:pPr>
      <w:r>
        <w:rPr>
          <w:b/>
          <w:lang w:val="es-ES"/>
        </w:rPr>
        <w:t>Comisión Nacional de Energía</w:t>
      </w:r>
    </w:p>
    <w:p w14:paraId="130C0536" w14:textId="77777777" w:rsidR="00EE02C6" w:rsidRPr="006A28CE" w:rsidRDefault="00EE02C6" w:rsidP="009D0D3E">
      <w:pPr>
        <w:spacing w:after="0"/>
        <w:rPr>
          <w:lang w:val="es-ES"/>
        </w:rPr>
      </w:pPr>
    </w:p>
    <w:p w14:paraId="4F309A85" w14:textId="15B5F854" w:rsidR="00C1418F" w:rsidRDefault="00C1418F" w:rsidP="00C1418F">
      <w:pPr>
        <w:spacing w:after="0"/>
        <w:jc w:val="both"/>
        <w:rPr>
          <w:lang w:val="es-ES"/>
        </w:rPr>
      </w:pPr>
      <w:r>
        <w:rPr>
          <w:lang w:val="es-ES"/>
        </w:rPr>
        <w:t xml:space="preserve">Señores </w:t>
      </w:r>
      <w:r w:rsidR="00F6222A">
        <w:rPr>
          <w:lang w:val="es-ES"/>
        </w:rPr>
        <w:t>Comisión Nacional de Energía</w:t>
      </w:r>
      <w:r>
        <w:rPr>
          <w:lang w:val="es-ES"/>
        </w:rPr>
        <w:t>, mediante la presente</w:t>
      </w:r>
      <w:r w:rsidR="00F12415">
        <w:rPr>
          <w:lang w:val="es-ES"/>
        </w:rPr>
        <w:t>,</w:t>
      </w:r>
      <w:r>
        <w:rPr>
          <w:lang w:val="es-ES"/>
        </w:rPr>
        <w:t xml:space="preserve"> </w:t>
      </w:r>
      <w:r w:rsidR="009078F6">
        <w:rPr>
          <w:lang w:val="es-ES"/>
        </w:rPr>
        <w:t xml:space="preserve">el </w:t>
      </w:r>
      <w:r>
        <w:rPr>
          <w:lang w:val="es-ES"/>
        </w:rPr>
        <w:t xml:space="preserve">grupo de empresas Chilquinta </w:t>
      </w:r>
      <w:r w:rsidR="00150437">
        <w:rPr>
          <w:lang w:val="es-ES"/>
        </w:rPr>
        <w:t>envía</w:t>
      </w:r>
      <w:r w:rsidR="00F6222A">
        <w:rPr>
          <w:lang w:val="es-ES"/>
        </w:rPr>
        <w:t xml:space="preserve"> sus observaciones al </w:t>
      </w:r>
      <w:r w:rsidR="00F6222A" w:rsidRPr="00F6222A">
        <w:rPr>
          <w:lang w:val="es-ES"/>
        </w:rPr>
        <w:t xml:space="preserve">Informe Técnico </w:t>
      </w:r>
      <w:r w:rsidR="00F6222A">
        <w:rPr>
          <w:lang w:val="es-ES"/>
        </w:rPr>
        <w:t xml:space="preserve">Preliminar </w:t>
      </w:r>
      <w:r w:rsidR="00F6222A" w:rsidRPr="00F6222A">
        <w:rPr>
          <w:lang w:val="es-ES"/>
        </w:rPr>
        <w:t xml:space="preserve">para la Fijación de Precios de Nudo Promedio del Sistema Eléctrico Nacional y </w:t>
      </w:r>
      <w:r w:rsidR="00852402">
        <w:rPr>
          <w:lang w:val="es-ES"/>
        </w:rPr>
        <w:t>del factor de ajuste a que se refiere el numeral 3. del artículo 1° de la Ley N°21.185</w:t>
      </w:r>
    </w:p>
    <w:p w14:paraId="010479E6" w14:textId="23C515B1" w:rsidR="00E317FD" w:rsidRDefault="00E317FD" w:rsidP="00C1418F">
      <w:pPr>
        <w:spacing w:after="0"/>
        <w:jc w:val="both"/>
        <w:rPr>
          <w:lang w:val="es-ES"/>
        </w:rPr>
      </w:pPr>
    </w:p>
    <w:p w14:paraId="5ADDF66D" w14:textId="2EF28C5F" w:rsidR="00E317FD" w:rsidRDefault="00E317FD" w:rsidP="00E317FD">
      <w:pPr>
        <w:pStyle w:val="Prrafodelista"/>
        <w:numPr>
          <w:ilvl w:val="0"/>
          <w:numId w:val="3"/>
        </w:numPr>
        <w:spacing w:after="0"/>
        <w:rPr>
          <w:b/>
          <w:lang w:val="es-ES"/>
        </w:rPr>
      </w:pPr>
      <w:r w:rsidRPr="00E317FD">
        <w:rPr>
          <w:b/>
          <w:lang w:val="es-ES"/>
        </w:rPr>
        <w:t>Modelo PNP Julio 2021_V1_8</w:t>
      </w:r>
    </w:p>
    <w:p w14:paraId="7E8CE0F9" w14:textId="5E06E5AD" w:rsidR="00884F03" w:rsidRDefault="00884F03" w:rsidP="00884F03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Referencia del archivo</w:t>
      </w:r>
    </w:p>
    <w:p w14:paraId="09C9DE1B" w14:textId="77777777" w:rsidR="00884F03" w:rsidRPr="009C604F" w:rsidRDefault="00884F03" w:rsidP="00884F03">
      <w:pPr>
        <w:pStyle w:val="Prrafodelista"/>
        <w:spacing w:after="0"/>
        <w:ind w:left="708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0BFC5DDB" w14:textId="00EACB73" w:rsidR="00884F03" w:rsidRDefault="00884F03" w:rsidP="00884F03">
      <w:pPr>
        <w:pStyle w:val="Prrafodelista"/>
        <w:spacing w:after="0"/>
        <w:ind w:left="708"/>
        <w:jc w:val="both"/>
        <w:rPr>
          <w:lang w:val="es-ES"/>
        </w:rPr>
      </w:pPr>
      <w:r>
        <w:rPr>
          <w:lang w:val="es-ES"/>
        </w:rPr>
        <w:t xml:space="preserve">La referencia de los valores que aparecen en este archivo no corresponden a los que fueron enviados como </w:t>
      </w:r>
      <w:r w:rsidR="000217FD">
        <w:rPr>
          <w:lang w:val="es-ES"/>
        </w:rPr>
        <w:t xml:space="preserve">archivos de </w:t>
      </w:r>
      <w:r>
        <w:rPr>
          <w:lang w:val="es-ES"/>
        </w:rPr>
        <w:t xml:space="preserve">respaldo. Por ejemplo, en la Hoja Factor del Modelo PNP, celda AG18, hace referencia al archivo 045_RESUMENEFACT_2107_V1, Hoja Saldo </w:t>
      </w:r>
      <w:proofErr w:type="spellStart"/>
      <w:r>
        <w:rPr>
          <w:lang w:val="es-ES"/>
        </w:rPr>
        <w:t>DxGxCC</w:t>
      </w:r>
      <w:proofErr w:type="spellEnd"/>
      <w:r>
        <w:rPr>
          <w:lang w:val="es-ES"/>
        </w:rPr>
        <w:t>, celda Y3, mientras que, si uno mira ese archivo</w:t>
      </w:r>
      <w:r w:rsidR="00884078">
        <w:rPr>
          <w:lang w:val="es-ES"/>
        </w:rPr>
        <w:t xml:space="preserve"> (045_RESUMENEFACT_2107_V1)</w:t>
      </w:r>
      <w:r>
        <w:rPr>
          <w:lang w:val="es-ES"/>
        </w:rPr>
        <w:t xml:space="preserve">, la información se encuentra </w:t>
      </w:r>
      <w:r w:rsidR="00884078">
        <w:rPr>
          <w:lang w:val="es-ES"/>
        </w:rPr>
        <w:t xml:space="preserve">en la misma hoja, pero </w:t>
      </w:r>
      <w:r>
        <w:rPr>
          <w:lang w:val="es-ES"/>
        </w:rPr>
        <w:t>en la celda P3.</w:t>
      </w:r>
      <w:r w:rsidR="001C71AB">
        <w:rPr>
          <w:lang w:val="es-ES"/>
        </w:rPr>
        <w:t xml:space="preserve"> </w:t>
      </w:r>
      <w:r w:rsidR="00E85A82">
        <w:rPr>
          <w:lang w:val="es-ES"/>
        </w:rPr>
        <w:t>Además, la referencia se realiza al archivo ubicado en la carpeta 05. Modelo, carpeta en que este archivo no está incluido.</w:t>
      </w:r>
    </w:p>
    <w:p w14:paraId="45402676" w14:textId="6ECB655C" w:rsidR="00884F03" w:rsidRPr="009C604F" w:rsidRDefault="00884F03" w:rsidP="00884F03">
      <w:pPr>
        <w:pStyle w:val="Prrafodelista"/>
        <w:spacing w:after="0"/>
        <w:ind w:left="708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622FDB4F" w14:textId="16360B4D" w:rsidR="00E93080" w:rsidRDefault="00884F03" w:rsidP="00E93080">
      <w:pPr>
        <w:pStyle w:val="Prrafodelista"/>
        <w:spacing w:after="0"/>
        <w:ind w:left="708"/>
        <w:jc w:val="both"/>
        <w:rPr>
          <w:lang w:val="es-ES"/>
        </w:rPr>
      </w:pPr>
      <w:r>
        <w:rPr>
          <w:lang w:val="es-ES"/>
        </w:rPr>
        <w:t xml:space="preserve">Se solicita </w:t>
      </w:r>
      <w:r w:rsidR="00884078">
        <w:rPr>
          <w:lang w:val="es-ES"/>
        </w:rPr>
        <w:t>enviar los archivos correctamente referenciados para realizar el seguimiento adecuado de los mismos.</w:t>
      </w:r>
    </w:p>
    <w:p w14:paraId="7EAFF760" w14:textId="34314615" w:rsidR="000217FD" w:rsidRPr="000217FD" w:rsidRDefault="000217FD" w:rsidP="000217FD">
      <w:pPr>
        <w:spacing w:after="0"/>
        <w:jc w:val="both"/>
        <w:rPr>
          <w:lang w:val="es-ES"/>
        </w:rPr>
      </w:pPr>
    </w:p>
    <w:p w14:paraId="3FB20700" w14:textId="77777777" w:rsidR="000217FD" w:rsidRDefault="000217FD" w:rsidP="000217FD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Saldos a Suministradoras (Hoja Factor)</w:t>
      </w:r>
    </w:p>
    <w:p w14:paraId="2BC35ED9" w14:textId="77777777" w:rsidR="000217FD" w:rsidRPr="00884078" w:rsidRDefault="000217FD" w:rsidP="000217FD">
      <w:pPr>
        <w:spacing w:after="0"/>
        <w:ind w:left="708"/>
        <w:rPr>
          <w:b/>
          <w:u w:val="single"/>
          <w:lang w:val="es-ES"/>
        </w:rPr>
      </w:pPr>
      <w:r w:rsidRPr="00884078">
        <w:rPr>
          <w:b/>
          <w:u w:val="single"/>
          <w:lang w:val="es-ES"/>
        </w:rPr>
        <w:t>Descripción:</w:t>
      </w:r>
    </w:p>
    <w:p w14:paraId="011A6821" w14:textId="724F6FDE" w:rsidR="000217FD" w:rsidRDefault="000217FD" w:rsidP="000217FD">
      <w:pPr>
        <w:pStyle w:val="Prrafodelista"/>
        <w:spacing w:after="0"/>
        <w:jc w:val="both"/>
        <w:rPr>
          <w:lang w:val="es-ES"/>
        </w:rPr>
      </w:pPr>
      <w:r w:rsidRPr="00884078">
        <w:rPr>
          <w:lang w:val="es-ES"/>
        </w:rPr>
        <w:t xml:space="preserve">El detalle a los </w:t>
      </w:r>
      <w:r>
        <w:rPr>
          <w:lang w:val="es-ES"/>
        </w:rPr>
        <w:t>saldos a suministradores</w:t>
      </w:r>
      <w:r w:rsidR="001C71AB">
        <w:rPr>
          <w:lang w:val="es-ES"/>
        </w:rPr>
        <w:t xml:space="preserve"> en el apartado “Devolución Suministradoras a </w:t>
      </w:r>
      <w:proofErr w:type="spellStart"/>
      <w:r w:rsidR="001C71AB">
        <w:rPr>
          <w:lang w:val="es-ES"/>
        </w:rPr>
        <w:t>Dsitribuidoras</w:t>
      </w:r>
      <w:proofErr w:type="spellEnd"/>
      <w:r w:rsidR="001C71AB">
        <w:rPr>
          <w:lang w:val="es-ES"/>
        </w:rPr>
        <w:t>”</w:t>
      </w:r>
      <w:r>
        <w:rPr>
          <w:lang w:val="es-ES"/>
        </w:rPr>
        <w:t xml:space="preserve"> </w:t>
      </w:r>
      <w:r w:rsidR="001C71AB">
        <w:rPr>
          <w:lang w:val="es-ES"/>
        </w:rPr>
        <w:t xml:space="preserve">no contiene las cifras asociadas </w:t>
      </w:r>
      <w:r>
        <w:rPr>
          <w:lang w:val="es-ES"/>
        </w:rPr>
        <w:t xml:space="preserve">a los Saldos (Periodo octubre 2020-febrero 2021), </w:t>
      </w:r>
      <w:r w:rsidR="001C71AB">
        <w:rPr>
          <w:lang w:val="es-ES"/>
        </w:rPr>
        <w:t>que ascienden a</w:t>
      </w:r>
      <w:r>
        <w:rPr>
          <w:lang w:val="es-ES"/>
        </w:rPr>
        <w:t xml:space="preserve"> 937.049 USD. Lo anterior, realizando la revisión con el archivo de respaldo disponible.</w:t>
      </w:r>
    </w:p>
    <w:p w14:paraId="6D195D6D" w14:textId="77777777" w:rsidR="000217FD" w:rsidRPr="00884078" w:rsidRDefault="000217FD" w:rsidP="000217FD">
      <w:pPr>
        <w:pStyle w:val="Prrafodelista"/>
        <w:spacing w:after="0"/>
        <w:jc w:val="both"/>
        <w:rPr>
          <w:lang w:val="es-ES"/>
        </w:rPr>
      </w:pPr>
    </w:p>
    <w:p w14:paraId="01221B95" w14:textId="77777777" w:rsidR="000217FD" w:rsidRPr="009C604F" w:rsidRDefault="000217FD" w:rsidP="000217FD">
      <w:pPr>
        <w:pStyle w:val="Prrafodelista"/>
        <w:spacing w:after="0"/>
        <w:ind w:left="708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3156D5B6" w14:textId="6C839DB1" w:rsidR="000217FD" w:rsidRPr="000217FD" w:rsidRDefault="000217FD" w:rsidP="000217FD">
      <w:pPr>
        <w:pStyle w:val="Prrafodelista"/>
        <w:spacing w:after="0"/>
        <w:ind w:left="708"/>
        <w:jc w:val="both"/>
        <w:rPr>
          <w:lang w:val="es-ES"/>
        </w:rPr>
      </w:pPr>
      <w:r>
        <w:rPr>
          <w:lang w:val="es-ES"/>
        </w:rPr>
        <w:t xml:space="preserve">Se solicita revisar y corregir en caso </w:t>
      </w:r>
      <w:r w:rsidR="001C71AB">
        <w:rPr>
          <w:lang w:val="es-ES"/>
        </w:rPr>
        <w:t xml:space="preserve">de </w:t>
      </w:r>
      <w:r>
        <w:rPr>
          <w:lang w:val="es-ES"/>
        </w:rPr>
        <w:t xml:space="preserve">que </w:t>
      </w:r>
      <w:r w:rsidR="001C71AB">
        <w:rPr>
          <w:lang w:val="es-ES"/>
        </w:rPr>
        <w:t>corresponda</w:t>
      </w:r>
      <w:r>
        <w:rPr>
          <w:lang w:val="es-ES"/>
        </w:rPr>
        <w:t xml:space="preserve"> </w:t>
      </w:r>
      <w:r w:rsidR="001C71AB">
        <w:rPr>
          <w:lang w:val="es-ES"/>
        </w:rPr>
        <w:t xml:space="preserve">considerar </w:t>
      </w:r>
      <w:r>
        <w:rPr>
          <w:lang w:val="es-ES"/>
        </w:rPr>
        <w:t>el monto indicado anteriormente</w:t>
      </w:r>
      <w:r w:rsidR="001C71AB">
        <w:rPr>
          <w:lang w:val="es-ES"/>
        </w:rPr>
        <w:t xml:space="preserve"> o indicar la razón para no agregarlo</w:t>
      </w:r>
      <w:r>
        <w:rPr>
          <w:lang w:val="es-ES"/>
        </w:rPr>
        <w:t>.</w:t>
      </w:r>
    </w:p>
    <w:p w14:paraId="4817439E" w14:textId="3F89D219" w:rsidR="00884078" w:rsidRDefault="00884078" w:rsidP="00884F03">
      <w:pPr>
        <w:pStyle w:val="Prrafodelista"/>
        <w:spacing w:after="0"/>
        <w:ind w:left="708"/>
        <w:jc w:val="both"/>
        <w:rPr>
          <w:lang w:val="es-ES"/>
        </w:rPr>
      </w:pPr>
    </w:p>
    <w:p w14:paraId="23BE5BBC" w14:textId="6B35E864" w:rsidR="00884078" w:rsidRDefault="00884078" w:rsidP="00884078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Saldos a Suministradoras (Hoja Factor)</w:t>
      </w:r>
    </w:p>
    <w:p w14:paraId="46BF3588" w14:textId="77777777" w:rsidR="00884078" w:rsidRPr="00884078" w:rsidRDefault="00884078" w:rsidP="00884078">
      <w:pPr>
        <w:spacing w:after="0"/>
        <w:ind w:left="708"/>
        <w:rPr>
          <w:b/>
          <w:u w:val="single"/>
          <w:lang w:val="es-ES"/>
        </w:rPr>
      </w:pPr>
      <w:r w:rsidRPr="00884078">
        <w:rPr>
          <w:b/>
          <w:u w:val="single"/>
          <w:lang w:val="es-ES"/>
        </w:rPr>
        <w:t>Descripción:</w:t>
      </w:r>
    </w:p>
    <w:p w14:paraId="0E214522" w14:textId="79960456" w:rsidR="00884078" w:rsidRDefault="00884078" w:rsidP="00884078">
      <w:pPr>
        <w:pStyle w:val="Prrafodelista"/>
        <w:spacing w:after="0"/>
        <w:jc w:val="both"/>
        <w:rPr>
          <w:lang w:val="es-ES"/>
        </w:rPr>
      </w:pPr>
      <w:r w:rsidRPr="00884078">
        <w:rPr>
          <w:lang w:val="es-ES"/>
        </w:rPr>
        <w:t xml:space="preserve">El detalle a los </w:t>
      </w:r>
      <w:r>
        <w:rPr>
          <w:lang w:val="es-ES"/>
        </w:rPr>
        <w:t>saldos a suministradores de los modelos de las fijaciones anteriores, indicaban los Saldos del periodo separados en S</w:t>
      </w:r>
      <w:r w:rsidR="000217FD">
        <w:rPr>
          <w:lang w:val="es-ES"/>
        </w:rPr>
        <w:t>aldos y Diferencias por Compras, detalle que no se puede ver en este modelo.</w:t>
      </w:r>
    </w:p>
    <w:p w14:paraId="6B7AA8F8" w14:textId="0E6F4D27" w:rsidR="00884078" w:rsidRDefault="00884078" w:rsidP="00884078">
      <w:pPr>
        <w:pStyle w:val="Prrafodelista"/>
        <w:spacing w:after="0"/>
        <w:jc w:val="both"/>
        <w:rPr>
          <w:lang w:val="es-ES"/>
        </w:rPr>
      </w:pPr>
    </w:p>
    <w:p w14:paraId="5EEF913B" w14:textId="27A369E3" w:rsidR="002E0C90" w:rsidRDefault="002E0C90" w:rsidP="00884078">
      <w:pPr>
        <w:pStyle w:val="Prrafodelista"/>
        <w:spacing w:after="0"/>
        <w:jc w:val="both"/>
        <w:rPr>
          <w:lang w:val="es-ES"/>
        </w:rPr>
      </w:pPr>
    </w:p>
    <w:p w14:paraId="4322010E" w14:textId="77777777" w:rsidR="002E0C90" w:rsidRPr="00884078" w:rsidRDefault="002E0C90" w:rsidP="00884078">
      <w:pPr>
        <w:pStyle w:val="Prrafodelista"/>
        <w:spacing w:after="0"/>
        <w:jc w:val="both"/>
        <w:rPr>
          <w:lang w:val="es-ES"/>
        </w:rPr>
      </w:pPr>
    </w:p>
    <w:p w14:paraId="6631EA88" w14:textId="77777777" w:rsidR="00884078" w:rsidRPr="009C604F" w:rsidRDefault="00884078" w:rsidP="00884078">
      <w:pPr>
        <w:pStyle w:val="Prrafodelista"/>
        <w:spacing w:after="0"/>
        <w:ind w:left="708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lastRenderedPageBreak/>
        <w:t>Solicitud:</w:t>
      </w:r>
    </w:p>
    <w:p w14:paraId="592F8774" w14:textId="33E9411D" w:rsidR="00C550C5" w:rsidRPr="002E0C90" w:rsidRDefault="00884078" w:rsidP="002E0C90">
      <w:pPr>
        <w:pStyle w:val="Prrafodelista"/>
        <w:spacing w:after="0"/>
        <w:ind w:left="708"/>
        <w:jc w:val="both"/>
        <w:rPr>
          <w:lang w:val="es-ES"/>
        </w:rPr>
      </w:pPr>
      <w:r>
        <w:rPr>
          <w:lang w:val="es-ES"/>
        </w:rPr>
        <w:t xml:space="preserve">Se solicita mantener la coherencia del detalle de saldos indicados en las fijaciones anteriores y </w:t>
      </w:r>
      <w:r w:rsidR="000217FD">
        <w:rPr>
          <w:lang w:val="es-ES"/>
        </w:rPr>
        <w:t>realizar la apertura</w:t>
      </w:r>
      <w:r>
        <w:rPr>
          <w:lang w:val="es-ES"/>
        </w:rPr>
        <w:t xml:space="preserve"> en Saldos y Diferencias por Compras.</w:t>
      </w:r>
    </w:p>
    <w:p w14:paraId="1B79BABA" w14:textId="77777777" w:rsidR="000217FD" w:rsidRPr="00884078" w:rsidRDefault="000217FD" w:rsidP="00E93080">
      <w:pPr>
        <w:pStyle w:val="Prrafodelista"/>
        <w:spacing w:after="0"/>
        <w:ind w:left="708"/>
        <w:jc w:val="both"/>
        <w:rPr>
          <w:lang w:val="es-ES"/>
        </w:rPr>
      </w:pPr>
    </w:p>
    <w:p w14:paraId="569DB716" w14:textId="77777777" w:rsidR="000217FD" w:rsidRDefault="000217FD" w:rsidP="000217FD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Saldos a Suministradoras (Hoja Factor)</w:t>
      </w:r>
    </w:p>
    <w:p w14:paraId="7B85BDD3" w14:textId="77777777" w:rsidR="000217FD" w:rsidRPr="00884078" w:rsidRDefault="000217FD" w:rsidP="000217FD">
      <w:pPr>
        <w:spacing w:after="0"/>
        <w:ind w:left="708"/>
        <w:rPr>
          <w:b/>
          <w:u w:val="single"/>
          <w:lang w:val="es-ES"/>
        </w:rPr>
      </w:pPr>
      <w:r w:rsidRPr="00884078">
        <w:rPr>
          <w:b/>
          <w:u w:val="single"/>
          <w:lang w:val="es-ES"/>
        </w:rPr>
        <w:t>Descripción:</w:t>
      </w:r>
    </w:p>
    <w:p w14:paraId="54D04B00" w14:textId="6A6D0665" w:rsidR="000217FD" w:rsidRDefault="000217FD" w:rsidP="000217FD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Respecto al Saldo acumulado (hasta septiembre 2020), no</w:t>
      </w:r>
      <w:r w:rsidR="001C71AB">
        <w:rPr>
          <w:lang w:val="es-ES"/>
        </w:rPr>
        <w:t xml:space="preserve"> se</w:t>
      </w:r>
      <w:r>
        <w:rPr>
          <w:lang w:val="es-ES"/>
        </w:rPr>
        <w:t xml:space="preserve"> condice con la fijación anterior</w:t>
      </w:r>
      <w:r w:rsidR="004C21BC">
        <w:rPr>
          <w:lang w:val="es-ES"/>
        </w:rPr>
        <w:t>, los cuales eran 856.424.970 USD, y aparece como número pegado 857.763.255 USD. No se entiende si el número de la fijación anterior tiene algún ajuste.</w:t>
      </w:r>
    </w:p>
    <w:p w14:paraId="55DA28DF" w14:textId="77777777" w:rsidR="000217FD" w:rsidRPr="00884078" w:rsidRDefault="000217FD" w:rsidP="000217FD">
      <w:pPr>
        <w:pStyle w:val="Prrafodelista"/>
        <w:spacing w:after="0"/>
        <w:jc w:val="both"/>
        <w:rPr>
          <w:lang w:val="es-ES"/>
        </w:rPr>
      </w:pPr>
    </w:p>
    <w:p w14:paraId="2D5EE61A" w14:textId="77777777" w:rsidR="000217FD" w:rsidRPr="009C604F" w:rsidRDefault="000217FD" w:rsidP="000217FD">
      <w:pPr>
        <w:pStyle w:val="Prrafodelista"/>
        <w:spacing w:after="0"/>
        <w:ind w:left="708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2CAE4D49" w14:textId="79DA253A" w:rsidR="000217FD" w:rsidRDefault="000217FD" w:rsidP="000217FD">
      <w:pPr>
        <w:pStyle w:val="Prrafodelista"/>
        <w:spacing w:after="0"/>
        <w:ind w:left="708"/>
        <w:jc w:val="both"/>
        <w:rPr>
          <w:lang w:val="es-ES"/>
        </w:rPr>
      </w:pPr>
      <w:r>
        <w:rPr>
          <w:lang w:val="es-ES"/>
        </w:rPr>
        <w:t xml:space="preserve">Se solicita </w:t>
      </w:r>
      <w:r w:rsidR="004C21BC">
        <w:rPr>
          <w:lang w:val="es-ES"/>
        </w:rPr>
        <w:t>aclarar el saldo acumulado hasta septiembre 2020, ya que no condice con la fijación anterior.</w:t>
      </w:r>
    </w:p>
    <w:p w14:paraId="16A4B91C" w14:textId="1673BA8C" w:rsidR="00EE02C6" w:rsidRDefault="00EE02C6" w:rsidP="00C1418F">
      <w:pPr>
        <w:spacing w:after="0"/>
        <w:jc w:val="both"/>
        <w:rPr>
          <w:lang w:val="es-ES"/>
        </w:rPr>
      </w:pPr>
    </w:p>
    <w:p w14:paraId="70C84B7F" w14:textId="77777777" w:rsidR="002E0C90" w:rsidRPr="00C1418F" w:rsidRDefault="002E0C90" w:rsidP="00C1418F">
      <w:pPr>
        <w:spacing w:after="0"/>
        <w:jc w:val="both"/>
        <w:rPr>
          <w:lang w:val="es-ES"/>
        </w:rPr>
      </w:pPr>
    </w:p>
    <w:p w14:paraId="1899014D" w14:textId="79C825D6" w:rsidR="009C604F" w:rsidRDefault="00F62250" w:rsidP="00F62250">
      <w:pPr>
        <w:pStyle w:val="Prrafodelista"/>
        <w:numPr>
          <w:ilvl w:val="0"/>
          <w:numId w:val="3"/>
        </w:numPr>
        <w:spacing w:after="0"/>
        <w:rPr>
          <w:b/>
          <w:lang w:val="es-ES"/>
        </w:rPr>
      </w:pPr>
      <w:r>
        <w:rPr>
          <w:b/>
          <w:lang w:val="es-ES"/>
        </w:rPr>
        <w:t xml:space="preserve">042_RecaudaciónDetalle_PNP2107_V1 </w:t>
      </w:r>
    </w:p>
    <w:p w14:paraId="7DCBF1C5" w14:textId="62849D3D" w:rsidR="00DC2204" w:rsidRDefault="00F62250" w:rsidP="00E9085C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 xml:space="preserve">Factor de Perdidas (Hoja </w:t>
      </w:r>
      <w:proofErr w:type="spellStart"/>
      <w:r>
        <w:rPr>
          <w:b/>
          <w:lang w:val="es-ES"/>
        </w:rPr>
        <w:t>Efact</w:t>
      </w:r>
      <w:proofErr w:type="spellEnd"/>
      <w:r>
        <w:rPr>
          <w:b/>
          <w:lang w:val="es-ES"/>
        </w:rPr>
        <w:t>)</w:t>
      </w:r>
    </w:p>
    <w:p w14:paraId="71F543DB" w14:textId="551CD73F" w:rsidR="00E9085C" w:rsidRPr="009C604F" w:rsidRDefault="00E9085C" w:rsidP="00E9085C">
      <w:pPr>
        <w:pStyle w:val="Prrafodelista"/>
        <w:spacing w:after="0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7113B9E7" w14:textId="1FF52C1A" w:rsidR="00E9085C" w:rsidRDefault="006A1361" w:rsidP="00E9085C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 xml:space="preserve">Los factores de </w:t>
      </w:r>
      <w:r w:rsidR="00F62250">
        <w:rPr>
          <w:lang w:val="es-ES"/>
        </w:rPr>
        <w:t>P</w:t>
      </w:r>
      <w:r>
        <w:rPr>
          <w:lang w:val="es-ES"/>
        </w:rPr>
        <w:t>é</w:t>
      </w:r>
      <w:r w:rsidR="00F62250">
        <w:rPr>
          <w:lang w:val="es-ES"/>
        </w:rPr>
        <w:t xml:space="preserve">rdidas </w:t>
      </w:r>
      <w:r>
        <w:rPr>
          <w:lang w:val="es-ES"/>
        </w:rPr>
        <w:t xml:space="preserve">de transmisión, </w:t>
      </w:r>
      <w:r w:rsidR="00F62250">
        <w:rPr>
          <w:lang w:val="es-ES"/>
        </w:rPr>
        <w:t>de Energía y Potencia (FEPE y FEPP)</w:t>
      </w:r>
      <w:r>
        <w:rPr>
          <w:lang w:val="es-ES"/>
        </w:rPr>
        <w:t>,</w:t>
      </w:r>
      <w:r w:rsidR="00F62250">
        <w:rPr>
          <w:lang w:val="es-ES"/>
        </w:rPr>
        <w:t xml:space="preserve"> </w:t>
      </w:r>
      <w:r>
        <w:rPr>
          <w:lang w:val="es-ES"/>
        </w:rPr>
        <w:t xml:space="preserve">utilizados para </w:t>
      </w:r>
      <w:r w:rsidR="00F62250">
        <w:rPr>
          <w:lang w:val="es-ES"/>
        </w:rPr>
        <w:t>el mes de octub</w:t>
      </w:r>
      <w:r w:rsidR="00960FF9">
        <w:rPr>
          <w:lang w:val="es-ES"/>
        </w:rPr>
        <w:t xml:space="preserve">re </w:t>
      </w:r>
      <w:r>
        <w:rPr>
          <w:lang w:val="es-ES"/>
        </w:rPr>
        <w:t xml:space="preserve">en </w:t>
      </w:r>
      <w:r w:rsidR="00960FF9">
        <w:rPr>
          <w:lang w:val="es-ES"/>
        </w:rPr>
        <w:t xml:space="preserve">el tipo de </w:t>
      </w:r>
      <w:r w:rsidR="00F62250">
        <w:rPr>
          <w:lang w:val="es-ES"/>
        </w:rPr>
        <w:t>versión</w:t>
      </w:r>
      <w:r w:rsidR="00960FF9">
        <w:rPr>
          <w:lang w:val="es-ES"/>
        </w:rPr>
        <w:t xml:space="preserve"> “Versión</w:t>
      </w:r>
      <w:r w:rsidR="00F62250">
        <w:rPr>
          <w:lang w:val="es-ES"/>
        </w:rPr>
        <w:t xml:space="preserve"> Contratos Definitiva</w:t>
      </w:r>
      <w:r w:rsidR="00960FF9">
        <w:rPr>
          <w:lang w:val="es-ES"/>
        </w:rPr>
        <w:t>”</w:t>
      </w:r>
      <w:r w:rsidR="00F62250">
        <w:rPr>
          <w:lang w:val="es-ES"/>
        </w:rPr>
        <w:t xml:space="preserve"> corresponden a los de noviembre.</w:t>
      </w:r>
    </w:p>
    <w:p w14:paraId="4BD93CFF" w14:textId="16F4309C" w:rsidR="00E9085C" w:rsidRPr="009C604F" w:rsidRDefault="00E9085C" w:rsidP="00E9085C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2A198997" w14:textId="1AFF9969" w:rsidR="00E9085C" w:rsidRDefault="00F62250" w:rsidP="00E9085C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Se solicita utilizar los valores correctos para el mes de octubre</w:t>
      </w:r>
      <w:r w:rsidR="00BB5FE8">
        <w:rPr>
          <w:lang w:val="es-ES"/>
        </w:rPr>
        <w:t xml:space="preserve"> 2020</w:t>
      </w:r>
      <w:r>
        <w:rPr>
          <w:lang w:val="es-ES"/>
        </w:rPr>
        <w:t>.</w:t>
      </w:r>
    </w:p>
    <w:p w14:paraId="44033782" w14:textId="77777777" w:rsidR="00960FF9" w:rsidRDefault="00960FF9" w:rsidP="00E9085C">
      <w:pPr>
        <w:pStyle w:val="Prrafodelista"/>
        <w:spacing w:after="0"/>
        <w:jc w:val="both"/>
        <w:rPr>
          <w:lang w:val="es-ES"/>
        </w:rPr>
      </w:pPr>
    </w:p>
    <w:tbl>
      <w:tblPr>
        <w:tblStyle w:val="Tablaconcuadrcula"/>
        <w:tblW w:w="0" w:type="auto"/>
        <w:tblInd w:w="2689" w:type="dxa"/>
        <w:tblLook w:val="04A0" w:firstRow="1" w:lastRow="0" w:firstColumn="1" w:lastColumn="0" w:noHBand="0" w:noVBand="1"/>
      </w:tblPr>
      <w:tblGrid>
        <w:gridCol w:w="918"/>
        <w:gridCol w:w="2058"/>
        <w:gridCol w:w="1276"/>
      </w:tblGrid>
      <w:tr w:rsidR="00960FF9" w14:paraId="0C48E48E" w14:textId="77777777" w:rsidTr="00960FF9">
        <w:tc>
          <w:tcPr>
            <w:tcW w:w="918" w:type="dxa"/>
          </w:tcPr>
          <w:p w14:paraId="1EA6D43F" w14:textId="01A4DB02" w:rsidR="00960FF9" w:rsidRDefault="00960FF9" w:rsidP="00960FF9">
            <w:pPr>
              <w:rPr>
                <w:lang w:val="es-ES"/>
              </w:rPr>
            </w:pPr>
            <w:r>
              <w:rPr>
                <w:lang w:val="es-ES"/>
              </w:rPr>
              <w:t>Sistema</w:t>
            </w:r>
          </w:p>
        </w:tc>
        <w:tc>
          <w:tcPr>
            <w:tcW w:w="2058" w:type="dxa"/>
          </w:tcPr>
          <w:p w14:paraId="01292CB6" w14:textId="18F05DEB" w:rsidR="00960FF9" w:rsidRDefault="00960FF9" w:rsidP="00960FF9">
            <w:pPr>
              <w:pStyle w:val="Prrafodelista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FEPE</w:t>
            </w:r>
          </w:p>
        </w:tc>
        <w:tc>
          <w:tcPr>
            <w:tcW w:w="1276" w:type="dxa"/>
          </w:tcPr>
          <w:p w14:paraId="23A501F5" w14:textId="3BB4BCA5" w:rsidR="00960FF9" w:rsidRDefault="00960FF9" w:rsidP="00960FF9">
            <w:pPr>
              <w:pStyle w:val="Prrafodelista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FEPP</w:t>
            </w:r>
          </w:p>
        </w:tc>
      </w:tr>
      <w:tr w:rsidR="00960FF9" w14:paraId="6AEB9958" w14:textId="77777777" w:rsidTr="00960FF9">
        <w:trPr>
          <w:trHeight w:val="339"/>
        </w:trPr>
        <w:tc>
          <w:tcPr>
            <w:tcW w:w="918" w:type="dxa"/>
          </w:tcPr>
          <w:p w14:paraId="6374E4AD" w14:textId="608992B4" w:rsidR="00960FF9" w:rsidRDefault="00960FF9" w:rsidP="00960FF9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t>A</w:t>
            </w:r>
          </w:p>
        </w:tc>
        <w:tc>
          <w:tcPr>
            <w:tcW w:w="2058" w:type="dxa"/>
          </w:tcPr>
          <w:p w14:paraId="1675B52D" w14:textId="0A15BAF2" w:rsidR="00960FF9" w:rsidRDefault="00960FF9" w:rsidP="00960FF9">
            <w:pPr>
              <w:pStyle w:val="Prrafodelista"/>
              <w:ind w:left="0"/>
              <w:jc w:val="both"/>
              <w:rPr>
                <w:lang w:val="es-ES"/>
              </w:rPr>
            </w:pPr>
            <w:r w:rsidRPr="006E1567">
              <w:t>1.01704732708652</w:t>
            </w:r>
          </w:p>
        </w:tc>
        <w:tc>
          <w:tcPr>
            <w:tcW w:w="1276" w:type="dxa"/>
          </w:tcPr>
          <w:p w14:paraId="3CB445EE" w14:textId="11B90295" w:rsidR="00960FF9" w:rsidRPr="00960FF9" w:rsidRDefault="00960FF9" w:rsidP="00960FF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1.01611</w:t>
            </w:r>
          </w:p>
        </w:tc>
      </w:tr>
      <w:tr w:rsidR="00960FF9" w14:paraId="21CB7B5C" w14:textId="77777777" w:rsidTr="00960FF9">
        <w:tc>
          <w:tcPr>
            <w:tcW w:w="918" w:type="dxa"/>
          </w:tcPr>
          <w:p w14:paraId="6B66B5A9" w14:textId="0A7424E9" w:rsid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B</w:t>
            </w:r>
          </w:p>
        </w:tc>
        <w:tc>
          <w:tcPr>
            <w:tcW w:w="2058" w:type="dxa"/>
          </w:tcPr>
          <w:p w14:paraId="5E53F56D" w14:textId="4C087B56" w:rsid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 w:rsidRPr="00960FF9">
              <w:rPr>
                <w:lang w:val="es-ES"/>
              </w:rPr>
              <w:t>1.02123061487275</w:t>
            </w:r>
          </w:p>
        </w:tc>
        <w:tc>
          <w:tcPr>
            <w:tcW w:w="1276" w:type="dxa"/>
          </w:tcPr>
          <w:p w14:paraId="55FB3921" w14:textId="55EEE62B" w:rsid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 w:rsidRPr="00960FF9">
              <w:rPr>
                <w:lang w:val="es-ES"/>
              </w:rPr>
              <w:t>1.01237</w:t>
            </w:r>
          </w:p>
        </w:tc>
      </w:tr>
      <w:tr w:rsidR="00960FF9" w14:paraId="12529CFF" w14:textId="77777777" w:rsidTr="00960FF9">
        <w:tc>
          <w:tcPr>
            <w:tcW w:w="918" w:type="dxa"/>
          </w:tcPr>
          <w:p w14:paraId="01EDA59E" w14:textId="24B8AAA2" w:rsid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C</w:t>
            </w:r>
          </w:p>
        </w:tc>
        <w:tc>
          <w:tcPr>
            <w:tcW w:w="2058" w:type="dxa"/>
          </w:tcPr>
          <w:p w14:paraId="14F760CA" w14:textId="3CC85EC8" w:rsidR="00960FF9" w:rsidRP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 w:rsidRPr="00960FF9">
              <w:rPr>
                <w:lang w:val="es-ES"/>
              </w:rPr>
              <w:t>1.01571676959843</w:t>
            </w:r>
          </w:p>
        </w:tc>
        <w:tc>
          <w:tcPr>
            <w:tcW w:w="1276" w:type="dxa"/>
          </w:tcPr>
          <w:p w14:paraId="7148D650" w14:textId="1FB4942D" w:rsidR="00960FF9" w:rsidRPr="00960FF9" w:rsidRDefault="00960FF9" w:rsidP="00960FF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1.03270</w:t>
            </w:r>
          </w:p>
        </w:tc>
      </w:tr>
      <w:tr w:rsidR="00960FF9" w14:paraId="6EDB6134" w14:textId="77777777" w:rsidTr="00960FF9">
        <w:tc>
          <w:tcPr>
            <w:tcW w:w="918" w:type="dxa"/>
          </w:tcPr>
          <w:p w14:paraId="572FFC57" w14:textId="5B76C4DC" w:rsid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D</w:t>
            </w:r>
          </w:p>
        </w:tc>
        <w:tc>
          <w:tcPr>
            <w:tcW w:w="2058" w:type="dxa"/>
          </w:tcPr>
          <w:p w14:paraId="66F0841F" w14:textId="1D0640AC" w:rsidR="00960FF9" w:rsidRP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 w:rsidRPr="00960FF9">
              <w:rPr>
                <w:lang w:val="es-ES"/>
              </w:rPr>
              <w:t>1.01225909879363</w:t>
            </w:r>
          </w:p>
        </w:tc>
        <w:tc>
          <w:tcPr>
            <w:tcW w:w="1276" w:type="dxa"/>
          </w:tcPr>
          <w:p w14:paraId="34099665" w14:textId="77E61C1D" w:rsid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 w:rsidRPr="00960FF9">
              <w:rPr>
                <w:lang w:val="es-ES"/>
              </w:rPr>
              <w:t>1.0124</w:t>
            </w:r>
          </w:p>
        </w:tc>
      </w:tr>
      <w:tr w:rsidR="00960FF9" w14:paraId="013C8DB5" w14:textId="77777777" w:rsidTr="00960FF9">
        <w:tc>
          <w:tcPr>
            <w:tcW w:w="918" w:type="dxa"/>
          </w:tcPr>
          <w:p w14:paraId="047694E2" w14:textId="766B0978" w:rsid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E</w:t>
            </w:r>
          </w:p>
        </w:tc>
        <w:tc>
          <w:tcPr>
            <w:tcW w:w="2058" w:type="dxa"/>
          </w:tcPr>
          <w:p w14:paraId="543A5893" w14:textId="027B08E5" w:rsidR="00960FF9" w:rsidRP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 w:rsidRPr="00960FF9">
              <w:rPr>
                <w:lang w:val="es-ES"/>
              </w:rPr>
              <w:t>1.03078993225655</w:t>
            </w:r>
          </w:p>
        </w:tc>
        <w:tc>
          <w:tcPr>
            <w:tcW w:w="1276" w:type="dxa"/>
          </w:tcPr>
          <w:p w14:paraId="5D64DB43" w14:textId="2128D220" w:rsid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 w:rsidRPr="00960FF9">
              <w:rPr>
                <w:lang w:val="es-ES"/>
              </w:rPr>
              <w:t>1.04878</w:t>
            </w:r>
          </w:p>
        </w:tc>
      </w:tr>
      <w:tr w:rsidR="00960FF9" w14:paraId="07CA5DC7" w14:textId="77777777" w:rsidTr="00960FF9">
        <w:tc>
          <w:tcPr>
            <w:tcW w:w="918" w:type="dxa"/>
          </w:tcPr>
          <w:p w14:paraId="358FEE7B" w14:textId="03572527" w:rsid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F</w:t>
            </w:r>
          </w:p>
        </w:tc>
        <w:tc>
          <w:tcPr>
            <w:tcW w:w="2058" w:type="dxa"/>
          </w:tcPr>
          <w:p w14:paraId="6DBCC5A3" w14:textId="535E3A59" w:rsidR="00960FF9" w:rsidRP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 w:rsidRPr="00960FF9">
              <w:rPr>
                <w:lang w:val="es-ES"/>
              </w:rPr>
              <w:t>1.02841551049675</w:t>
            </w:r>
          </w:p>
        </w:tc>
        <w:tc>
          <w:tcPr>
            <w:tcW w:w="1276" w:type="dxa"/>
          </w:tcPr>
          <w:p w14:paraId="7DF70010" w14:textId="0312FCAD" w:rsidR="00960FF9" w:rsidRDefault="00960FF9" w:rsidP="00E9085C">
            <w:pPr>
              <w:pStyle w:val="Prrafodelista"/>
              <w:ind w:left="0"/>
              <w:jc w:val="both"/>
              <w:rPr>
                <w:lang w:val="es-ES"/>
              </w:rPr>
            </w:pPr>
            <w:r w:rsidRPr="00960FF9">
              <w:rPr>
                <w:lang w:val="es-ES"/>
              </w:rPr>
              <w:t>1.04052</w:t>
            </w:r>
          </w:p>
        </w:tc>
      </w:tr>
    </w:tbl>
    <w:p w14:paraId="5127DD29" w14:textId="103ECAAA" w:rsidR="009C604F" w:rsidRPr="006B273B" w:rsidRDefault="009C604F" w:rsidP="006B273B">
      <w:pPr>
        <w:spacing w:after="0"/>
        <w:jc w:val="both"/>
        <w:rPr>
          <w:b/>
          <w:lang w:val="es-ES"/>
        </w:rPr>
      </w:pPr>
    </w:p>
    <w:p w14:paraId="2AA9DF1B" w14:textId="7751A2D4" w:rsidR="006B273B" w:rsidRPr="006B273B" w:rsidRDefault="006B273B" w:rsidP="006B273B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Factor de Referenciación</w:t>
      </w:r>
      <w:r w:rsidRPr="006B273B">
        <w:rPr>
          <w:b/>
          <w:lang w:val="es-ES"/>
        </w:rPr>
        <w:t xml:space="preserve"> (Hoja </w:t>
      </w:r>
      <w:proofErr w:type="spellStart"/>
      <w:r w:rsidRPr="006B273B">
        <w:rPr>
          <w:b/>
          <w:lang w:val="es-ES"/>
        </w:rPr>
        <w:t>Efact</w:t>
      </w:r>
      <w:proofErr w:type="spellEnd"/>
      <w:r w:rsidRPr="006B273B">
        <w:rPr>
          <w:b/>
          <w:lang w:val="es-ES"/>
        </w:rPr>
        <w:t>)</w:t>
      </w:r>
    </w:p>
    <w:p w14:paraId="267E4D6E" w14:textId="77777777" w:rsidR="009C604F" w:rsidRPr="009C604F" w:rsidRDefault="009C604F" w:rsidP="009C604F">
      <w:pPr>
        <w:pStyle w:val="Prrafodelista"/>
        <w:spacing w:after="0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7E08F4AB" w14:textId="7444FBE9" w:rsidR="005F07BB" w:rsidRDefault="005F07BB" w:rsidP="009C604F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Los factores de referenciación del punto de retiro San Antonio 012, no considera</w:t>
      </w:r>
      <w:r w:rsidR="006A1361">
        <w:rPr>
          <w:lang w:val="es-ES"/>
        </w:rPr>
        <w:t>n</w:t>
      </w:r>
      <w:r>
        <w:rPr>
          <w:lang w:val="es-ES"/>
        </w:rPr>
        <w:t xml:space="preserve"> la barra nacional Los Maquis 220, para el primer semestre del 2021.</w:t>
      </w:r>
    </w:p>
    <w:p w14:paraId="60C8E2CB" w14:textId="63E3BEAC" w:rsidR="005F07BB" w:rsidRDefault="005F07BB" w:rsidP="009C604F">
      <w:pPr>
        <w:pStyle w:val="Prrafodelista"/>
        <w:spacing w:after="0"/>
        <w:jc w:val="both"/>
        <w:rPr>
          <w:lang w:val="es-ES"/>
        </w:rPr>
      </w:pPr>
    </w:p>
    <w:p w14:paraId="09E427CF" w14:textId="36B5F872" w:rsidR="009C604F" w:rsidRPr="009C604F" w:rsidRDefault="009C604F" w:rsidP="009C604F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5817EED5" w14:textId="5A6661BA" w:rsidR="00E037D1" w:rsidRDefault="005F07BB" w:rsidP="00E037D1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Se solicita considerar los siguientes factores de referenciación para el punto de retiro San Antonio 012.</w:t>
      </w:r>
    </w:p>
    <w:p w14:paraId="2A2A9D39" w14:textId="77777777" w:rsidR="005F07BB" w:rsidRDefault="005F07BB" w:rsidP="00E037D1">
      <w:pPr>
        <w:pStyle w:val="Prrafodelista"/>
        <w:spacing w:after="0"/>
        <w:jc w:val="both"/>
        <w:rPr>
          <w:lang w:val="es-ES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2121"/>
        <w:gridCol w:w="2279"/>
      </w:tblGrid>
      <w:tr w:rsidR="005F07BB" w14:paraId="15AC1C35" w14:textId="77777777" w:rsidTr="005F07BB">
        <w:tc>
          <w:tcPr>
            <w:tcW w:w="2121" w:type="dxa"/>
          </w:tcPr>
          <w:p w14:paraId="18A7368D" w14:textId="77777777" w:rsidR="005F07BB" w:rsidRDefault="005F07BB" w:rsidP="00E037D1">
            <w:pPr>
              <w:pStyle w:val="Prrafodelista"/>
              <w:ind w:left="0"/>
              <w:jc w:val="both"/>
              <w:rPr>
                <w:lang w:val="es-ES"/>
              </w:rPr>
            </w:pPr>
          </w:p>
        </w:tc>
        <w:tc>
          <w:tcPr>
            <w:tcW w:w="2279" w:type="dxa"/>
          </w:tcPr>
          <w:p w14:paraId="61E47D69" w14:textId="2697CD86" w:rsidR="005F07BB" w:rsidRDefault="005F07BB" w:rsidP="005F07BB">
            <w:pPr>
              <w:pStyle w:val="Prrafodelista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San Antonio 012</w:t>
            </w:r>
          </w:p>
        </w:tc>
      </w:tr>
      <w:tr w:rsidR="005F07BB" w14:paraId="21B4459A" w14:textId="77777777" w:rsidTr="005F07BB">
        <w:tc>
          <w:tcPr>
            <w:tcW w:w="2121" w:type="dxa"/>
          </w:tcPr>
          <w:p w14:paraId="06C2E8C9" w14:textId="0F66FA52" w:rsidR="005F07BB" w:rsidRDefault="005F07BB" w:rsidP="00E037D1">
            <w:pPr>
              <w:pStyle w:val="Prrafodelista"/>
              <w:ind w:left="0"/>
              <w:jc w:val="both"/>
              <w:rPr>
                <w:lang w:val="es-ES"/>
              </w:rPr>
            </w:pPr>
            <w:r w:rsidRPr="005F07BB">
              <w:rPr>
                <w:lang w:val="es-ES"/>
              </w:rPr>
              <w:t>QUILLOTA 220</w:t>
            </w:r>
          </w:p>
        </w:tc>
        <w:tc>
          <w:tcPr>
            <w:tcW w:w="2279" w:type="dxa"/>
          </w:tcPr>
          <w:p w14:paraId="7E691E17" w14:textId="3DD950A6" w:rsidR="005F07BB" w:rsidRDefault="005F07BB" w:rsidP="00E037D1">
            <w:pPr>
              <w:pStyle w:val="Prrafodelista"/>
              <w:ind w:left="0"/>
              <w:jc w:val="both"/>
              <w:rPr>
                <w:lang w:val="es-ES"/>
              </w:rPr>
            </w:pPr>
            <w:r w:rsidRPr="005F07BB">
              <w:rPr>
                <w:lang w:val="es-ES"/>
              </w:rPr>
              <w:t>0.00332766421434124</w:t>
            </w:r>
          </w:p>
        </w:tc>
      </w:tr>
      <w:tr w:rsidR="005F07BB" w14:paraId="2FE13EE0" w14:textId="77777777" w:rsidTr="005F07BB">
        <w:tc>
          <w:tcPr>
            <w:tcW w:w="2121" w:type="dxa"/>
          </w:tcPr>
          <w:p w14:paraId="1BDEF87E" w14:textId="56B75943" w:rsidR="005F07BB" w:rsidRDefault="005F07BB" w:rsidP="005F07BB">
            <w:pPr>
              <w:pStyle w:val="Prrafodelista"/>
              <w:ind w:left="0"/>
              <w:jc w:val="both"/>
              <w:rPr>
                <w:lang w:val="es-ES"/>
              </w:rPr>
            </w:pPr>
            <w:r w:rsidRPr="005F07BB">
              <w:rPr>
                <w:lang w:val="es-ES"/>
              </w:rPr>
              <w:t>NOGALES 220</w:t>
            </w:r>
          </w:p>
        </w:tc>
        <w:tc>
          <w:tcPr>
            <w:tcW w:w="2279" w:type="dxa"/>
          </w:tcPr>
          <w:p w14:paraId="53EFC18E" w14:textId="0967F5F1" w:rsidR="005F07BB" w:rsidRDefault="005F07BB" w:rsidP="005F07BB">
            <w:pPr>
              <w:pStyle w:val="Prrafodelista"/>
              <w:ind w:left="0"/>
              <w:jc w:val="both"/>
              <w:rPr>
                <w:lang w:val="es-ES"/>
              </w:rPr>
            </w:pPr>
            <w:r w:rsidRPr="005F07BB">
              <w:rPr>
                <w:lang w:val="es-ES"/>
              </w:rPr>
              <w:t>0.00365796173552976</w:t>
            </w:r>
          </w:p>
        </w:tc>
      </w:tr>
      <w:tr w:rsidR="005F07BB" w14:paraId="61F97D05" w14:textId="77777777" w:rsidTr="005F07BB">
        <w:tc>
          <w:tcPr>
            <w:tcW w:w="2121" w:type="dxa"/>
          </w:tcPr>
          <w:p w14:paraId="6F35EC7E" w14:textId="2668426E" w:rsidR="005F07BB" w:rsidRDefault="005F07BB" w:rsidP="005F07BB">
            <w:pPr>
              <w:pStyle w:val="Prrafodelista"/>
              <w:ind w:left="0"/>
              <w:jc w:val="both"/>
              <w:rPr>
                <w:lang w:val="es-ES"/>
              </w:rPr>
            </w:pPr>
            <w:r w:rsidRPr="005F07BB">
              <w:rPr>
                <w:lang w:val="es-ES"/>
              </w:rPr>
              <w:lastRenderedPageBreak/>
              <w:t>LOS MAQUIS 220</w:t>
            </w:r>
          </w:p>
        </w:tc>
        <w:tc>
          <w:tcPr>
            <w:tcW w:w="2279" w:type="dxa"/>
          </w:tcPr>
          <w:p w14:paraId="02BE84CE" w14:textId="2AF96991" w:rsidR="005F07BB" w:rsidRDefault="005F07BB" w:rsidP="005F07BB">
            <w:pPr>
              <w:pStyle w:val="Prrafodelista"/>
              <w:ind w:left="0"/>
              <w:jc w:val="both"/>
              <w:rPr>
                <w:lang w:val="es-ES"/>
              </w:rPr>
            </w:pPr>
            <w:r w:rsidRPr="005F07BB">
              <w:rPr>
                <w:lang w:val="es-ES"/>
              </w:rPr>
              <w:t>0.00033549552450605</w:t>
            </w:r>
          </w:p>
        </w:tc>
      </w:tr>
      <w:tr w:rsidR="005F07BB" w14:paraId="4044EBD3" w14:textId="77777777" w:rsidTr="005F07BB">
        <w:tc>
          <w:tcPr>
            <w:tcW w:w="2121" w:type="dxa"/>
          </w:tcPr>
          <w:p w14:paraId="72A75AA4" w14:textId="06E2439C" w:rsidR="005F07BB" w:rsidRPr="005F07BB" w:rsidRDefault="005F07BB" w:rsidP="005F07BB">
            <w:pPr>
              <w:pStyle w:val="Prrafodelista"/>
              <w:ind w:left="0"/>
              <w:jc w:val="both"/>
              <w:rPr>
                <w:lang w:val="es-ES"/>
              </w:rPr>
            </w:pPr>
            <w:r w:rsidRPr="005F07BB">
              <w:rPr>
                <w:lang w:val="es-ES"/>
              </w:rPr>
              <w:t>MELIPILLA 220</w:t>
            </w:r>
          </w:p>
        </w:tc>
        <w:tc>
          <w:tcPr>
            <w:tcW w:w="2279" w:type="dxa"/>
          </w:tcPr>
          <w:p w14:paraId="194D29AF" w14:textId="680063C1" w:rsidR="005F07BB" w:rsidRDefault="005F07BB" w:rsidP="005F07BB">
            <w:pPr>
              <w:pStyle w:val="Prrafodelista"/>
              <w:ind w:left="0"/>
              <w:jc w:val="both"/>
              <w:rPr>
                <w:lang w:val="es-ES"/>
              </w:rPr>
            </w:pPr>
            <w:r w:rsidRPr="005F07BB">
              <w:rPr>
                <w:lang w:val="es-ES"/>
              </w:rPr>
              <w:t>0.992678878525623</w:t>
            </w:r>
          </w:p>
        </w:tc>
      </w:tr>
    </w:tbl>
    <w:p w14:paraId="4B9F8866" w14:textId="4F0541A5" w:rsidR="005F07BB" w:rsidRPr="00E037D1" w:rsidRDefault="005F07BB" w:rsidP="00E037D1">
      <w:pPr>
        <w:pStyle w:val="Prrafodelista"/>
        <w:spacing w:after="0"/>
        <w:jc w:val="both"/>
        <w:rPr>
          <w:lang w:val="es-ES"/>
        </w:rPr>
      </w:pPr>
    </w:p>
    <w:p w14:paraId="092D4CF7" w14:textId="11CD5C74" w:rsidR="00E037D1" w:rsidRPr="00F47CFF" w:rsidRDefault="00F47CFF" w:rsidP="00F47CFF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Indexación</w:t>
      </w:r>
      <w:r w:rsidRPr="006B273B">
        <w:rPr>
          <w:b/>
          <w:lang w:val="es-ES"/>
        </w:rPr>
        <w:t xml:space="preserve"> (Hoja </w:t>
      </w:r>
      <w:proofErr w:type="spellStart"/>
      <w:r w:rsidRPr="006B273B">
        <w:rPr>
          <w:b/>
          <w:lang w:val="es-ES"/>
        </w:rPr>
        <w:t>Efact</w:t>
      </w:r>
      <w:proofErr w:type="spellEnd"/>
      <w:r w:rsidRPr="006B273B">
        <w:rPr>
          <w:b/>
          <w:lang w:val="es-ES"/>
        </w:rPr>
        <w:t>)</w:t>
      </w:r>
    </w:p>
    <w:p w14:paraId="06FB76D4" w14:textId="291C970E" w:rsidR="00E037D1" w:rsidRPr="00F47CFF" w:rsidRDefault="00E037D1" w:rsidP="00F47CFF">
      <w:pPr>
        <w:spacing w:after="0"/>
        <w:ind w:firstLine="708"/>
        <w:rPr>
          <w:b/>
          <w:u w:val="single"/>
          <w:lang w:val="es-ES"/>
        </w:rPr>
      </w:pPr>
      <w:r w:rsidRPr="00F47CFF">
        <w:rPr>
          <w:b/>
          <w:u w:val="single"/>
          <w:lang w:val="es-ES"/>
        </w:rPr>
        <w:t>Descripción:</w:t>
      </w:r>
    </w:p>
    <w:p w14:paraId="54F56F98" w14:textId="72FFF828" w:rsidR="00BC45BE" w:rsidRDefault="00F47CFF" w:rsidP="008048FF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Los contratos de la licitación 2015/01 están indexados a octubre 2020, a pesar de que su comienzo fue en 2021.</w:t>
      </w:r>
    </w:p>
    <w:p w14:paraId="60DFFE75" w14:textId="2BB454A3" w:rsidR="001D40B0" w:rsidRDefault="001D40B0" w:rsidP="008048FF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Esta situación se puede revisar en fijaciones anteriores donde han entrado nuevos contratos, acorde a lo indicado en la RE 702.</w:t>
      </w:r>
    </w:p>
    <w:p w14:paraId="083E49CF" w14:textId="77777777" w:rsidR="00E037D1" w:rsidRPr="009C604F" w:rsidRDefault="00E037D1" w:rsidP="00E037D1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726AB79A" w14:textId="1BA9A303" w:rsidR="00FD5BE9" w:rsidRPr="00E93080" w:rsidRDefault="006A1361" w:rsidP="00E93080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Se</w:t>
      </w:r>
      <w:r w:rsidR="00F47CFF">
        <w:rPr>
          <w:lang w:val="es-ES"/>
        </w:rPr>
        <w:t xml:space="preserve"> solicita indexar los contratos de la licitación 2015/01 a enero 2021.</w:t>
      </w:r>
    </w:p>
    <w:p w14:paraId="5E9873CF" w14:textId="17B4302F" w:rsidR="00852402" w:rsidRDefault="00852402" w:rsidP="00852402">
      <w:pPr>
        <w:pStyle w:val="Prrafodelista"/>
        <w:spacing w:after="0"/>
        <w:rPr>
          <w:b/>
          <w:lang w:val="es-ES"/>
        </w:rPr>
      </w:pPr>
    </w:p>
    <w:p w14:paraId="76A93B5C" w14:textId="77777777" w:rsidR="002E0C90" w:rsidRPr="00852402" w:rsidRDefault="002E0C90" w:rsidP="00852402">
      <w:pPr>
        <w:pStyle w:val="Prrafodelista"/>
        <w:spacing w:after="0"/>
        <w:rPr>
          <w:b/>
          <w:lang w:val="es-ES"/>
        </w:rPr>
      </w:pPr>
    </w:p>
    <w:p w14:paraId="54D17176" w14:textId="7358F6B7" w:rsidR="00881719" w:rsidRPr="000217FD" w:rsidRDefault="00856EE2" w:rsidP="000217FD">
      <w:pPr>
        <w:pStyle w:val="Prrafodelista"/>
        <w:numPr>
          <w:ilvl w:val="0"/>
          <w:numId w:val="3"/>
        </w:numPr>
        <w:spacing w:after="0"/>
        <w:rPr>
          <w:b/>
          <w:lang w:val="es-ES"/>
        </w:rPr>
      </w:pPr>
      <w:r>
        <w:rPr>
          <w:b/>
          <w:lang w:val="es-ES"/>
        </w:rPr>
        <w:t>043_SaldoEfact_PNP2107_V1</w:t>
      </w:r>
    </w:p>
    <w:p w14:paraId="01FA926A" w14:textId="49A55D3D" w:rsidR="00881719" w:rsidRDefault="00881719" w:rsidP="00881719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Resultado Estabilización</w:t>
      </w:r>
    </w:p>
    <w:p w14:paraId="04CF981F" w14:textId="77777777" w:rsidR="00881719" w:rsidRPr="009C604F" w:rsidRDefault="00881719" w:rsidP="00881719">
      <w:pPr>
        <w:pStyle w:val="Prrafodelista"/>
        <w:spacing w:after="0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7911728D" w14:textId="3DE7E7A6" w:rsidR="00881719" w:rsidRDefault="00E5670A" w:rsidP="00881719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Durante la vigencia del Mecanismo de Estabilización</w:t>
      </w:r>
      <w:r w:rsidR="007D5668">
        <w:rPr>
          <w:lang w:val="es-ES"/>
        </w:rPr>
        <w:t>,</w:t>
      </w:r>
      <w:r>
        <w:rPr>
          <w:lang w:val="es-ES"/>
        </w:rPr>
        <w:t xml:space="preserve"> las Distribuidoras debe</w:t>
      </w:r>
      <w:r w:rsidR="00152800">
        <w:rPr>
          <w:lang w:val="es-ES"/>
        </w:rPr>
        <w:t xml:space="preserve">n pagar a sus suministradores sus respectivos contratos </w:t>
      </w:r>
      <w:r w:rsidR="007D5668">
        <w:rPr>
          <w:lang w:val="es-ES"/>
        </w:rPr>
        <w:t xml:space="preserve">aplicando </w:t>
      </w:r>
      <w:r w:rsidR="00152800">
        <w:rPr>
          <w:lang w:val="es-ES"/>
        </w:rPr>
        <w:t xml:space="preserve">criterios del PNP vigente </w:t>
      </w:r>
      <w:r w:rsidR="007D5668">
        <w:rPr>
          <w:lang w:val="es-ES"/>
        </w:rPr>
        <w:t>y</w:t>
      </w:r>
      <w:r w:rsidR="00152800">
        <w:rPr>
          <w:lang w:val="es-ES"/>
        </w:rPr>
        <w:t xml:space="preserve"> factor</w:t>
      </w:r>
      <w:r w:rsidR="007D5668">
        <w:rPr>
          <w:lang w:val="es-ES"/>
        </w:rPr>
        <w:t>es</w:t>
      </w:r>
      <w:r w:rsidR="00152800">
        <w:rPr>
          <w:lang w:val="es-ES"/>
        </w:rPr>
        <w:t xml:space="preserve"> de estabilización. Est</w:t>
      </w:r>
      <w:r w:rsidR="007D5668">
        <w:rPr>
          <w:lang w:val="es-ES"/>
        </w:rPr>
        <w:t>a</w:t>
      </w:r>
      <w:r w:rsidR="00152800">
        <w:rPr>
          <w:lang w:val="es-ES"/>
        </w:rPr>
        <w:t xml:space="preserve"> </w:t>
      </w:r>
      <w:r w:rsidR="007D5668">
        <w:rPr>
          <w:lang w:val="es-ES"/>
        </w:rPr>
        <w:t xml:space="preserve">definición </w:t>
      </w:r>
      <w:r w:rsidR="00152800">
        <w:rPr>
          <w:lang w:val="es-ES"/>
        </w:rPr>
        <w:t>es muy relevante para las empresas distribuidoras</w:t>
      </w:r>
      <w:r w:rsidR="00E317FD">
        <w:rPr>
          <w:lang w:val="es-ES"/>
        </w:rPr>
        <w:t xml:space="preserve"> y generadoras</w:t>
      </w:r>
      <w:r w:rsidR="00152800">
        <w:rPr>
          <w:lang w:val="es-ES"/>
        </w:rPr>
        <w:t xml:space="preserve">, por tanto, sería positivo poder </w:t>
      </w:r>
      <w:r w:rsidR="007D5668">
        <w:rPr>
          <w:lang w:val="es-ES"/>
        </w:rPr>
        <w:t>identificarlo</w:t>
      </w:r>
      <w:r w:rsidR="00152800">
        <w:rPr>
          <w:lang w:val="es-ES"/>
        </w:rPr>
        <w:t xml:space="preserve"> en una columna, ya que en estos momentos solo se ve el diferencial que va al Saldo Suministradora (Contratos Definitivos – Contratos PNP *Factor de Estabilización).</w:t>
      </w:r>
    </w:p>
    <w:p w14:paraId="0D96988D" w14:textId="17646A55" w:rsidR="00E317FD" w:rsidRDefault="00E317FD" w:rsidP="00881719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Además, actualmente hemos tenido algunas dificultades con algunas generadoras que tienen dudas respecto al monto pagar (Contratos PNP *Factor de Estabilización</w:t>
      </w:r>
      <w:r w:rsidR="006A1361">
        <w:rPr>
          <w:lang w:val="es-ES"/>
        </w:rPr>
        <w:t>). Esto</w:t>
      </w:r>
      <w:r>
        <w:rPr>
          <w:lang w:val="es-ES"/>
        </w:rPr>
        <w:t xml:space="preserve"> </w:t>
      </w:r>
      <w:r w:rsidR="006A1361">
        <w:rPr>
          <w:lang w:val="es-ES"/>
        </w:rPr>
        <w:t>evitaría</w:t>
      </w:r>
      <w:r>
        <w:rPr>
          <w:lang w:val="es-ES"/>
        </w:rPr>
        <w:t xml:space="preserve"> </w:t>
      </w:r>
      <w:r w:rsidR="006A1361">
        <w:rPr>
          <w:lang w:val="es-ES"/>
        </w:rPr>
        <w:t xml:space="preserve">generar </w:t>
      </w:r>
      <w:r>
        <w:rPr>
          <w:lang w:val="es-ES"/>
        </w:rPr>
        <w:t>las confusiones que actualmente se producen.</w:t>
      </w:r>
    </w:p>
    <w:p w14:paraId="1001AA75" w14:textId="77777777" w:rsidR="00152800" w:rsidRPr="00152800" w:rsidRDefault="00152800" w:rsidP="00152800">
      <w:pPr>
        <w:spacing w:after="0"/>
        <w:jc w:val="both"/>
        <w:rPr>
          <w:lang w:val="es-ES"/>
        </w:rPr>
      </w:pPr>
    </w:p>
    <w:p w14:paraId="2D6484FC" w14:textId="77777777" w:rsidR="00881719" w:rsidRPr="009C604F" w:rsidRDefault="00881719" w:rsidP="00881719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30FC9608" w14:textId="4096E645" w:rsidR="00E317FD" w:rsidRDefault="00152800" w:rsidP="00E317FD">
      <w:pPr>
        <w:spacing w:after="0"/>
        <w:ind w:left="708" w:firstLine="2"/>
        <w:jc w:val="both"/>
        <w:rPr>
          <w:lang w:val="es-ES"/>
        </w:rPr>
      </w:pPr>
      <w:r>
        <w:rPr>
          <w:lang w:val="es-ES"/>
        </w:rPr>
        <w:t>Se solicita incorporar una columna con los valores de Contratos PNP * Factor de Estabilización.</w:t>
      </w:r>
    </w:p>
    <w:p w14:paraId="780CCE90" w14:textId="555732C7" w:rsidR="00E317FD" w:rsidRDefault="00E317FD" w:rsidP="00E317FD">
      <w:pPr>
        <w:spacing w:after="0"/>
        <w:jc w:val="both"/>
        <w:rPr>
          <w:lang w:val="es-ES"/>
        </w:rPr>
      </w:pPr>
    </w:p>
    <w:p w14:paraId="0D43EDF6" w14:textId="77777777" w:rsidR="002E0C90" w:rsidRPr="00E317FD" w:rsidRDefault="002E0C90" w:rsidP="00E317FD">
      <w:pPr>
        <w:spacing w:after="0"/>
        <w:jc w:val="both"/>
        <w:rPr>
          <w:lang w:val="es-ES"/>
        </w:rPr>
      </w:pPr>
    </w:p>
    <w:p w14:paraId="030E5FEE" w14:textId="77777777" w:rsidR="00E317FD" w:rsidRDefault="00E317FD" w:rsidP="00E317FD">
      <w:pPr>
        <w:pStyle w:val="Prrafodelista"/>
        <w:numPr>
          <w:ilvl w:val="0"/>
          <w:numId w:val="3"/>
        </w:numPr>
        <w:spacing w:after="0"/>
        <w:jc w:val="both"/>
        <w:rPr>
          <w:b/>
          <w:lang w:val="es-ES"/>
        </w:rPr>
      </w:pPr>
      <w:r w:rsidRPr="00FD5BE9">
        <w:rPr>
          <w:b/>
          <w:lang w:val="es-ES"/>
        </w:rPr>
        <w:t>Balance Dx_0721</w:t>
      </w:r>
    </w:p>
    <w:p w14:paraId="5982CE5A" w14:textId="77777777" w:rsidR="00E317FD" w:rsidRPr="000217FD" w:rsidRDefault="00E317FD" w:rsidP="00E317FD">
      <w:pPr>
        <w:pStyle w:val="Prrafodelista"/>
        <w:numPr>
          <w:ilvl w:val="0"/>
          <w:numId w:val="8"/>
        </w:numPr>
        <w:spacing w:after="0"/>
        <w:jc w:val="both"/>
        <w:rPr>
          <w:b/>
          <w:lang w:val="es-ES"/>
        </w:rPr>
      </w:pPr>
      <w:r w:rsidRPr="000217FD">
        <w:rPr>
          <w:b/>
          <w:lang w:val="es-ES"/>
        </w:rPr>
        <w:t>Balance TD</w:t>
      </w:r>
    </w:p>
    <w:p w14:paraId="0A3348F0" w14:textId="77777777" w:rsidR="00E317FD" w:rsidRDefault="00E317FD" w:rsidP="00E317FD">
      <w:pPr>
        <w:pStyle w:val="Prrafodelista"/>
        <w:spacing w:after="0"/>
        <w:rPr>
          <w:b/>
          <w:u w:val="single"/>
          <w:lang w:val="es-ES"/>
        </w:rPr>
      </w:pPr>
      <w:r w:rsidRPr="00FD5BE9">
        <w:rPr>
          <w:b/>
          <w:u w:val="single"/>
          <w:lang w:val="es-ES"/>
        </w:rPr>
        <w:t>Descripción:</w:t>
      </w:r>
    </w:p>
    <w:p w14:paraId="6C81DB6D" w14:textId="025000BF" w:rsidR="00E317FD" w:rsidRDefault="00E317FD" w:rsidP="00E317FD">
      <w:pPr>
        <w:pStyle w:val="Prrafodelista"/>
        <w:spacing w:after="0"/>
        <w:jc w:val="both"/>
        <w:rPr>
          <w:lang w:val="es-ES"/>
        </w:rPr>
      </w:pPr>
      <w:r w:rsidRPr="00FD5BE9">
        <w:rPr>
          <w:lang w:val="es-ES"/>
        </w:rPr>
        <w:t xml:space="preserve">Respecto a la </w:t>
      </w:r>
      <w:r>
        <w:rPr>
          <w:lang w:val="es-ES"/>
        </w:rPr>
        <w:t xml:space="preserve">incorporación del Balance TD al Balance </w:t>
      </w:r>
      <w:proofErr w:type="spellStart"/>
      <w:r>
        <w:rPr>
          <w:lang w:val="es-ES"/>
        </w:rPr>
        <w:t>Dx</w:t>
      </w:r>
      <w:proofErr w:type="spellEnd"/>
      <w:r>
        <w:rPr>
          <w:lang w:val="es-ES"/>
        </w:rPr>
        <w:t xml:space="preserve">, se entiende que, si en el cuadro de pago respectivo como empresa distribuidora corresponde pagar, este debe ir con signo negativo en la hoja TD del archivo “Balance Dx_0721”. Lo anterior se cumple para los Balances TD mensuales, </w:t>
      </w:r>
      <w:r w:rsidR="006A1361">
        <w:rPr>
          <w:lang w:val="es-ES"/>
        </w:rPr>
        <w:t>excepto</w:t>
      </w:r>
      <w:r>
        <w:rPr>
          <w:lang w:val="es-ES"/>
        </w:rPr>
        <w:t xml:space="preserve"> para los datos extraídos de la Reliquidación AR TD 2001 -2006. </w:t>
      </w:r>
    </w:p>
    <w:p w14:paraId="4CCBE64C" w14:textId="77777777" w:rsidR="00E317FD" w:rsidRDefault="00E317FD" w:rsidP="00E317FD">
      <w:pPr>
        <w:pStyle w:val="Prrafodelista"/>
        <w:spacing w:after="0"/>
        <w:jc w:val="both"/>
        <w:rPr>
          <w:lang w:val="es-ES"/>
        </w:rPr>
      </w:pPr>
    </w:p>
    <w:p w14:paraId="454EDBA2" w14:textId="77777777" w:rsidR="00E317FD" w:rsidRDefault="00E317FD" w:rsidP="00E317FD">
      <w:pPr>
        <w:pStyle w:val="Prrafodelista"/>
        <w:spacing w:after="0"/>
        <w:jc w:val="both"/>
        <w:rPr>
          <w:b/>
          <w:u w:val="single"/>
          <w:lang w:val="es-ES"/>
        </w:rPr>
      </w:pPr>
      <w:r w:rsidRPr="00623101">
        <w:rPr>
          <w:b/>
          <w:u w:val="single"/>
          <w:lang w:val="es-ES"/>
        </w:rPr>
        <w:t>Solicitud:</w:t>
      </w:r>
    </w:p>
    <w:p w14:paraId="7D4CB083" w14:textId="2B0FC736" w:rsidR="00E317FD" w:rsidRDefault="00E317FD" w:rsidP="00E317FD">
      <w:pPr>
        <w:pStyle w:val="Prrafodelista"/>
        <w:spacing w:after="0"/>
        <w:jc w:val="both"/>
        <w:rPr>
          <w:lang w:val="es-ES"/>
        </w:rPr>
      </w:pPr>
      <w:r w:rsidRPr="00623101">
        <w:rPr>
          <w:lang w:val="es-ES"/>
        </w:rPr>
        <w:t xml:space="preserve">Se solicita </w:t>
      </w:r>
      <w:r w:rsidR="006A1361">
        <w:rPr>
          <w:lang w:val="es-ES"/>
        </w:rPr>
        <w:t>corregir</w:t>
      </w:r>
      <w:r w:rsidR="006A1361" w:rsidRPr="00623101">
        <w:rPr>
          <w:lang w:val="es-ES"/>
        </w:rPr>
        <w:t xml:space="preserve"> </w:t>
      </w:r>
      <w:r w:rsidRPr="00623101">
        <w:rPr>
          <w:lang w:val="es-ES"/>
        </w:rPr>
        <w:t>el signo para los montos de la columna E de la hoja TD del archivo “Balance Dx_0721”</w:t>
      </w:r>
      <w:r w:rsidR="006A1361">
        <w:rPr>
          <w:lang w:val="es-ES"/>
        </w:rPr>
        <w:t>. P</w:t>
      </w:r>
      <w:r>
        <w:rPr>
          <w:lang w:val="es-ES"/>
        </w:rPr>
        <w:t xml:space="preserve">ara las empresas del grupo Chilquinta, </w:t>
      </w:r>
      <w:r w:rsidR="006A1361">
        <w:rPr>
          <w:lang w:val="es-ES"/>
        </w:rPr>
        <w:t xml:space="preserve">los montos correctos quedan </w:t>
      </w:r>
      <w:r>
        <w:rPr>
          <w:lang w:val="es-ES"/>
        </w:rPr>
        <w:t>de la siguiente manera:</w:t>
      </w:r>
    </w:p>
    <w:p w14:paraId="021C898E" w14:textId="211CE545" w:rsidR="00E317FD" w:rsidRDefault="00E317FD" w:rsidP="00E317FD">
      <w:pPr>
        <w:pStyle w:val="Prrafodelista"/>
        <w:spacing w:after="0"/>
        <w:jc w:val="both"/>
        <w:rPr>
          <w:lang w:val="es-ES"/>
        </w:rPr>
      </w:pPr>
    </w:p>
    <w:p w14:paraId="6C94402F" w14:textId="77777777" w:rsidR="002E0C90" w:rsidRDefault="002E0C90" w:rsidP="00E317FD">
      <w:pPr>
        <w:pStyle w:val="Prrafodelista"/>
        <w:spacing w:after="0"/>
        <w:jc w:val="both"/>
        <w:rPr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33"/>
        <w:gridCol w:w="2707"/>
      </w:tblGrid>
      <w:tr w:rsidR="00E317FD" w14:paraId="646FB727" w14:textId="77777777" w:rsidTr="00AE3924">
        <w:trPr>
          <w:jc w:val="center"/>
        </w:trPr>
        <w:tc>
          <w:tcPr>
            <w:tcW w:w="2533" w:type="dxa"/>
          </w:tcPr>
          <w:p w14:paraId="1BD5B8B9" w14:textId="77777777" w:rsidR="00E317FD" w:rsidRDefault="00E317FD" w:rsidP="00AE3924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Empresa</w:t>
            </w:r>
          </w:p>
        </w:tc>
        <w:tc>
          <w:tcPr>
            <w:tcW w:w="2707" w:type="dxa"/>
          </w:tcPr>
          <w:p w14:paraId="711C4428" w14:textId="77777777" w:rsidR="00E317FD" w:rsidRDefault="00E317FD" w:rsidP="00AE3924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Monto</w:t>
            </w:r>
          </w:p>
        </w:tc>
      </w:tr>
      <w:tr w:rsidR="00E317FD" w14:paraId="5015E904" w14:textId="77777777" w:rsidTr="00AE3924">
        <w:trPr>
          <w:jc w:val="center"/>
        </w:trPr>
        <w:tc>
          <w:tcPr>
            <w:tcW w:w="2533" w:type="dxa"/>
          </w:tcPr>
          <w:p w14:paraId="2CD2407D" w14:textId="77777777" w:rsidR="00E317FD" w:rsidRDefault="00E317FD" w:rsidP="00AE3924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CHILQUINTA</w:t>
            </w:r>
          </w:p>
        </w:tc>
        <w:tc>
          <w:tcPr>
            <w:tcW w:w="2707" w:type="dxa"/>
          </w:tcPr>
          <w:p w14:paraId="1900D5C7" w14:textId="77777777" w:rsidR="00E317FD" w:rsidRPr="00623101" w:rsidRDefault="00E317FD" w:rsidP="00AE3924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3101">
              <w:rPr>
                <w:rFonts w:ascii="Calibri" w:hAnsi="Calibri" w:cs="Calibri"/>
                <w:sz w:val="20"/>
                <w:szCs w:val="20"/>
              </w:rPr>
              <w:t>1,210,901</w:t>
            </w:r>
          </w:p>
        </w:tc>
      </w:tr>
      <w:tr w:rsidR="00E317FD" w14:paraId="56350B9B" w14:textId="77777777" w:rsidTr="00AE3924">
        <w:trPr>
          <w:jc w:val="center"/>
        </w:trPr>
        <w:tc>
          <w:tcPr>
            <w:tcW w:w="2533" w:type="dxa"/>
          </w:tcPr>
          <w:p w14:paraId="7399215B" w14:textId="77777777" w:rsidR="00E317FD" w:rsidRDefault="00E317FD" w:rsidP="00AE3924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EDECSA</w:t>
            </w:r>
          </w:p>
        </w:tc>
        <w:tc>
          <w:tcPr>
            <w:tcW w:w="2707" w:type="dxa"/>
          </w:tcPr>
          <w:p w14:paraId="54A19745" w14:textId="77777777" w:rsidR="00E317FD" w:rsidRPr="00623101" w:rsidRDefault="00E317FD" w:rsidP="00AE3924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3101">
              <w:rPr>
                <w:rFonts w:ascii="Calibri" w:hAnsi="Calibri" w:cs="Calibri"/>
                <w:sz w:val="20"/>
                <w:szCs w:val="20"/>
              </w:rPr>
              <w:t>56,437</w:t>
            </w:r>
          </w:p>
        </w:tc>
      </w:tr>
      <w:tr w:rsidR="00E317FD" w14:paraId="198A7653" w14:textId="77777777" w:rsidTr="00AE3924">
        <w:trPr>
          <w:jc w:val="center"/>
        </w:trPr>
        <w:tc>
          <w:tcPr>
            <w:tcW w:w="2533" w:type="dxa"/>
          </w:tcPr>
          <w:p w14:paraId="4C0B1578" w14:textId="77777777" w:rsidR="00E317FD" w:rsidRDefault="00E317FD" w:rsidP="00AE3924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LITORAL</w:t>
            </w:r>
          </w:p>
        </w:tc>
        <w:tc>
          <w:tcPr>
            <w:tcW w:w="2707" w:type="dxa"/>
          </w:tcPr>
          <w:p w14:paraId="60438677" w14:textId="77777777" w:rsidR="00E317FD" w:rsidRPr="00623101" w:rsidRDefault="00E317FD" w:rsidP="00AE3924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3101">
              <w:rPr>
                <w:rFonts w:ascii="Calibri" w:hAnsi="Calibri" w:cs="Calibri"/>
                <w:sz w:val="20"/>
                <w:szCs w:val="20"/>
              </w:rPr>
              <w:t>127,127</w:t>
            </w:r>
          </w:p>
        </w:tc>
      </w:tr>
      <w:tr w:rsidR="00E317FD" w14:paraId="53E2B16F" w14:textId="77777777" w:rsidTr="00AE3924">
        <w:trPr>
          <w:jc w:val="center"/>
        </w:trPr>
        <w:tc>
          <w:tcPr>
            <w:tcW w:w="2533" w:type="dxa"/>
          </w:tcPr>
          <w:p w14:paraId="6FEA01A0" w14:textId="77777777" w:rsidR="00E317FD" w:rsidRDefault="00E317FD" w:rsidP="00AE3924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LUZLINARES</w:t>
            </w:r>
          </w:p>
        </w:tc>
        <w:tc>
          <w:tcPr>
            <w:tcW w:w="2707" w:type="dxa"/>
          </w:tcPr>
          <w:p w14:paraId="7F4D4F28" w14:textId="77777777" w:rsidR="00E317FD" w:rsidRPr="00623101" w:rsidRDefault="00E317FD" w:rsidP="00AE3924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3101">
              <w:rPr>
                <w:rFonts w:ascii="Calibri" w:hAnsi="Calibri" w:cs="Calibri"/>
                <w:sz w:val="20"/>
                <w:szCs w:val="20"/>
              </w:rPr>
              <w:t>94,057</w:t>
            </w:r>
          </w:p>
        </w:tc>
      </w:tr>
      <w:tr w:rsidR="00E317FD" w14:paraId="437EBD5A" w14:textId="77777777" w:rsidTr="00AE3924">
        <w:trPr>
          <w:jc w:val="center"/>
        </w:trPr>
        <w:tc>
          <w:tcPr>
            <w:tcW w:w="2533" w:type="dxa"/>
          </w:tcPr>
          <w:p w14:paraId="3ABDCB90" w14:textId="77777777" w:rsidR="00E317FD" w:rsidRDefault="00E317FD" w:rsidP="00AE3924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LUZPARRAL</w:t>
            </w:r>
          </w:p>
        </w:tc>
        <w:tc>
          <w:tcPr>
            <w:tcW w:w="2707" w:type="dxa"/>
          </w:tcPr>
          <w:p w14:paraId="1E371DCB" w14:textId="77777777" w:rsidR="00E317FD" w:rsidRPr="00623101" w:rsidRDefault="00E317FD" w:rsidP="00AE3924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3101">
              <w:rPr>
                <w:rFonts w:ascii="Calibri" w:hAnsi="Calibri" w:cs="Calibri"/>
                <w:sz w:val="20"/>
                <w:szCs w:val="20"/>
              </w:rPr>
              <w:t>81,933</w:t>
            </w:r>
          </w:p>
        </w:tc>
      </w:tr>
    </w:tbl>
    <w:p w14:paraId="7032FFE8" w14:textId="77777777" w:rsidR="00E317FD" w:rsidRDefault="00E317FD" w:rsidP="00E317FD">
      <w:pPr>
        <w:spacing w:after="0"/>
        <w:jc w:val="both"/>
        <w:rPr>
          <w:lang w:val="es-ES"/>
        </w:rPr>
      </w:pPr>
    </w:p>
    <w:p w14:paraId="6F905BCB" w14:textId="7E3D16FE" w:rsidR="00E317FD" w:rsidRDefault="00E317FD" w:rsidP="00E317FD">
      <w:pPr>
        <w:spacing w:after="0"/>
        <w:ind w:left="708" w:firstLine="2"/>
        <w:jc w:val="both"/>
        <w:rPr>
          <w:lang w:val="es-ES"/>
        </w:rPr>
      </w:pPr>
      <w:r>
        <w:rPr>
          <w:lang w:val="es-ES"/>
        </w:rPr>
        <w:t>Además de corregir en la hoja Balance, la columna Balance TD (E), considerando los valores ajustados del cuadro anterior.</w:t>
      </w:r>
    </w:p>
    <w:p w14:paraId="08A7FFB8" w14:textId="3009E99F" w:rsidR="00E93080" w:rsidRDefault="00E93080" w:rsidP="00E317FD">
      <w:pPr>
        <w:spacing w:after="0"/>
        <w:ind w:left="708" w:firstLine="2"/>
        <w:jc w:val="both"/>
        <w:rPr>
          <w:lang w:val="es-ES"/>
        </w:rPr>
      </w:pPr>
    </w:p>
    <w:p w14:paraId="386E1B03" w14:textId="77777777" w:rsidR="00E93080" w:rsidRPr="000217FD" w:rsidRDefault="00E93080" w:rsidP="00E93080">
      <w:pPr>
        <w:pStyle w:val="Prrafodelista"/>
        <w:numPr>
          <w:ilvl w:val="0"/>
          <w:numId w:val="8"/>
        </w:numPr>
        <w:spacing w:after="0"/>
        <w:jc w:val="both"/>
        <w:rPr>
          <w:b/>
          <w:lang w:val="es-ES"/>
        </w:rPr>
      </w:pPr>
      <w:r w:rsidRPr="000217FD">
        <w:rPr>
          <w:b/>
          <w:lang w:val="es-ES"/>
        </w:rPr>
        <w:t>Balance TD</w:t>
      </w:r>
    </w:p>
    <w:p w14:paraId="2736398C" w14:textId="77777777" w:rsidR="00E93080" w:rsidRDefault="00E93080" w:rsidP="00E93080">
      <w:pPr>
        <w:pStyle w:val="Prrafodelista"/>
        <w:spacing w:after="0"/>
        <w:rPr>
          <w:b/>
          <w:u w:val="single"/>
          <w:lang w:val="es-ES"/>
        </w:rPr>
      </w:pPr>
      <w:r w:rsidRPr="00FD5BE9">
        <w:rPr>
          <w:b/>
          <w:u w:val="single"/>
          <w:lang w:val="es-ES"/>
        </w:rPr>
        <w:t>Descripción:</w:t>
      </w:r>
    </w:p>
    <w:p w14:paraId="07543FF3" w14:textId="7A2D58ED" w:rsidR="00E93080" w:rsidRDefault="00E93080" w:rsidP="00E317FD">
      <w:pPr>
        <w:spacing w:after="0"/>
        <w:ind w:left="708" w:firstLine="2"/>
        <w:jc w:val="both"/>
        <w:rPr>
          <w:lang w:val="es-ES"/>
        </w:rPr>
      </w:pPr>
      <w:r w:rsidRPr="00E93080">
        <w:rPr>
          <w:lang w:val="es-ES"/>
        </w:rPr>
        <w:t xml:space="preserve">En relación a los saldos que </w:t>
      </w:r>
      <w:r>
        <w:rPr>
          <w:lang w:val="es-ES"/>
        </w:rPr>
        <w:t xml:space="preserve">provienen de la fijación anterior, estos están ajustados por IPC. En las fijaciones anteriores este traspaso no tenía ningún tipo de ajuste, </w:t>
      </w:r>
      <w:r w:rsidR="006A1361">
        <w:rPr>
          <w:lang w:val="es-ES"/>
        </w:rPr>
        <w:t>siendo</w:t>
      </w:r>
      <w:r>
        <w:rPr>
          <w:lang w:val="es-ES"/>
        </w:rPr>
        <w:t xml:space="preserve"> necesario mantener una coherencia respecto a los criterios que se aplican en el modelo.</w:t>
      </w:r>
    </w:p>
    <w:p w14:paraId="3DAC577B" w14:textId="77777777" w:rsidR="000217FD" w:rsidRDefault="000217FD" w:rsidP="00E317FD">
      <w:pPr>
        <w:spacing w:after="0"/>
        <w:ind w:left="708" w:firstLine="2"/>
        <w:jc w:val="both"/>
        <w:rPr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3118"/>
        <w:gridCol w:w="2552"/>
      </w:tblGrid>
      <w:tr w:rsidR="003F124F" w14:paraId="7E0EBA50" w14:textId="77777777" w:rsidTr="003F124F">
        <w:trPr>
          <w:jc w:val="center"/>
        </w:trPr>
        <w:tc>
          <w:tcPr>
            <w:tcW w:w="988" w:type="dxa"/>
          </w:tcPr>
          <w:p w14:paraId="65972CFC" w14:textId="77777777" w:rsidR="003F124F" w:rsidRDefault="003F124F" w:rsidP="00AE3924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Fijación</w:t>
            </w:r>
          </w:p>
        </w:tc>
        <w:tc>
          <w:tcPr>
            <w:tcW w:w="3118" w:type="dxa"/>
          </w:tcPr>
          <w:p w14:paraId="73A599AF" w14:textId="77777777" w:rsidR="003F124F" w:rsidRDefault="003F124F" w:rsidP="00AE3924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Déficit Semestral Distribuidoras</w:t>
            </w:r>
          </w:p>
        </w:tc>
        <w:tc>
          <w:tcPr>
            <w:tcW w:w="2552" w:type="dxa"/>
          </w:tcPr>
          <w:p w14:paraId="3305BC1F" w14:textId="0264E683" w:rsidR="003F124F" w:rsidRDefault="003F124F" w:rsidP="003F124F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Déficit fijación anterior</w:t>
            </w:r>
          </w:p>
        </w:tc>
      </w:tr>
      <w:tr w:rsidR="003F124F" w14:paraId="6E2FF60C" w14:textId="77777777" w:rsidTr="003F124F">
        <w:trPr>
          <w:jc w:val="center"/>
        </w:trPr>
        <w:tc>
          <w:tcPr>
            <w:tcW w:w="988" w:type="dxa"/>
          </w:tcPr>
          <w:p w14:paraId="160E9317" w14:textId="77777777" w:rsidR="003F124F" w:rsidRDefault="003F124F" w:rsidP="00AE3924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Ene-20</w:t>
            </w:r>
          </w:p>
        </w:tc>
        <w:tc>
          <w:tcPr>
            <w:tcW w:w="3118" w:type="dxa"/>
          </w:tcPr>
          <w:p w14:paraId="482D8EEE" w14:textId="77777777" w:rsidR="003F124F" w:rsidRDefault="003F124F" w:rsidP="00AE3924">
            <w:pPr>
              <w:jc w:val="center"/>
              <w:rPr>
                <w:lang w:val="es-ES"/>
              </w:rPr>
            </w:pPr>
            <w:r w:rsidRPr="003F124F">
              <w:rPr>
                <w:lang w:val="es-ES"/>
              </w:rPr>
              <w:t>93,475,965,379</w:t>
            </w:r>
          </w:p>
        </w:tc>
        <w:tc>
          <w:tcPr>
            <w:tcW w:w="2552" w:type="dxa"/>
          </w:tcPr>
          <w:p w14:paraId="16D1156F" w14:textId="77777777" w:rsidR="003F124F" w:rsidRPr="003F124F" w:rsidRDefault="003F124F" w:rsidP="00AE3924">
            <w:pPr>
              <w:jc w:val="center"/>
              <w:rPr>
                <w:lang w:val="es-ES"/>
              </w:rPr>
            </w:pPr>
          </w:p>
        </w:tc>
      </w:tr>
      <w:tr w:rsidR="003F124F" w14:paraId="17A0DD60" w14:textId="77777777" w:rsidTr="003F124F">
        <w:trPr>
          <w:jc w:val="center"/>
        </w:trPr>
        <w:tc>
          <w:tcPr>
            <w:tcW w:w="988" w:type="dxa"/>
          </w:tcPr>
          <w:p w14:paraId="40FF2970" w14:textId="77777777" w:rsidR="003F124F" w:rsidRDefault="003F124F" w:rsidP="00AE3924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Jul-20</w:t>
            </w:r>
          </w:p>
        </w:tc>
        <w:tc>
          <w:tcPr>
            <w:tcW w:w="3118" w:type="dxa"/>
          </w:tcPr>
          <w:p w14:paraId="17E589ED" w14:textId="77777777" w:rsidR="003F124F" w:rsidRDefault="003F124F" w:rsidP="00AE39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4,971,540,673</w:t>
            </w:r>
          </w:p>
        </w:tc>
        <w:tc>
          <w:tcPr>
            <w:tcW w:w="2552" w:type="dxa"/>
          </w:tcPr>
          <w:p w14:paraId="5BE91393" w14:textId="77777777" w:rsidR="003F124F" w:rsidRDefault="003F124F" w:rsidP="00AE3924">
            <w:pPr>
              <w:jc w:val="center"/>
              <w:rPr>
                <w:lang w:val="es-ES"/>
              </w:rPr>
            </w:pPr>
            <w:r w:rsidRPr="003F124F">
              <w:rPr>
                <w:lang w:val="es-ES"/>
              </w:rPr>
              <w:t>93,475,965,379</w:t>
            </w:r>
          </w:p>
        </w:tc>
      </w:tr>
      <w:tr w:rsidR="003F124F" w14:paraId="5F15F95F" w14:textId="77777777" w:rsidTr="003F124F">
        <w:trPr>
          <w:jc w:val="center"/>
        </w:trPr>
        <w:tc>
          <w:tcPr>
            <w:tcW w:w="988" w:type="dxa"/>
          </w:tcPr>
          <w:p w14:paraId="11595FBB" w14:textId="77777777" w:rsidR="003F124F" w:rsidRDefault="003F124F" w:rsidP="00AE3924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Ene-21</w:t>
            </w:r>
          </w:p>
        </w:tc>
        <w:tc>
          <w:tcPr>
            <w:tcW w:w="3118" w:type="dxa"/>
          </w:tcPr>
          <w:p w14:paraId="2CBA30B9" w14:textId="77777777" w:rsidR="003F124F" w:rsidRDefault="003F124F" w:rsidP="00AE3924">
            <w:pPr>
              <w:jc w:val="center"/>
              <w:rPr>
                <w:lang w:val="es-ES"/>
              </w:rPr>
            </w:pPr>
            <w:r w:rsidRPr="003F124F">
              <w:rPr>
                <w:lang w:val="es-ES"/>
              </w:rPr>
              <w:t>12,405,943,753</w:t>
            </w:r>
          </w:p>
        </w:tc>
        <w:tc>
          <w:tcPr>
            <w:tcW w:w="2552" w:type="dxa"/>
          </w:tcPr>
          <w:p w14:paraId="7DEBEDFD" w14:textId="77777777" w:rsidR="003F124F" w:rsidRPr="003F124F" w:rsidRDefault="003F124F" w:rsidP="00AE39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4,971,540,673</w:t>
            </w:r>
          </w:p>
        </w:tc>
      </w:tr>
      <w:tr w:rsidR="003F124F" w14:paraId="6C4C769B" w14:textId="77777777" w:rsidTr="003F124F">
        <w:trPr>
          <w:jc w:val="center"/>
        </w:trPr>
        <w:tc>
          <w:tcPr>
            <w:tcW w:w="988" w:type="dxa"/>
          </w:tcPr>
          <w:p w14:paraId="690C9218" w14:textId="77777777" w:rsidR="003F124F" w:rsidRDefault="003F124F" w:rsidP="00AE3924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Jul-21</w:t>
            </w:r>
          </w:p>
        </w:tc>
        <w:tc>
          <w:tcPr>
            <w:tcW w:w="3118" w:type="dxa"/>
          </w:tcPr>
          <w:p w14:paraId="224D81BB" w14:textId="77777777" w:rsidR="003F124F" w:rsidRPr="003F124F" w:rsidRDefault="003F124F" w:rsidP="00AE3924">
            <w:pPr>
              <w:jc w:val="center"/>
              <w:rPr>
                <w:lang w:val="es-ES"/>
              </w:rPr>
            </w:pPr>
            <w:r w:rsidRPr="003F124F">
              <w:rPr>
                <w:lang w:val="es-ES"/>
              </w:rPr>
              <w:t>2,039,752,882</w:t>
            </w:r>
          </w:p>
        </w:tc>
        <w:tc>
          <w:tcPr>
            <w:tcW w:w="2552" w:type="dxa"/>
          </w:tcPr>
          <w:p w14:paraId="1276A2B3" w14:textId="77777777" w:rsidR="003F124F" w:rsidRPr="002D383C" w:rsidRDefault="003F124F" w:rsidP="00AE3924">
            <w:pPr>
              <w:jc w:val="center"/>
              <w:rPr>
                <w:i/>
                <w:lang w:val="es-ES"/>
              </w:rPr>
            </w:pPr>
            <w:r w:rsidRPr="002D383C">
              <w:rPr>
                <w:i/>
                <w:lang w:val="es-ES"/>
              </w:rPr>
              <w:t>12,588,795,159</w:t>
            </w:r>
          </w:p>
        </w:tc>
      </w:tr>
    </w:tbl>
    <w:p w14:paraId="12FBD578" w14:textId="381904EC" w:rsidR="00E93080" w:rsidRDefault="00E93080" w:rsidP="000217FD">
      <w:pPr>
        <w:spacing w:after="0"/>
        <w:jc w:val="both"/>
        <w:rPr>
          <w:lang w:val="es-ES"/>
        </w:rPr>
      </w:pPr>
    </w:p>
    <w:p w14:paraId="082654BB" w14:textId="77777777" w:rsidR="00E93080" w:rsidRDefault="00E93080" w:rsidP="00E93080">
      <w:pPr>
        <w:pStyle w:val="Prrafodelista"/>
        <w:spacing w:after="0"/>
        <w:jc w:val="both"/>
        <w:rPr>
          <w:b/>
          <w:u w:val="single"/>
          <w:lang w:val="es-ES"/>
        </w:rPr>
      </w:pPr>
      <w:r w:rsidRPr="00623101">
        <w:rPr>
          <w:b/>
          <w:u w:val="single"/>
          <w:lang w:val="es-ES"/>
        </w:rPr>
        <w:t>Solicitud:</w:t>
      </w:r>
    </w:p>
    <w:p w14:paraId="111DFAEE" w14:textId="75DB2388" w:rsidR="00E93080" w:rsidRDefault="00E93080" w:rsidP="000217FD">
      <w:pPr>
        <w:spacing w:after="0"/>
        <w:ind w:left="708" w:firstLine="2"/>
        <w:jc w:val="both"/>
        <w:rPr>
          <w:lang w:val="es-ES"/>
        </w:rPr>
      </w:pPr>
      <w:r>
        <w:rPr>
          <w:lang w:val="es-ES"/>
        </w:rPr>
        <w:t>Se solicita aplicar el correspondiente IPC a cada uno de los saldos de las fijaciones anteriores, que fueron traspasados a la fijación siguiente sin ningún ajuste.</w:t>
      </w:r>
    </w:p>
    <w:p w14:paraId="72EF1802" w14:textId="020CBEE7" w:rsidR="002D383C" w:rsidRDefault="002D383C" w:rsidP="000217FD">
      <w:pPr>
        <w:spacing w:after="0"/>
        <w:ind w:left="708" w:firstLine="2"/>
        <w:jc w:val="both"/>
        <w:rPr>
          <w:lang w:val="es-ES"/>
        </w:rPr>
      </w:pPr>
    </w:p>
    <w:p w14:paraId="3E0450CD" w14:textId="77777777" w:rsidR="002E0C90" w:rsidRDefault="002E0C90" w:rsidP="000217FD">
      <w:pPr>
        <w:spacing w:after="0"/>
        <w:ind w:left="708" w:firstLine="2"/>
        <w:jc w:val="both"/>
        <w:rPr>
          <w:lang w:val="es-ES"/>
        </w:rPr>
      </w:pPr>
    </w:p>
    <w:p w14:paraId="5B0E6AA2" w14:textId="79E16FF1" w:rsidR="002D383C" w:rsidRDefault="002D383C" w:rsidP="002D383C">
      <w:pPr>
        <w:pStyle w:val="Prrafodelista"/>
        <w:numPr>
          <w:ilvl w:val="0"/>
          <w:numId w:val="3"/>
        </w:numPr>
        <w:spacing w:after="0"/>
        <w:jc w:val="both"/>
        <w:rPr>
          <w:b/>
          <w:lang w:val="es-ES"/>
        </w:rPr>
      </w:pPr>
      <w:r>
        <w:rPr>
          <w:b/>
          <w:lang w:val="es-ES"/>
        </w:rPr>
        <w:t xml:space="preserve">Corrección </w:t>
      </w:r>
      <w:proofErr w:type="spellStart"/>
      <w:r>
        <w:rPr>
          <w:b/>
          <w:lang w:val="es-ES"/>
        </w:rPr>
        <w:t>Enel</w:t>
      </w:r>
      <w:proofErr w:type="spellEnd"/>
    </w:p>
    <w:p w14:paraId="28DA8440" w14:textId="52C55CF9" w:rsidR="001E22A6" w:rsidRPr="001E22A6" w:rsidRDefault="00C550C5" w:rsidP="001E22A6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Saldos</w:t>
      </w:r>
    </w:p>
    <w:p w14:paraId="35DFB07A" w14:textId="2769FE0D" w:rsidR="002D383C" w:rsidRPr="00C550C5" w:rsidRDefault="002D383C" w:rsidP="00C550C5">
      <w:pPr>
        <w:spacing w:after="0"/>
        <w:ind w:firstLine="708"/>
        <w:rPr>
          <w:b/>
          <w:u w:val="single"/>
          <w:lang w:val="es-ES"/>
        </w:rPr>
      </w:pPr>
      <w:r w:rsidRPr="00C550C5">
        <w:rPr>
          <w:b/>
          <w:u w:val="single"/>
          <w:lang w:val="es-ES"/>
        </w:rPr>
        <w:t>Descripción:</w:t>
      </w:r>
    </w:p>
    <w:p w14:paraId="6B5B2DE7" w14:textId="042F67E6" w:rsidR="00D15F8A" w:rsidRDefault="00D15F8A" w:rsidP="002D383C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 xml:space="preserve">Dentro de la Corrección de </w:t>
      </w:r>
      <w:proofErr w:type="spellStart"/>
      <w:r>
        <w:rPr>
          <w:lang w:val="es-ES"/>
        </w:rPr>
        <w:t>Enel</w:t>
      </w:r>
      <w:proofErr w:type="spellEnd"/>
      <w:r>
        <w:rPr>
          <w:lang w:val="es-ES"/>
        </w:rPr>
        <w:t xml:space="preserve">, realizada en el PNP de enero 2021, para el caso de </w:t>
      </w:r>
      <w:r w:rsidR="001E22A6">
        <w:rPr>
          <w:lang w:val="es-ES"/>
        </w:rPr>
        <w:t>Chilquinta y sus filiales se</w:t>
      </w:r>
      <w:r>
        <w:rPr>
          <w:lang w:val="es-ES"/>
        </w:rPr>
        <w:t xml:space="preserve"> produjeron las siguientes diferencias</w:t>
      </w:r>
      <w:r w:rsidR="00194F65">
        <w:rPr>
          <w:lang w:val="es-ES"/>
        </w:rPr>
        <w:t xml:space="preserve"> (comparando</w:t>
      </w:r>
      <w:r w:rsidR="001E22A6">
        <w:rPr>
          <w:lang w:val="es-ES"/>
        </w:rPr>
        <w:t xml:space="preserve"> la versión original con la corregida</w:t>
      </w:r>
      <w:r w:rsidR="00194F65">
        <w:rPr>
          <w:lang w:val="es-ES"/>
        </w:rPr>
        <w:t>)</w:t>
      </w:r>
      <w:r>
        <w:rPr>
          <w:lang w:val="es-ES"/>
        </w:rPr>
        <w:t>:</w:t>
      </w:r>
    </w:p>
    <w:p w14:paraId="57DA2059" w14:textId="6BEA4708" w:rsidR="001E22A6" w:rsidRDefault="001E22A6" w:rsidP="002D383C">
      <w:pPr>
        <w:pStyle w:val="Prrafodelista"/>
        <w:spacing w:after="0"/>
        <w:jc w:val="both"/>
        <w:rPr>
          <w:lang w:val="es-ES"/>
        </w:rPr>
      </w:pPr>
      <w:r w:rsidRPr="001E22A6">
        <w:rPr>
          <w:noProof/>
          <w:lang w:eastAsia="es-CL"/>
        </w:rPr>
        <w:drawing>
          <wp:inline distT="0" distB="0" distL="0" distR="0" wp14:anchorId="27E20807" wp14:editId="6A64F75C">
            <wp:extent cx="5400040" cy="187390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73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21887" w14:textId="3E7284B3" w:rsidR="002D383C" w:rsidRDefault="002D383C" w:rsidP="002D383C">
      <w:pPr>
        <w:pStyle w:val="Prrafodelista"/>
        <w:spacing w:after="0"/>
        <w:jc w:val="both"/>
        <w:rPr>
          <w:lang w:val="es-ES"/>
        </w:rPr>
      </w:pPr>
    </w:p>
    <w:p w14:paraId="4A59AB22" w14:textId="00E96CCE" w:rsidR="001E22A6" w:rsidRDefault="00194F65" w:rsidP="002D383C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Entendiendo que ésta</w:t>
      </w:r>
      <w:r w:rsidR="001E22A6">
        <w:rPr>
          <w:lang w:val="es-ES"/>
        </w:rPr>
        <w:t xml:space="preserve">s </w:t>
      </w:r>
      <w:r>
        <w:rPr>
          <w:lang w:val="es-ES"/>
        </w:rPr>
        <w:t xml:space="preserve">diferencias </w:t>
      </w:r>
      <w:r w:rsidR="001E22A6">
        <w:rPr>
          <w:lang w:val="es-ES"/>
        </w:rPr>
        <w:t>fueron producidas por ajustes en los factores de modulación. Los factores de modulación que se modificaron en la versión corregida</w:t>
      </w:r>
      <w:r>
        <w:rPr>
          <w:lang w:val="es-ES"/>
        </w:rPr>
        <w:t xml:space="preserve"> (</w:t>
      </w:r>
      <w:r w:rsidR="002E0C90">
        <w:rPr>
          <w:lang w:val="es-ES"/>
        </w:rPr>
        <w:t>enero</w:t>
      </w:r>
      <w:r>
        <w:rPr>
          <w:lang w:val="es-ES"/>
        </w:rPr>
        <w:t xml:space="preserve"> 2021)</w:t>
      </w:r>
      <w:r w:rsidR="001E22A6">
        <w:rPr>
          <w:lang w:val="es-ES"/>
        </w:rPr>
        <w:t>, que en el caso de Quillota 220 (</w:t>
      </w:r>
      <w:proofErr w:type="spellStart"/>
      <w:r w:rsidR="001E22A6">
        <w:rPr>
          <w:lang w:val="es-ES"/>
        </w:rPr>
        <w:t>Pto</w:t>
      </w:r>
      <w:proofErr w:type="spellEnd"/>
      <w:r w:rsidR="001E22A6">
        <w:rPr>
          <w:lang w:val="es-ES"/>
        </w:rPr>
        <w:t>. Oferta) y Quillota 220 (</w:t>
      </w:r>
      <w:proofErr w:type="spellStart"/>
      <w:r w:rsidR="001E22A6">
        <w:rPr>
          <w:lang w:val="es-ES"/>
        </w:rPr>
        <w:t>Pto</w:t>
      </w:r>
      <w:proofErr w:type="spellEnd"/>
      <w:r w:rsidR="001E22A6">
        <w:rPr>
          <w:lang w:val="es-ES"/>
        </w:rPr>
        <w:t>. Compra) tenían valores distintos, lo que no permitía que el cociente de ambos fuera 1.</w:t>
      </w:r>
    </w:p>
    <w:p w14:paraId="13E00406" w14:textId="64699972" w:rsidR="001E22A6" w:rsidRDefault="001E22A6" w:rsidP="001E22A6">
      <w:pPr>
        <w:spacing w:after="0"/>
        <w:jc w:val="both"/>
        <w:rPr>
          <w:lang w:val="es-ES"/>
        </w:rPr>
      </w:pPr>
      <w:r>
        <w:rPr>
          <w:lang w:val="es-ES"/>
        </w:rPr>
        <w:tab/>
      </w:r>
    </w:p>
    <w:p w14:paraId="42309689" w14:textId="260870EB" w:rsidR="001E22A6" w:rsidRPr="001E22A6" w:rsidRDefault="001E22A6" w:rsidP="00194F65">
      <w:pPr>
        <w:spacing w:after="0"/>
        <w:ind w:left="720"/>
        <w:jc w:val="both"/>
        <w:rPr>
          <w:lang w:val="es-ES"/>
        </w:rPr>
      </w:pPr>
      <w:r>
        <w:rPr>
          <w:lang w:val="es-ES"/>
        </w:rPr>
        <w:t xml:space="preserve">El ajuste erróneo del PNP enero 2021, viene corregido en el PNP julio 2021, </w:t>
      </w:r>
      <w:r w:rsidR="00194F65">
        <w:rPr>
          <w:lang w:val="es-ES"/>
        </w:rPr>
        <w:t xml:space="preserve">como error </w:t>
      </w:r>
      <w:r>
        <w:rPr>
          <w:lang w:val="es-ES"/>
        </w:rPr>
        <w:t xml:space="preserve">v2, por cuanto queda invalidado la corrección </w:t>
      </w:r>
      <w:r w:rsidR="00194F65">
        <w:rPr>
          <w:lang w:val="es-ES"/>
        </w:rPr>
        <w:t>del PNP enero 2021, con la excepción del mes de noviembre, donde se mantiene la valorización obtenida en el error (PNP ene   2021) y no la original.</w:t>
      </w:r>
    </w:p>
    <w:p w14:paraId="56F3D593" w14:textId="77777777" w:rsidR="002D383C" w:rsidRPr="00152800" w:rsidRDefault="002D383C" w:rsidP="002D383C">
      <w:pPr>
        <w:spacing w:after="0"/>
        <w:jc w:val="both"/>
        <w:rPr>
          <w:lang w:val="es-ES"/>
        </w:rPr>
      </w:pPr>
    </w:p>
    <w:p w14:paraId="63553CC5" w14:textId="77777777" w:rsidR="002D383C" w:rsidRPr="009C604F" w:rsidRDefault="002D383C" w:rsidP="002D383C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356DF611" w14:textId="0F503F1F" w:rsidR="002D383C" w:rsidRPr="00E93080" w:rsidRDefault="00194F65" w:rsidP="002E0C90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Se solicita revisar los antecedentes expuestos anteriormente, para corregir</w:t>
      </w:r>
      <w:r w:rsidR="001D40B0">
        <w:rPr>
          <w:lang w:val="es-ES"/>
        </w:rPr>
        <w:t xml:space="preserve">, </w:t>
      </w:r>
      <w:r w:rsidR="002A0C7D">
        <w:rPr>
          <w:lang w:val="es-ES"/>
        </w:rPr>
        <w:t>en caso que sea necesario</w:t>
      </w:r>
      <w:r w:rsidR="001D40B0">
        <w:rPr>
          <w:lang w:val="es-ES"/>
        </w:rPr>
        <w:t>,</w:t>
      </w:r>
      <w:r>
        <w:rPr>
          <w:lang w:val="es-ES"/>
        </w:rPr>
        <w:t xml:space="preserve"> la valorización de noviembre 2018.</w:t>
      </w:r>
    </w:p>
    <w:p w14:paraId="0FE05302" w14:textId="1492437F" w:rsidR="005F07BB" w:rsidRDefault="005F07BB" w:rsidP="00A8707A">
      <w:pPr>
        <w:spacing w:after="0"/>
        <w:jc w:val="both"/>
        <w:rPr>
          <w:lang w:val="es-ES"/>
        </w:rPr>
      </w:pPr>
    </w:p>
    <w:p w14:paraId="4A3415F2" w14:textId="77777777" w:rsidR="002E0C90" w:rsidRDefault="002E0C90" w:rsidP="00A8707A">
      <w:pPr>
        <w:spacing w:after="0"/>
        <w:jc w:val="both"/>
        <w:rPr>
          <w:lang w:val="es-ES"/>
        </w:rPr>
      </w:pPr>
    </w:p>
    <w:p w14:paraId="3D838721" w14:textId="056E844D" w:rsidR="000D433A" w:rsidRDefault="000D433A" w:rsidP="000D433A">
      <w:pPr>
        <w:pStyle w:val="Prrafodelista"/>
        <w:numPr>
          <w:ilvl w:val="0"/>
          <w:numId w:val="3"/>
        </w:numPr>
        <w:spacing w:after="0"/>
        <w:jc w:val="both"/>
        <w:rPr>
          <w:b/>
          <w:lang w:val="es-ES"/>
        </w:rPr>
      </w:pPr>
      <w:r>
        <w:rPr>
          <w:b/>
          <w:lang w:val="es-ES"/>
        </w:rPr>
        <w:t>ITP PNP jul 2021 – Observación General</w:t>
      </w:r>
    </w:p>
    <w:p w14:paraId="1F6A01D6" w14:textId="2E015259" w:rsidR="000D433A" w:rsidRPr="005F07BB" w:rsidRDefault="000D433A" w:rsidP="000D433A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Archivos Repetidos</w:t>
      </w:r>
    </w:p>
    <w:p w14:paraId="40D53A32" w14:textId="77777777" w:rsidR="000D433A" w:rsidRPr="009C604F" w:rsidRDefault="000D433A" w:rsidP="000D433A">
      <w:pPr>
        <w:pStyle w:val="Prrafodelista"/>
        <w:spacing w:after="0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61CD77D9" w14:textId="1C05FC53" w:rsidR="000D433A" w:rsidRPr="000D433A" w:rsidRDefault="000D433A" w:rsidP="000D433A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 xml:space="preserve">Hay archivos dentro del ITP que están repetidos, como, por ejemplo, </w:t>
      </w:r>
      <w:r w:rsidR="002A0C7D">
        <w:rPr>
          <w:lang w:val="es-ES"/>
        </w:rPr>
        <w:t>el 043 y</w:t>
      </w:r>
      <w:r>
        <w:rPr>
          <w:lang w:val="es-ES"/>
        </w:rPr>
        <w:t xml:space="preserve"> 045, que están en las carpetas 04. Balance </w:t>
      </w:r>
      <w:proofErr w:type="spellStart"/>
      <w:r>
        <w:rPr>
          <w:lang w:val="es-ES"/>
        </w:rPr>
        <w:t>Dx</w:t>
      </w:r>
      <w:proofErr w:type="spellEnd"/>
      <w:r>
        <w:rPr>
          <w:lang w:val="es-ES"/>
        </w:rPr>
        <w:t xml:space="preserve">, 06. </w:t>
      </w:r>
      <w:proofErr w:type="spellStart"/>
      <w:r>
        <w:rPr>
          <w:lang w:val="es-ES"/>
        </w:rPr>
        <w:t>Efact</w:t>
      </w:r>
      <w:proofErr w:type="spellEnd"/>
      <w:r>
        <w:rPr>
          <w:lang w:val="es-ES"/>
        </w:rPr>
        <w:t xml:space="preserve"> Contratos y 07. </w:t>
      </w:r>
      <w:proofErr w:type="spellStart"/>
      <w:r>
        <w:rPr>
          <w:lang w:val="es-ES"/>
        </w:rPr>
        <w:t>Efact</w:t>
      </w:r>
      <w:proofErr w:type="spellEnd"/>
      <w:r>
        <w:rPr>
          <w:lang w:val="es-ES"/>
        </w:rPr>
        <w:t xml:space="preserve"> Saldos</w:t>
      </w:r>
      <w:r w:rsidR="00A657FA">
        <w:rPr>
          <w:lang w:val="es-ES"/>
        </w:rPr>
        <w:t>. Esto puede</w:t>
      </w:r>
      <w:r>
        <w:rPr>
          <w:lang w:val="es-ES"/>
        </w:rPr>
        <w:t xml:space="preserve"> </w:t>
      </w:r>
      <w:r w:rsidR="00A657FA">
        <w:rPr>
          <w:lang w:val="es-ES"/>
        </w:rPr>
        <w:t>ocasionar</w:t>
      </w:r>
      <w:r>
        <w:rPr>
          <w:lang w:val="es-ES"/>
        </w:rPr>
        <w:t xml:space="preserve"> algunas</w:t>
      </w:r>
      <w:r w:rsidR="00A657FA">
        <w:rPr>
          <w:lang w:val="es-ES"/>
        </w:rPr>
        <w:t xml:space="preserve"> dudas y puede conllevar a errores.</w:t>
      </w:r>
    </w:p>
    <w:p w14:paraId="0F3C1FDC" w14:textId="77777777" w:rsidR="000D433A" w:rsidRPr="00152800" w:rsidRDefault="000D433A" w:rsidP="000D433A">
      <w:pPr>
        <w:spacing w:after="0"/>
        <w:jc w:val="both"/>
        <w:rPr>
          <w:lang w:val="es-ES"/>
        </w:rPr>
      </w:pPr>
    </w:p>
    <w:p w14:paraId="109EE795" w14:textId="77777777" w:rsidR="000D433A" w:rsidRPr="009C604F" w:rsidRDefault="000D433A" w:rsidP="000D433A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1F832273" w14:textId="2029E172" w:rsidR="000D433A" w:rsidRPr="000D433A" w:rsidRDefault="000D433A" w:rsidP="000D433A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 xml:space="preserve">Se solicita </w:t>
      </w:r>
      <w:r w:rsidR="00A657FA">
        <w:rPr>
          <w:lang w:val="es-ES"/>
        </w:rPr>
        <w:t xml:space="preserve">no repetir los archivos en distintas carpetas, de modo de evitar errores y confusiones. </w:t>
      </w:r>
    </w:p>
    <w:p w14:paraId="54ACBAE4" w14:textId="521C9189" w:rsidR="000D433A" w:rsidRDefault="000D433A" w:rsidP="000217FD">
      <w:pPr>
        <w:spacing w:after="0"/>
        <w:jc w:val="both"/>
        <w:rPr>
          <w:b/>
          <w:lang w:val="es-ES"/>
        </w:rPr>
      </w:pPr>
    </w:p>
    <w:p w14:paraId="2D0812A8" w14:textId="77777777" w:rsidR="00C550C5" w:rsidRPr="000217FD" w:rsidRDefault="00C550C5" w:rsidP="000217FD">
      <w:pPr>
        <w:spacing w:after="0"/>
        <w:jc w:val="both"/>
        <w:rPr>
          <w:b/>
          <w:lang w:val="es-ES"/>
        </w:rPr>
      </w:pPr>
    </w:p>
    <w:p w14:paraId="4C0345B8" w14:textId="13C999AC" w:rsidR="005F07BB" w:rsidRPr="000217FD" w:rsidRDefault="005F07BB" w:rsidP="000217FD">
      <w:pPr>
        <w:pStyle w:val="Prrafodelista"/>
        <w:numPr>
          <w:ilvl w:val="0"/>
          <w:numId w:val="3"/>
        </w:numPr>
        <w:spacing w:after="0"/>
        <w:jc w:val="both"/>
        <w:rPr>
          <w:b/>
          <w:lang w:val="es-ES"/>
        </w:rPr>
      </w:pPr>
      <w:r>
        <w:rPr>
          <w:b/>
          <w:lang w:val="es-ES"/>
        </w:rPr>
        <w:t>ITD PNP e</w:t>
      </w:r>
      <w:r w:rsidRPr="005F07BB">
        <w:rPr>
          <w:b/>
          <w:lang w:val="es-ES"/>
        </w:rPr>
        <w:t>nero 2021</w:t>
      </w:r>
    </w:p>
    <w:p w14:paraId="7BF9D486" w14:textId="3B0C981B" w:rsidR="005F07BB" w:rsidRPr="005F07BB" w:rsidRDefault="005F07BB" w:rsidP="005F07BB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 xml:space="preserve">Factor de Perdidas </w:t>
      </w:r>
      <w:proofErr w:type="spellStart"/>
      <w:r>
        <w:rPr>
          <w:b/>
          <w:lang w:val="es-ES"/>
        </w:rPr>
        <w:t>Efact</w:t>
      </w:r>
      <w:proofErr w:type="spellEnd"/>
      <w:r>
        <w:rPr>
          <w:b/>
          <w:lang w:val="es-ES"/>
        </w:rPr>
        <w:t xml:space="preserve"> septiembre 2020</w:t>
      </w:r>
    </w:p>
    <w:p w14:paraId="3A5B24A5" w14:textId="77777777" w:rsidR="005F07BB" w:rsidRPr="009C604F" w:rsidRDefault="005F07BB" w:rsidP="005F07BB">
      <w:pPr>
        <w:pStyle w:val="Prrafodelista"/>
        <w:spacing w:after="0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5599B378" w14:textId="630F0913" w:rsidR="005F07BB" w:rsidRPr="00BB5FE8" w:rsidRDefault="00BB5FE8" w:rsidP="00BB5FE8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Las Perdidas de Energía y Potencia (FEPE y FEPP) del mes de septiembre para el tipo de versión “Versión Contratos Definitiva” corresponden a los de agosto.</w:t>
      </w:r>
    </w:p>
    <w:p w14:paraId="0486E128" w14:textId="77777777" w:rsidR="005F07BB" w:rsidRPr="00152800" w:rsidRDefault="005F07BB" w:rsidP="005F07BB">
      <w:pPr>
        <w:spacing w:after="0"/>
        <w:jc w:val="both"/>
        <w:rPr>
          <w:lang w:val="es-ES"/>
        </w:rPr>
      </w:pPr>
    </w:p>
    <w:p w14:paraId="457877D9" w14:textId="77777777" w:rsidR="005F07BB" w:rsidRPr="009C604F" w:rsidRDefault="005F07BB" w:rsidP="005F07BB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3301E599" w14:textId="12162400" w:rsidR="00BB5FE8" w:rsidRDefault="00BB5FE8" w:rsidP="00BB5FE8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Se solicita utilizar los valores correctos para el mes de septiembre 2020.</w:t>
      </w:r>
    </w:p>
    <w:p w14:paraId="6AD1EE61" w14:textId="77777777" w:rsidR="00BB5FE8" w:rsidRDefault="00BB5FE8" w:rsidP="00BB5FE8">
      <w:pPr>
        <w:pStyle w:val="Prrafodelista"/>
        <w:spacing w:after="0"/>
        <w:jc w:val="both"/>
        <w:rPr>
          <w:lang w:val="es-ES"/>
        </w:rPr>
      </w:pPr>
    </w:p>
    <w:tbl>
      <w:tblPr>
        <w:tblStyle w:val="Tablaconcuadrcula"/>
        <w:tblW w:w="0" w:type="auto"/>
        <w:tblInd w:w="2689" w:type="dxa"/>
        <w:tblLook w:val="04A0" w:firstRow="1" w:lastRow="0" w:firstColumn="1" w:lastColumn="0" w:noHBand="0" w:noVBand="1"/>
      </w:tblPr>
      <w:tblGrid>
        <w:gridCol w:w="918"/>
        <w:gridCol w:w="2200"/>
        <w:gridCol w:w="1134"/>
      </w:tblGrid>
      <w:tr w:rsidR="00BB5FE8" w14:paraId="3C02D793" w14:textId="77777777" w:rsidTr="00F641CE">
        <w:tc>
          <w:tcPr>
            <w:tcW w:w="918" w:type="dxa"/>
          </w:tcPr>
          <w:p w14:paraId="12B2EA3D" w14:textId="77777777" w:rsidR="00BB5FE8" w:rsidRDefault="00BB5FE8" w:rsidP="00EA3B8C">
            <w:pPr>
              <w:rPr>
                <w:lang w:val="es-ES"/>
              </w:rPr>
            </w:pPr>
            <w:r>
              <w:rPr>
                <w:lang w:val="es-ES"/>
              </w:rPr>
              <w:t>Sistema</w:t>
            </w:r>
          </w:p>
        </w:tc>
        <w:tc>
          <w:tcPr>
            <w:tcW w:w="2200" w:type="dxa"/>
          </w:tcPr>
          <w:p w14:paraId="74D0E852" w14:textId="77777777" w:rsidR="00BB5FE8" w:rsidRDefault="00BB5FE8" w:rsidP="00EA3B8C">
            <w:pPr>
              <w:pStyle w:val="Prrafodelista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FEPE</w:t>
            </w:r>
          </w:p>
        </w:tc>
        <w:tc>
          <w:tcPr>
            <w:tcW w:w="1134" w:type="dxa"/>
          </w:tcPr>
          <w:p w14:paraId="0D6D7A8B" w14:textId="77777777" w:rsidR="00BB5FE8" w:rsidRDefault="00BB5FE8" w:rsidP="00EA3B8C">
            <w:pPr>
              <w:pStyle w:val="Prrafodelista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FEPP</w:t>
            </w:r>
          </w:p>
        </w:tc>
      </w:tr>
      <w:tr w:rsidR="00BB5FE8" w14:paraId="03E0862E" w14:textId="77777777" w:rsidTr="00F641CE">
        <w:trPr>
          <w:trHeight w:val="339"/>
        </w:trPr>
        <w:tc>
          <w:tcPr>
            <w:tcW w:w="918" w:type="dxa"/>
          </w:tcPr>
          <w:p w14:paraId="5414FB44" w14:textId="77777777" w:rsidR="00BB5FE8" w:rsidRDefault="00BB5FE8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t>A</w:t>
            </w:r>
          </w:p>
        </w:tc>
        <w:tc>
          <w:tcPr>
            <w:tcW w:w="2200" w:type="dxa"/>
          </w:tcPr>
          <w:p w14:paraId="43F849E0" w14:textId="4D46EBC1" w:rsidR="00BB5FE8" w:rsidRDefault="00F641CE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 w:rsidRPr="00F641CE">
              <w:rPr>
                <w:lang w:val="es-ES"/>
              </w:rPr>
              <w:t>1.01784139598067</w:t>
            </w:r>
          </w:p>
        </w:tc>
        <w:tc>
          <w:tcPr>
            <w:tcW w:w="1134" w:type="dxa"/>
          </w:tcPr>
          <w:p w14:paraId="2736FEFA" w14:textId="3FA9390E" w:rsidR="00BB5FE8" w:rsidRPr="00960FF9" w:rsidRDefault="00F641CE" w:rsidP="00EA3B8C">
            <w:pPr>
              <w:jc w:val="both"/>
              <w:rPr>
                <w:rFonts w:ascii="Calibri" w:hAnsi="Calibri" w:cs="Calibri"/>
                <w:color w:val="000000"/>
              </w:rPr>
            </w:pPr>
            <w:r w:rsidRPr="00F641CE">
              <w:rPr>
                <w:rFonts w:ascii="Calibri" w:hAnsi="Calibri" w:cs="Calibri"/>
                <w:color w:val="000000"/>
              </w:rPr>
              <w:t>1.01611</w:t>
            </w:r>
          </w:p>
        </w:tc>
      </w:tr>
      <w:tr w:rsidR="00BB5FE8" w14:paraId="76B4387D" w14:textId="77777777" w:rsidTr="00F641CE">
        <w:tc>
          <w:tcPr>
            <w:tcW w:w="918" w:type="dxa"/>
          </w:tcPr>
          <w:p w14:paraId="57883F84" w14:textId="77777777" w:rsidR="00BB5FE8" w:rsidRDefault="00BB5FE8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B</w:t>
            </w:r>
          </w:p>
        </w:tc>
        <w:tc>
          <w:tcPr>
            <w:tcW w:w="2200" w:type="dxa"/>
          </w:tcPr>
          <w:p w14:paraId="20F99C9F" w14:textId="779848DF" w:rsidR="00BB5FE8" w:rsidRDefault="00F641CE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 w:rsidRPr="00F641CE">
              <w:rPr>
                <w:lang w:val="es-ES"/>
              </w:rPr>
              <w:t>1.02203262524751</w:t>
            </w:r>
          </w:p>
        </w:tc>
        <w:tc>
          <w:tcPr>
            <w:tcW w:w="1134" w:type="dxa"/>
          </w:tcPr>
          <w:p w14:paraId="22FA484B" w14:textId="2DFDDA7C" w:rsidR="00BB5FE8" w:rsidRDefault="00F641CE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 w:rsidRPr="00F641CE">
              <w:rPr>
                <w:lang w:val="es-ES"/>
              </w:rPr>
              <w:t>1.01237</w:t>
            </w:r>
          </w:p>
        </w:tc>
      </w:tr>
      <w:tr w:rsidR="00BB5FE8" w14:paraId="21E354D7" w14:textId="77777777" w:rsidTr="00F641CE">
        <w:tc>
          <w:tcPr>
            <w:tcW w:w="918" w:type="dxa"/>
          </w:tcPr>
          <w:p w14:paraId="7AE80C0B" w14:textId="77777777" w:rsidR="00BB5FE8" w:rsidRDefault="00BB5FE8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C</w:t>
            </w:r>
          </w:p>
        </w:tc>
        <w:tc>
          <w:tcPr>
            <w:tcW w:w="2200" w:type="dxa"/>
          </w:tcPr>
          <w:p w14:paraId="3322ECEB" w14:textId="205A57E2" w:rsidR="00BB5FE8" w:rsidRPr="00960FF9" w:rsidRDefault="00F641CE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 w:rsidRPr="00F641CE">
              <w:rPr>
                <w:lang w:val="es-ES"/>
              </w:rPr>
              <w:t>1.03208931519342</w:t>
            </w:r>
          </w:p>
        </w:tc>
        <w:tc>
          <w:tcPr>
            <w:tcW w:w="1134" w:type="dxa"/>
          </w:tcPr>
          <w:p w14:paraId="5DE7D500" w14:textId="6EC3ACF1" w:rsidR="00BB5FE8" w:rsidRPr="00960FF9" w:rsidRDefault="00F641CE" w:rsidP="00EA3B8C">
            <w:pPr>
              <w:jc w:val="both"/>
              <w:rPr>
                <w:rFonts w:ascii="Calibri" w:hAnsi="Calibri" w:cs="Calibri"/>
                <w:color w:val="000000"/>
              </w:rPr>
            </w:pPr>
            <w:r w:rsidRPr="00F641CE">
              <w:rPr>
                <w:rFonts w:ascii="Calibri" w:hAnsi="Calibri" w:cs="Calibri"/>
                <w:color w:val="000000"/>
              </w:rPr>
              <w:t>1.0327</w:t>
            </w:r>
          </w:p>
        </w:tc>
      </w:tr>
      <w:tr w:rsidR="00BB5FE8" w14:paraId="21E7C645" w14:textId="77777777" w:rsidTr="00F641CE">
        <w:tc>
          <w:tcPr>
            <w:tcW w:w="918" w:type="dxa"/>
          </w:tcPr>
          <w:p w14:paraId="293A8EE7" w14:textId="77777777" w:rsidR="00BB5FE8" w:rsidRDefault="00BB5FE8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D</w:t>
            </w:r>
          </w:p>
        </w:tc>
        <w:tc>
          <w:tcPr>
            <w:tcW w:w="2200" w:type="dxa"/>
          </w:tcPr>
          <w:p w14:paraId="468902BE" w14:textId="1AF74088" w:rsidR="00BB5FE8" w:rsidRPr="00960FF9" w:rsidRDefault="00F641CE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 w:rsidRPr="00F641CE">
              <w:rPr>
                <w:lang w:val="es-ES"/>
              </w:rPr>
              <w:t>1.01556265502448</w:t>
            </w:r>
          </w:p>
        </w:tc>
        <w:tc>
          <w:tcPr>
            <w:tcW w:w="1134" w:type="dxa"/>
          </w:tcPr>
          <w:p w14:paraId="113B102A" w14:textId="0BBD0E8E" w:rsidR="00BB5FE8" w:rsidRDefault="00F641CE" w:rsidP="00F641CE">
            <w:pPr>
              <w:pStyle w:val="Prrafodelista"/>
              <w:ind w:left="0"/>
              <w:jc w:val="both"/>
              <w:rPr>
                <w:lang w:val="es-ES"/>
              </w:rPr>
            </w:pPr>
            <w:r w:rsidRPr="00F641CE">
              <w:rPr>
                <w:lang w:val="es-ES"/>
              </w:rPr>
              <w:t>1.0124</w:t>
            </w:r>
          </w:p>
        </w:tc>
      </w:tr>
      <w:tr w:rsidR="00BB5FE8" w14:paraId="7B42A97B" w14:textId="77777777" w:rsidTr="00F641CE">
        <w:tc>
          <w:tcPr>
            <w:tcW w:w="918" w:type="dxa"/>
          </w:tcPr>
          <w:p w14:paraId="53AE0295" w14:textId="77777777" w:rsidR="00BB5FE8" w:rsidRDefault="00BB5FE8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E</w:t>
            </w:r>
          </w:p>
        </w:tc>
        <w:tc>
          <w:tcPr>
            <w:tcW w:w="2200" w:type="dxa"/>
          </w:tcPr>
          <w:p w14:paraId="55A5ECD6" w14:textId="28AB5891" w:rsidR="00BB5FE8" w:rsidRPr="00960FF9" w:rsidRDefault="00F641CE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 w:rsidRPr="00F641CE">
              <w:rPr>
                <w:lang w:val="es-ES"/>
              </w:rPr>
              <w:t>1.03380861852672</w:t>
            </w:r>
          </w:p>
        </w:tc>
        <w:tc>
          <w:tcPr>
            <w:tcW w:w="1134" w:type="dxa"/>
          </w:tcPr>
          <w:p w14:paraId="597BBE5C" w14:textId="1EAF0D88" w:rsidR="00BB5FE8" w:rsidRDefault="00F641CE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 w:rsidRPr="00F641CE">
              <w:rPr>
                <w:lang w:val="es-ES"/>
              </w:rPr>
              <w:t>1.04878</w:t>
            </w:r>
          </w:p>
        </w:tc>
      </w:tr>
      <w:tr w:rsidR="00BB5FE8" w14:paraId="27E36365" w14:textId="77777777" w:rsidTr="00F641CE">
        <w:tc>
          <w:tcPr>
            <w:tcW w:w="918" w:type="dxa"/>
          </w:tcPr>
          <w:p w14:paraId="476CE0A0" w14:textId="77777777" w:rsidR="00BB5FE8" w:rsidRDefault="00BB5FE8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>
              <w:rPr>
                <w:lang w:val="es-ES"/>
              </w:rPr>
              <w:t>F</w:t>
            </w:r>
          </w:p>
        </w:tc>
        <w:tc>
          <w:tcPr>
            <w:tcW w:w="2200" w:type="dxa"/>
          </w:tcPr>
          <w:p w14:paraId="36F2273A" w14:textId="4AFC555E" w:rsidR="00BB5FE8" w:rsidRPr="00960FF9" w:rsidRDefault="00F641CE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 w:rsidRPr="00F641CE">
              <w:rPr>
                <w:lang w:val="es-ES"/>
              </w:rPr>
              <w:t>1.0276109518508</w:t>
            </w:r>
          </w:p>
        </w:tc>
        <w:tc>
          <w:tcPr>
            <w:tcW w:w="1134" w:type="dxa"/>
          </w:tcPr>
          <w:p w14:paraId="02D7B264" w14:textId="052B97A0" w:rsidR="00BB5FE8" w:rsidRDefault="00F641CE" w:rsidP="00EA3B8C">
            <w:pPr>
              <w:pStyle w:val="Prrafodelista"/>
              <w:ind w:left="0"/>
              <w:jc w:val="both"/>
              <w:rPr>
                <w:lang w:val="es-ES"/>
              </w:rPr>
            </w:pPr>
            <w:r w:rsidRPr="00F641CE">
              <w:rPr>
                <w:lang w:val="es-ES"/>
              </w:rPr>
              <w:t>1.04052</w:t>
            </w:r>
          </w:p>
        </w:tc>
      </w:tr>
    </w:tbl>
    <w:p w14:paraId="1B8653C9" w14:textId="77777777" w:rsidR="00021C22" w:rsidRDefault="00021C22" w:rsidP="003F08C9">
      <w:pPr>
        <w:spacing w:after="0"/>
        <w:jc w:val="both"/>
        <w:rPr>
          <w:b/>
          <w:u w:val="single"/>
          <w:lang w:val="es-ES"/>
        </w:rPr>
      </w:pPr>
      <w:bookmarkStart w:id="0" w:name="_GoBack"/>
      <w:bookmarkEnd w:id="0"/>
    </w:p>
    <w:sectPr w:rsidR="00021C22" w:rsidSect="00AE3764">
      <w:headerReference w:type="default" r:id="rId9"/>
      <w:pgSz w:w="11906" w:h="16838"/>
      <w:pgMar w:top="929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D306D" w16cex:dateUtc="2021-05-05T18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9B7F7C" w16cid:durableId="243D30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EF82C" w14:textId="77777777" w:rsidR="00C87264" w:rsidRDefault="00C87264" w:rsidP="009D0D3E">
      <w:pPr>
        <w:spacing w:after="0" w:line="240" w:lineRule="auto"/>
      </w:pPr>
      <w:r>
        <w:separator/>
      </w:r>
    </w:p>
  </w:endnote>
  <w:endnote w:type="continuationSeparator" w:id="0">
    <w:p w14:paraId="5F8E1998" w14:textId="77777777" w:rsidR="00C87264" w:rsidRDefault="00C87264" w:rsidP="009D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ECB08" w14:textId="77777777" w:rsidR="00C87264" w:rsidRDefault="00C87264" w:rsidP="009D0D3E">
      <w:pPr>
        <w:spacing w:after="0" w:line="240" w:lineRule="auto"/>
      </w:pPr>
      <w:r>
        <w:separator/>
      </w:r>
    </w:p>
  </w:footnote>
  <w:footnote w:type="continuationSeparator" w:id="0">
    <w:p w14:paraId="74E8556A" w14:textId="77777777" w:rsidR="00C87264" w:rsidRDefault="00C87264" w:rsidP="009D0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44"/>
      <w:gridCol w:w="6663"/>
    </w:tblGrid>
    <w:tr w:rsidR="00AE3764" w14:paraId="6B398711" w14:textId="77777777" w:rsidTr="00AE3764">
      <w:trPr>
        <w:trHeight w:val="845"/>
      </w:trPr>
      <w:tc>
        <w:tcPr>
          <w:tcW w:w="3544" w:type="dxa"/>
          <w:vAlign w:val="center"/>
        </w:tcPr>
        <w:p w14:paraId="439F0205" w14:textId="77777777" w:rsidR="00AE3764" w:rsidRPr="00BC5F37" w:rsidRDefault="00AE3764" w:rsidP="00D1698A">
          <w:pPr>
            <w:spacing w:after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es-CL"/>
            </w:rPr>
            <w:drawing>
              <wp:anchor distT="0" distB="0" distL="114300" distR="114300" simplePos="0" relativeHeight="251658240" behindDoc="1" locked="0" layoutInCell="1" allowOverlap="1" wp14:anchorId="401241F5" wp14:editId="17791D10">
                <wp:simplePos x="0" y="0"/>
                <wp:positionH relativeFrom="column">
                  <wp:posOffset>15009</wp:posOffset>
                </wp:positionH>
                <wp:positionV relativeFrom="paragraph">
                  <wp:posOffset>1270</wp:posOffset>
                </wp:positionV>
                <wp:extent cx="2083435" cy="524510"/>
                <wp:effectExtent l="0" t="0" r="0" b="8890"/>
                <wp:wrapNone/>
                <wp:docPr id="1" name="Imagen 1" descr="Chilquin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hilquin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007" t="27187" r="6827" b="3026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343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63" w:type="dxa"/>
          <w:vAlign w:val="center"/>
        </w:tcPr>
        <w:p w14:paraId="461D4053" w14:textId="77777777" w:rsidR="00AE3764" w:rsidRPr="00BC5F37" w:rsidRDefault="00AE3764" w:rsidP="00D1698A">
          <w:pPr>
            <w:spacing w:after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GRUPO DE EMPRESAS CHILQUINTA</w:t>
          </w:r>
        </w:p>
      </w:tc>
    </w:tr>
  </w:tbl>
  <w:p w14:paraId="18FF8BFE" w14:textId="77777777" w:rsidR="009D0D3E" w:rsidRPr="00AE3764" w:rsidRDefault="009D0D3E" w:rsidP="00AE37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B"/>
    <w:multiLevelType w:val="hybridMultilevel"/>
    <w:tmpl w:val="550ACCA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6453BC"/>
    <w:multiLevelType w:val="hybridMultilevel"/>
    <w:tmpl w:val="FA228F56"/>
    <w:lvl w:ilvl="0" w:tplc="6E1CC6C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27048"/>
    <w:multiLevelType w:val="hybridMultilevel"/>
    <w:tmpl w:val="5598304E"/>
    <w:lvl w:ilvl="0" w:tplc="B12EA4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D7F5B"/>
    <w:multiLevelType w:val="hybridMultilevel"/>
    <w:tmpl w:val="184EB1BC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1E0691"/>
    <w:multiLevelType w:val="hybridMultilevel"/>
    <w:tmpl w:val="2BB8A7D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65631"/>
    <w:multiLevelType w:val="hybridMultilevel"/>
    <w:tmpl w:val="A7A27246"/>
    <w:lvl w:ilvl="0" w:tplc="34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9B63888"/>
    <w:multiLevelType w:val="hybridMultilevel"/>
    <w:tmpl w:val="D3447D5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A3B7A"/>
    <w:multiLevelType w:val="hybridMultilevel"/>
    <w:tmpl w:val="C94851E4"/>
    <w:lvl w:ilvl="0" w:tplc="340A000F">
      <w:start w:val="1"/>
      <w:numFmt w:val="decimal"/>
      <w:lvlText w:val="%1."/>
      <w:lvlJc w:val="left"/>
      <w:pPr>
        <w:ind w:left="1428" w:hanging="360"/>
      </w:pPr>
    </w:lvl>
    <w:lvl w:ilvl="1" w:tplc="340A0019" w:tentative="1">
      <w:start w:val="1"/>
      <w:numFmt w:val="lowerLetter"/>
      <w:lvlText w:val="%2."/>
      <w:lvlJc w:val="left"/>
      <w:pPr>
        <w:ind w:left="2148" w:hanging="360"/>
      </w:pPr>
    </w:lvl>
    <w:lvl w:ilvl="2" w:tplc="340A001B" w:tentative="1">
      <w:start w:val="1"/>
      <w:numFmt w:val="lowerRoman"/>
      <w:lvlText w:val="%3."/>
      <w:lvlJc w:val="right"/>
      <w:pPr>
        <w:ind w:left="2868" w:hanging="180"/>
      </w:pPr>
    </w:lvl>
    <w:lvl w:ilvl="3" w:tplc="340A000F" w:tentative="1">
      <w:start w:val="1"/>
      <w:numFmt w:val="decimal"/>
      <w:lvlText w:val="%4."/>
      <w:lvlJc w:val="left"/>
      <w:pPr>
        <w:ind w:left="3588" w:hanging="360"/>
      </w:pPr>
    </w:lvl>
    <w:lvl w:ilvl="4" w:tplc="340A0019" w:tentative="1">
      <w:start w:val="1"/>
      <w:numFmt w:val="lowerLetter"/>
      <w:lvlText w:val="%5."/>
      <w:lvlJc w:val="left"/>
      <w:pPr>
        <w:ind w:left="4308" w:hanging="360"/>
      </w:pPr>
    </w:lvl>
    <w:lvl w:ilvl="5" w:tplc="340A001B" w:tentative="1">
      <w:start w:val="1"/>
      <w:numFmt w:val="lowerRoman"/>
      <w:lvlText w:val="%6."/>
      <w:lvlJc w:val="right"/>
      <w:pPr>
        <w:ind w:left="5028" w:hanging="180"/>
      </w:pPr>
    </w:lvl>
    <w:lvl w:ilvl="6" w:tplc="340A000F" w:tentative="1">
      <w:start w:val="1"/>
      <w:numFmt w:val="decimal"/>
      <w:lvlText w:val="%7."/>
      <w:lvlJc w:val="left"/>
      <w:pPr>
        <w:ind w:left="5748" w:hanging="360"/>
      </w:pPr>
    </w:lvl>
    <w:lvl w:ilvl="7" w:tplc="340A0019" w:tentative="1">
      <w:start w:val="1"/>
      <w:numFmt w:val="lowerLetter"/>
      <w:lvlText w:val="%8."/>
      <w:lvlJc w:val="left"/>
      <w:pPr>
        <w:ind w:left="6468" w:hanging="360"/>
      </w:pPr>
    </w:lvl>
    <w:lvl w:ilvl="8" w:tplc="3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14101CD"/>
    <w:multiLevelType w:val="hybridMultilevel"/>
    <w:tmpl w:val="6CF221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E039E2"/>
    <w:multiLevelType w:val="hybridMultilevel"/>
    <w:tmpl w:val="9C54D8B2"/>
    <w:lvl w:ilvl="0" w:tplc="13C00002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28" w:hanging="360"/>
      </w:pPr>
    </w:lvl>
    <w:lvl w:ilvl="2" w:tplc="340A001B" w:tentative="1">
      <w:start w:val="1"/>
      <w:numFmt w:val="lowerRoman"/>
      <w:lvlText w:val="%3."/>
      <w:lvlJc w:val="right"/>
      <w:pPr>
        <w:ind w:left="2148" w:hanging="180"/>
      </w:pPr>
    </w:lvl>
    <w:lvl w:ilvl="3" w:tplc="340A000F" w:tentative="1">
      <w:start w:val="1"/>
      <w:numFmt w:val="decimal"/>
      <w:lvlText w:val="%4."/>
      <w:lvlJc w:val="left"/>
      <w:pPr>
        <w:ind w:left="2868" w:hanging="360"/>
      </w:pPr>
    </w:lvl>
    <w:lvl w:ilvl="4" w:tplc="340A0019" w:tentative="1">
      <w:start w:val="1"/>
      <w:numFmt w:val="lowerLetter"/>
      <w:lvlText w:val="%5."/>
      <w:lvlJc w:val="left"/>
      <w:pPr>
        <w:ind w:left="3588" w:hanging="360"/>
      </w:pPr>
    </w:lvl>
    <w:lvl w:ilvl="5" w:tplc="340A001B" w:tentative="1">
      <w:start w:val="1"/>
      <w:numFmt w:val="lowerRoman"/>
      <w:lvlText w:val="%6."/>
      <w:lvlJc w:val="right"/>
      <w:pPr>
        <w:ind w:left="4308" w:hanging="180"/>
      </w:pPr>
    </w:lvl>
    <w:lvl w:ilvl="6" w:tplc="340A000F" w:tentative="1">
      <w:start w:val="1"/>
      <w:numFmt w:val="decimal"/>
      <w:lvlText w:val="%7."/>
      <w:lvlJc w:val="left"/>
      <w:pPr>
        <w:ind w:left="5028" w:hanging="360"/>
      </w:pPr>
    </w:lvl>
    <w:lvl w:ilvl="7" w:tplc="340A0019" w:tentative="1">
      <w:start w:val="1"/>
      <w:numFmt w:val="lowerLetter"/>
      <w:lvlText w:val="%8."/>
      <w:lvlJc w:val="left"/>
      <w:pPr>
        <w:ind w:left="5748" w:hanging="360"/>
      </w:pPr>
    </w:lvl>
    <w:lvl w:ilvl="8" w:tplc="340A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0" w15:restartNumberingAfterBreak="0">
    <w:nsid w:val="55D04CD0"/>
    <w:multiLevelType w:val="hybridMultilevel"/>
    <w:tmpl w:val="0F3AAA50"/>
    <w:lvl w:ilvl="0" w:tplc="340A000F">
      <w:start w:val="1"/>
      <w:numFmt w:val="decimal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F52216E"/>
    <w:multiLevelType w:val="hybridMultilevel"/>
    <w:tmpl w:val="952897E6"/>
    <w:lvl w:ilvl="0" w:tplc="CBF638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3C00002">
      <w:start w:val="1"/>
      <w:numFmt w:val="lowerLetter"/>
      <w:lvlText w:val="%2."/>
      <w:lvlJc w:val="left"/>
      <w:pPr>
        <w:ind w:left="643" w:hanging="360"/>
      </w:pPr>
      <w:rPr>
        <w:b w:val="0"/>
      </w:rPr>
    </w:lvl>
    <w:lvl w:ilvl="2" w:tplc="340A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1418F5"/>
    <w:multiLevelType w:val="hybridMultilevel"/>
    <w:tmpl w:val="3238FB24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502D54"/>
    <w:multiLevelType w:val="hybridMultilevel"/>
    <w:tmpl w:val="22DA68C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62472A"/>
    <w:multiLevelType w:val="hybridMultilevel"/>
    <w:tmpl w:val="D08ADB9C"/>
    <w:lvl w:ilvl="0" w:tplc="13C00002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875A2"/>
    <w:multiLevelType w:val="hybridMultilevel"/>
    <w:tmpl w:val="3C142B7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1"/>
  </w:num>
  <w:num w:numId="4">
    <w:abstractNumId w:val="0"/>
  </w:num>
  <w:num w:numId="5">
    <w:abstractNumId w:val="5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4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73"/>
    <w:rsid w:val="00001EE5"/>
    <w:rsid w:val="0000339B"/>
    <w:rsid w:val="000217FD"/>
    <w:rsid w:val="00021C22"/>
    <w:rsid w:val="00030EE1"/>
    <w:rsid w:val="00091D0F"/>
    <w:rsid w:val="00096A0B"/>
    <w:rsid w:val="000A1A10"/>
    <w:rsid w:val="000A276F"/>
    <w:rsid w:val="000A3561"/>
    <w:rsid w:val="000A6525"/>
    <w:rsid w:val="000D433A"/>
    <w:rsid w:val="000D60B8"/>
    <w:rsid w:val="000E5BE9"/>
    <w:rsid w:val="000E6F2E"/>
    <w:rsid w:val="0010322F"/>
    <w:rsid w:val="0010367D"/>
    <w:rsid w:val="0011182E"/>
    <w:rsid w:val="0011349E"/>
    <w:rsid w:val="001243D0"/>
    <w:rsid w:val="00131D04"/>
    <w:rsid w:val="00145BD6"/>
    <w:rsid w:val="00146E93"/>
    <w:rsid w:val="00150437"/>
    <w:rsid w:val="00152800"/>
    <w:rsid w:val="001535D5"/>
    <w:rsid w:val="0016502C"/>
    <w:rsid w:val="001717C9"/>
    <w:rsid w:val="00176AAA"/>
    <w:rsid w:val="001912A0"/>
    <w:rsid w:val="00194F65"/>
    <w:rsid w:val="0019501A"/>
    <w:rsid w:val="001C1BF3"/>
    <w:rsid w:val="001C71AB"/>
    <w:rsid w:val="001C7FDF"/>
    <w:rsid w:val="001D40B0"/>
    <w:rsid w:val="001E22A6"/>
    <w:rsid w:val="001E6BBB"/>
    <w:rsid w:val="00217DFD"/>
    <w:rsid w:val="00225C20"/>
    <w:rsid w:val="00231D46"/>
    <w:rsid w:val="00250EE2"/>
    <w:rsid w:val="00252D57"/>
    <w:rsid w:val="00253F38"/>
    <w:rsid w:val="00262554"/>
    <w:rsid w:val="00271805"/>
    <w:rsid w:val="002937A0"/>
    <w:rsid w:val="002A0C7D"/>
    <w:rsid w:val="002B4DF0"/>
    <w:rsid w:val="002D383C"/>
    <w:rsid w:val="002E0C90"/>
    <w:rsid w:val="0030502F"/>
    <w:rsid w:val="0031732D"/>
    <w:rsid w:val="00322A18"/>
    <w:rsid w:val="00331225"/>
    <w:rsid w:val="0036539A"/>
    <w:rsid w:val="00376791"/>
    <w:rsid w:val="003A1545"/>
    <w:rsid w:val="003B14B7"/>
    <w:rsid w:val="003B797B"/>
    <w:rsid w:val="003C27CA"/>
    <w:rsid w:val="003F08C9"/>
    <w:rsid w:val="003F124F"/>
    <w:rsid w:val="003F15C6"/>
    <w:rsid w:val="003F58BE"/>
    <w:rsid w:val="00413C20"/>
    <w:rsid w:val="00417610"/>
    <w:rsid w:val="0043640B"/>
    <w:rsid w:val="00437494"/>
    <w:rsid w:val="00441310"/>
    <w:rsid w:val="00455221"/>
    <w:rsid w:val="00491F6F"/>
    <w:rsid w:val="004A2A17"/>
    <w:rsid w:val="004B10FD"/>
    <w:rsid w:val="004B3835"/>
    <w:rsid w:val="004C21BC"/>
    <w:rsid w:val="00526F45"/>
    <w:rsid w:val="005311C9"/>
    <w:rsid w:val="005357D7"/>
    <w:rsid w:val="00537FC3"/>
    <w:rsid w:val="00550763"/>
    <w:rsid w:val="0055205B"/>
    <w:rsid w:val="00556CFB"/>
    <w:rsid w:val="0057331B"/>
    <w:rsid w:val="005E6A04"/>
    <w:rsid w:val="005F07BB"/>
    <w:rsid w:val="0062075D"/>
    <w:rsid w:val="00623101"/>
    <w:rsid w:val="00635EFA"/>
    <w:rsid w:val="0064318E"/>
    <w:rsid w:val="006453B9"/>
    <w:rsid w:val="00654A14"/>
    <w:rsid w:val="00681071"/>
    <w:rsid w:val="00684F86"/>
    <w:rsid w:val="00687181"/>
    <w:rsid w:val="00690873"/>
    <w:rsid w:val="006A1361"/>
    <w:rsid w:val="006A28CE"/>
    <w:rsid w:val="006B273B"/>
    <w:rsid w:val="006B541A"/>
    <w:rsid w:val="006D2076"/>
    <w:rsid w:val="00757C1F"/>
    <w:rsid w:val="007767C7"/>
    <w:rsid w:val="0077689D"/>
    <w:rsid w:val="0079295B"/>
    <w:rsid w:val="007C791C"/>
    <w:rsid w:val="007D5668"/>
    <w:rsid w:val="007D79BF"/>
    <w:rsid w:val="008048FF"/>
    <w:rsid w:val="00823AB8"/>
    <w:rsid w:val="00844472"/>
    <w:rsid w:val="00852402"/>
    <w:rsid w:val="008541EB"/>
    <w:rsid w:val="00856EE2"/>
    <w:rsid w:val="00857EA5"/>
    <w:rsid w:val="00876BD6"/>
    <w:rsid w:val="00881719"/>
    <w:rsid w:val="00884078"/>
    <w:rsid w:val="00884F03"/>
    <w:rsid w:val="00885495"/>
    <w:rsid w:val="008E22F9"/>
    <w:rsid w:val="009078F6"/>
    <w:rsid w:val="00913C46"/>
    <w:rsid w:val="009145C4"/>
    <w:rsid w:val="00935B47"/>
    <w:rsid w:val="009602A5"/>
    <w:rsid w:val="00960FF9"/>
    <w:rsid w:val="00961C71"/>
    <w:rsid w:val="00983740"/>
    <w:rsid w:val="009864FE"/>
    <w:rsid w:val="009C604F"/>
    <w:rsid w:val="009D0D3E"/>
    <w:rsid w:val="009D4C3F"/>
    <w:rsid w:val="009E1B00"/>
    <w:rsid w:val="009F67CF"/>
    <w:rsid w:val="00A11B16"/>
    <w:rsid w:val="00A6315F"/>
    <w:rsid w:val="00A64867"/>
    <w:rsid w:val="00A657FA"/>
    <w:rsid w:val="00A8499A"/>
    <w:rsid w:val="00A84AC4"/>
    <w:rsid w:val="00A86C05"/>
    <w:rsid w:val="00A8707A"/>
    <w:rsid w:val="00A93450"/>
    <w:rsid w:val="00AB3D74"/>
    <w:rsid w:val="00AB7FEC"/>
    <w:rsid w:val="00AE002F"/>
    <w:rsid w:val="00AE3764"/>
    <w:rsid w:val="00AE5A55"/>
    <w:rsid w:val="00B24988"/>
    <w:rsid w:val="00B61989"/>
    <w:rsid w:val="00B63165"/>
    <w:rsid w:val="00BA324F"/>
    <w:rsid w:val="00BA51F0"/>
    <w:rsid w:val="00BB5FE8"/>
    <w:rsid w:val="00BC45BE"/>
    <w:rsid w:val="00BE0767"/>
    <w:rsid w:val="00C02EF6"/>
    <w:rsid w:val="00C116DB"/>
    <w:rsid w:val="00C1418F"/>
    <w:rsid w:val="00C35BD3"/>
    <w:rsid w:val="00C369B4"/>
    <w:rsid w:val="00C3789B"/>
    <w:rsid w:val="00C550C5"/>
    <w:rsid w:val="00C601B2"/>
    <w:rsid w:val="00C6639E"/>
    <w:rsid w:val="00C66EB9"/>
    <w:rsid w:val="00C673D7"/>
    <w:rsid w:val="00C849D4"/>
    <w:rsid w:val="00C87264"/>
    <w:rsid w:val="00CA298D"/>
    <w:rsid w:val="00CB032E"/>
    <w:rsid w:val="00CC4B74"/>
    <w:rsid w:val="00CD264E"/>
    <w:rsid w:val="00D15F8A"/>
    <w:rsid w:val="00D1698A"/>
    <w:rsid w:val="00D56C15"/>
    <w:rsid w:val="00D64144"/>
    <w:rsid w:val="00D7479E"/>
    <w:rsid w:val="00D779F9"/>
    <w:rsid w:val="00D945AA"/>
    <w:rsid w:val="00DA60F7"/>
    <w:rsid w:val="00DC2204"/>
    <w:rsid w:val="00DE6A69"/>
    <w:rsid w:val="00E037D1"/>
    <w:rsid w:val="00E05F80"/>
    <w:rsid w:val="00E1192C"/>
    <w:rsid w:val="00E155BA"/>
    <w:rsid w:val="00E22E39"/>
    <w:rsid w:val="00E317FD"/>
    <w:rsid w:val="00E358CE"/>
    <w:rsid w:val="00E45E1E"/>
    <w:rsid w:val="00E5670A"/>
    <w:rsid w:val="00E63F1D"/>
    <w:rsid w:val="00E825C7"/>
    <w:rsid w:val="00E85A82"/>
    <w:rsid w:val="00E85BC4"/>
    <w:rsid w:val="00E9085C"/>
    <w:rsid w:val="00E93080"/>
    <w:rsid w:val="00ED4C68"/>
    <w:rsid w:val="00ED7FE0"/>
    <w:rsid w:val="00EE02C6"/>
    <w:rsid w:val="00EE6FF9"/>
    <w:rsid w:val="00EF0F34"/>
    <w:rsid w:val="00EF5219"/>
    <w:rsid w:val="00F05426"/>
    <w:rsid w:val="00F118A6"/>
    <w:rsid w:val="00F12415"/>
    <w:rsid w:val="00F228D2"/>
    <w:rsid w:val="00F47CFF"/>
    <w:rsid w:val="00F6222A"/>
    <w:rsid w:val="00F62250"/>
    <w:rsid w:val="00F641CE"/>
    <w:rsid w:val="00FA7094"/>
    <w:rsid w:val="00FA7337"/>
    <w:rsid w:val="00FA7A70"/>
    <w:rsid w:val="00FC4FD9"/>
    <w:rsid w:val="00FC6AED"/>
    <w:rsid w:val="00FD23A1"/>
    <w:rsid w:val="00FD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CA61D"/>
  <w15:docId w15:val="{4ACD555C-A3EA-4CF1-8267-993FB95E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0D3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D0D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0D3E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9D0D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0D3E"/>
    <w:rPr>
      <w:lang w:val="es-CL"/>
    </w:rPr>
  </w:style>
  <w:style w:type="character" w:styleId="Nmerodepgina">
    <w:name w:val="page number"/>
    <w:basedOn w:val="Fuentedeprrafopredeter"/>
    <w:rsid w:val="009D0D3E"/>
  </w:style>
  <w:style w:type="paragraph" w:styleId="Textodeglobo">
    <w:name w:val="Balloon Text"/>
    <w:basedOn w:val="Normal"/>
    <w:link w:val="TextodegloboCar"/>
    <w:uiPriority w:val="99"/>
    <w:semiHidden/>
    <w:unhideWhenUsed/>
    <w:rsid w:val="009D0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0D3E"/>
    <w:rPr>
      <w:rFonts w:ascii="Tahoma" w:hAnsi="Tahoma" w:cs="Tahoma"/>
      <w:sz w:val="16"/>
      <w:szCs w:val="16"/>
      <w:lang w:val="es-CL"/>
    </w:rPr>
  </w:style>
  <w:style w:type="character" w:styleId="Hipervnculo">
    <w:name w:val="Hyperlink"/>
    <w:basedOn w:val="Fuentedeprrafopredeter"/>
    <w:uiPriority w:val="99"/>
    <w:unhideWhenUsed/>
    <w:rsid w:val="0036539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6539A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3F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1-nfasis1">
    <w:name w:val="Medium Shading 1 Accent 1"/>
    <w:basedOn w:val="Tablanormal"/>
    <w:uiPriority w:val="63"/>
    <w:rsid w:val="00252D5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1">
    <w:name w:val="Light Shading Accent 1"/>
    <w:basedOn w:val="Tablanormal"/>
    <w:uiPriority w:val="60"/>
    <w:rsid w:val="00091D0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913C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3C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3C46"/>
    <w:rPr>
      <w:sz w:val="20"/>
      <w:szCs w:val="20"/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3C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3C46"/>
    <w:rPr>
      <w:b/>
      <w:bCs/>
      <w:sz w:val="20"/>
      <w:szCs w:val="20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44733-D353-44CC-9759-444E660C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1263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CHILQUINTA ENERGIA S.A.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Hernan Garcia Maturana</dc:creator>
  <cp:lastModifiedBy>Connie Elizabeth Nunez Arancibia</cp:lastModifiedBy>
  <cp:revision>5</cp:revision>
  <cp:lastPrinted>2018-07-20T19:38:00Z</cp:lastPrinted>
  <dcterms:created xsi:type="dcterms:W3CDTF">2021-05-05T20:18:00Z</dcterms:created>
  <dcterms:modified xsi:type="dcterms:W3CDTF">2021-05-05T20:20:00Z</dcterms:modified>
</cp:coreProperties>
</file>