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E661D" w14:textId="77777777" w:rsidR="00617165" w:rsidRPr="002C7C71" w:rsidRDefault="001D408E" w:rsidP="00506376">
      <w:pPr>
        <w:spacing w:before="0" w:after="0" w:line="240" w:lineRule="auto"/>
        <w:jc w:val="center"/>
        <w:rPr>
          <w:b/>
        </w:rPr>
      </w:pPr>
      <w:r w:rsidRPr="002C7C71">
        <w:rPr>
          <w:b/>
        </w:rPr>
        <w:t>Observaciones</w:t>
      </w:r>
    </w:p>
    <w:p w14:paraId="62E0502F" w14:textId="77777777" w:rsidR="00617165" w:rsidRPr="002C7C71" w:rsidRDefault="00DB6D9C" w:rsidP="00506376">
      <w:pPr>
        <w:spacing w:before="0" w:after="0" w:line="240" w:lineRule="auto"/>
        <w:jc w:val="center"/>
        <w:rPr>
          <w:b/>
        </w:rPr>
      </w:pPr>
      <w:r w:rsidRPr="002C7C71">
        <w:rPr>
          <w:b/>
        </w:rPr>
        <w:t>Informe</w:t>
      </w:r>
      <w:r w:rsidR="00212793">
        <w:rPr>
          <w:b/>
        </w:rPr>
        <w:t xml:space="preserve"> </w:t>
      </w:r>
      <w:r w:rsidR="00212793" w:rsidRPr="002C7C71">
        <w:rPr>
          <w:b/>
        </w:rPr>
        <w:t>Técnico</w:t>
      </w:r>
      <w:r w:rsidR="0076619B">
        <w:rPr>
          <w:b/>
        </w:rPr>
        <w:t xml:space="preserve"> </w:t>
      </w:r>
      <w:r w:rsidR="005461F5">
        <w:rPr>
          <w:b/>
        </w:rPr>
        <w:t>Preliminar</w:t>
      </w:r>
      <w:r w:rsidRPr="002C7C71">
        <w:rPr>
          <w:b/>
        </w:rPr>
        <w:t xml:space="preserve"> </w:t>
      </w:r>
    </w:p>
    <w:p w14:paraId="5270F942" w14:textId="4ECDA615" w:rsidR="007443AE" w:rsidRPr="002C7C71" w:rsidRDefault="00DB6D9C" w:rsidP="00506376">
      <w:pPr>
        <w:pBdr>
          <w:bottom w:val="single" w:sz="4" w:space="1" w:color="auto"/>
        </w:pBdr>
        <w:spacing w:before="0" w:after="0" w:line="240" w:lineRule="auto"/>
        <w:jc w:val="center"/>
        <w:rPr>
          <w:b/>
        </w:rPr>
      </w:pPr>
      <w:r w:rsidRPr="002C7C71">
        <w:rPr>
          <w:b/>
        </w:rPr>
        <w:t xml:space="preserve">FIJACIÓN DE PRECIOS DE NUDO PROMEDIO </w:t>
      </w:r>
      <w:r w:rsidR="007443AE" w:rsidRPr="002C7C71">
        <w:rPr>
          <w:b/>
        </w:rPr>
        <w:t xml:space="preserve">– </w:t>
      </w:r>
      <w:r w:rsidR="00643158">
        <w:rPr>
          <w:b/>
        </w:rPr>
        <w:t xml:space="preserve">ENERO </w:t>
      </w:r>
      <w:r w:rsidR="00C43A70">
        <w:rPr>
          <w:b/>
        </w:rPr>
        <w:t xml:space="preserve">DE </w:t>
      </w:r>
      <w:r w:rsidR="00643158">
        <w:rPr>
          <w:b/>
        </w:rPr>
        <w:t>2021</w:t>
      </w:r>
    </w:p>
    <w:p w14:paraId="53173F2E" w14:textId="26BF2022" w:rsidR="00DE21C9" w:rsidRPr="002C7C71" w:rsidRDefault="00DE21C9" w:rsidP="00506376">
      <w:pPr>
        <w:pBdr>
          <w:bottom w:val="single" w:sz="4" w:space="1" w:color="auto"/>
        </w:pBdr>
        <w:spacing w:before="0" w:after="0" w:line="240" w:lineRule="auto"/>
        <w:jc w:val="center"/>
        <w:rPr>
          <w:b/>
        </w:rPr>
      </w:pPr>
      <w:r w:rsidRPr="002C7C71">
        <w:rPr>
          <w:b/>
        </w:rPr>
        <w:t xml:space="preserve">SISTEMA </w:t>
      </w:r>
      <w:r w:rsidR="00B729E1">
        <w:rPr>
          <w:b/>
        </w:rPr>
        <w:t>ELÉCTRICO NACIONAL</w:t>
      </w:r>
    </w:p>
    <w:p w14:paraId="3DDF9842" w14:textId="77777777" w:rsidR="00295762" w:rsidRPr="00E73357" w:rsidRDefault="00295762" w:rsidP="00506376">
      <w:pPr>
        <w:spacing w:line="240" w:lineRule="auto"/>
        <w:jc w:val="both"/>
        <w:rPr>
          <w:b/>
        </w:rPr>
      </w:pPr>
      <w:r w:rsidRPr="00E73357">
        <w:rPr>
          <w:b/>
        </w:rPr>
        <w:t>Antecedentes Generales</w:t>
      </w:r>
    </w:p>
    <w:p w14:paraId="45E0FFEE" w14:textId="73B3D165" w:rsidR="00295762" w:rsidRPr="002C7C71" w:rsidRDefault="00295762" w:rsidP="00506376">
      <w:pPr>
        <w:spacing w:line="240" w:lineRule="auto"/>
        <w:jc w:val="both"/>
      </w:pPr>
      <w:r w:rsidRPr="002C7C71">
        <w:t xml:space="preserve">Mediante </w:t>
      </w:r>
      <w:r w:rsidR="00290E85">
        <w:t xml:space="preserve">Oficio Ordinario </w:t>
      </w:r>
      <w:r w:rsidR="00AE4508">
        <w:t>CNE N°</w:t>
      </w:r>
      <w:r w:rsidR="005B4C10">
        <w:t> </w:t>
      </w:r>
      <w:r w:rsidR="00C62FA5">
        <w:t>778</w:t>
      </w:r>
      <w:r w:rsidR="00AE4508">
        <w:t>-</w:t>
      </w:r>
      <w:r w:rsidR="00326445">
        <w:t>2020</w:t>
      </w:r>
      <w:r w:rsidR="00290E85">
        <w:t xml:space="preserve">, recibido el </w:t>
      </w:r>
      <w:r w:rsidR="00C62FA5">
        <w:t xml:space="preserve">21 </w:t>
      </w:r>
      <w:r w:rsidR="00290E85">
        <w:t xml:space="preserve">de </w:t>
      </w:r>
      <w:r w:rsidR="00C62FA5">
        <w:t xml:space="preserve">octubre </w:t>
      </w:r>
      <w:r w:rsidR="00290E85">
        <w:t xml:space="preserve">de </w:t>
      </w:r>
      <w:r w:rsidR="00326445">
        <w:t>2020</w:t>
      </w:r>
      <w:r w:rsidR="00290E85">
        <w:t xml:space="preserve">, </w:t>
      </w:r>
      <w:r w:rsidRPr="002C7C71">
        <w:t xml:space="preserve">la Comisión Nacional de Energía, CNE, comunicó el </w:t>
      </w:r>
      <w:r w:rsidRPr="00057289">
        <w:t xml:space="preserve">Informe </w:t>
      </w:r>
      <w:r w:rsidR="00290E85">
        <w:t xml:space="preserve">Técnico Preliminar </w:t>
      </w:r>
      <w:r w:rsidR="009F2528">
        <w:t>para la</w:t>
      </w:r>
      <w:r w:rsidR="009F2528" w:rsidRPr="002C7C71">
        <w:t xml:space="preserve"> </w:t>
      </w:r>
      <w:r w:rsidR="00290E85">
        <w:t>“</w:t>
      </w:r>
      <w:r w:rsidR="00326445" w:rsidRPr="00326445">
        <w:t>Fijación de Precios de Nudo Promedio del Sistema Eléctrico Nacional y del factor de ajuste a que se refiere el numeral 3. del artículo 1° de la Ley N°</w:t>
      </w:r>
      <w:r w:rsidR="005B4C10">
        <w:t> </w:t>
      </w:r>
      <w:r w:rsidR="00326445" w:rsidRPr="00326445">
        <w:t>21.185</w:t>
      </w:r>
      <w:r w:rsidR="00290E85">
        <w:t>”</w:t>
      </w:r>
      <w:r w:rsidRPr="002C7C71">
        <w:t xml:space="preserve">, correspondiente a </w:t>
      </w:r>
      <w:r w:rsidR="00C62FA5">
        <w:t xml:space="preserve">enero </w:t>
      </w:r>
      <w:r>
        <w:t>de</w:t>
      </w:r>
      <w:r w:rsidRPr="002C7C71">
        <w:t xml:space="preserve"> </w:t>
      </w:r>
      <w:r w:rsidR="00C62FA5">
        <w:t>2021</w:t>
      </w:r>
      <w:r w:rsidRPr="002C7C71">
        <w:t>.</w:t>
      </w:r>
    </w:p>
    <w:p w14:paraId="63C73323" w14:textId="18DF5D5E" w:rsidR="00295762" w:rsidRDefault="00295762" w:rsidP="00506376">
      <w:pPr>
        <w:spacing w:line="240" w:lineRule="auto"/>
        <w:jc w:val="both"/>
      </w:pPr>
      <w:r w:rsidRPr="002C7C71">
        <w:t>A continuación</w:t>
      </w:r>
      <w:r w:rsidR="00CB258E">
        <w:t>,</w:t>
      </w:r>
      <w:r w:rsidRPr="002C7C71">
        <w:t xml:space="preserve"> </w:t>
      </w:r>
      <w:r w:rsidR="006E1C69">
        <w:t xml:space="preserve">Compañía General de Electricidad S.A., CGE, </w:t>
      </w:r>
      <w:r w:rsidR="001877C7" w:rsidRPr="002C7C71">
        <w:t>presenta</w:t>
      </w:r>
      <w:r w:rsidR="00CB258E">
        <w:t xml:space="preserve"> sus</w:t>
      </w:r>
      <w:r w:rsidR="001877C7" w:rsidRPr="002C7C71">
        <w:t xml:space="preserve"> observaciones y solicitud</w:t>
      </w:r>
      <w:r w:rsidR="00290E85">
        <w:t>es</w:t>
      </w:r>
      <w:r w:rsidR="001877C7">
        <w:t xml:space="preserve"> </w:t>
      </w:r>
      <w:r w:rsidRPr="002C7C71">
        <w:t>relativas al referido informe.</w:t>
      </w:r>
    </w:p>
    <w:p w14:paraId="0251FA13" w14:textId="611EF4A2" w:rsidR="002049FB" w:rsidRDefault="001D408E" w:rsidP="00BE2F15">
      <w:pPr>
        <w:spacing w:line="240" w:lineRule="auto"/>
        <w:rPr>
          <w:b/>
        </w:rPr>
      </w:pPr>
      <w:r w:rsidRPr="002C7C71">
        <w:rPr>
          <w:b/>
        </w:rPr>
        <w:t>Observaciones</w:t>
      </w:r>
    </w:p>
    <w:p w14:paraId="34EAEA02" w14:textId="269C8EA6" w:rsidR="00607D5F" w:rsidRPr="000641A4" w:rsidRDefault="00607D5F" w:rsidP="000641A4">
      <w:pPr>
        <w:pStyle w:val="Ttulo1"/>
        <w:rPr>
          <w:rStyle w:val="nfasis"/>
          <w:i w:val="0"/>
          <w:iCs w:val="0"/>
        </w:rPr>
      </w:pPr>
      <w:r w:rsidRPr="000641A4">
        <w:rPr>
          <w:rStyle w:val="nfasis"/>
          <w:i w:val="0"/>
          <w:iCs w:val="0"/>
        </w:rPr>
        <w:t>Factores de Modulación</w:t>
      </w:r>
    </w:p>
    <w:p w14:paraId="33202C8A" w14:textId="77777777" w:rsidR="00607D5F" w:rsidRPr="00607D5F" w:rsidRDefault="00607D5F" w:rsidP="0064677F">
      <w:pPr>
        <w:spacing w:line="240" w:lineRule="auto"/>
        <w:jc w:val="both"/>
      </w:pPr>
      <w:r w:rsidRPr="00607D5F">
        <w:t>En el cálculo de precios de las Licitaciones CGED 2008/01, CGED 2008/01-2, EMEL-SIC 2006/01-2, en el punto de compra Itahue 220, CNE utiliza los factores de modulación contenidos en el Decreto de Precio de Nudo de Corto Plazo vigente al momento del llamado de licitación para el punto de oferta y calcula factores de modulación para el punto de compra, los cuales no están contenidos en ningún decreto de precio de nudo de corto plazo.</w:t>
      </w:r>
    </w:p>
    <w:p w14:paraId="74596D7E" w14:textId="77777777" w:rsidR="00607D5F" w:rsidRPr="00607D5F" w:rsidRDefault="00607D5F" w:rsidP="0064677F">
      <w:pPr>
        <w:spacing w:line="240" w:lineRule="auto"/>
        <w:jc w:val="both"/>
        <w:rPr>
          <w:i/>
        </w:rPr>
      </w:pPr>
      <w:r w:rsidRPr="00607D5F">
        <w:t xml:space="preserve">Se solicita que CNE utilice para el cálculo de precios antes indicado, lo establecido en el Artículo Tercero Transitorio del Decreto N° 106-2015 del Ministerio de Energía, publicado en el Diario Oficial el 16 de junio de 2016, denominado “Reglamento sobre Licitaciones”, el cual establece que: </w:t>
      </w:r>
      <w:r w:rsidRPr="00607D5F">
        <w:rPr>
          <w:i/>
        </w:rPr>
        <w:t>“Mientras se encuentren vigentes los contratos de suministro celebrados producto de las adjudicaciones realizadas con anterioridad a la publicación del decreto supremo N° 126, de 2013, del Ministerio de Energía, los precios en aquellos Puntos de Compra contenidos en las correspondientes bases de licitación, serán los resultantes de la aplicación de lo dispuesto en los respectivos contratos. Sin embargo, para efectos de la facturación de los referidos contratos en aquellos Puntos de Compra que no hayan sido individualizados en las correspondientes bases de licitación, el precio aplicable en dichos Puntos de Compra será determinado en conformidad a lo establecido en el artículo 37 del presente reglamento.”</w:t>
      </w:r>
      <w:r w:rsidRPr="00607D5F">
        <w:t xml:space="preserve"> Al respecto, el artículo 37 del mismo Reglamento señala que: </w:t>
      </w:r>
      <w:r w:rsidRPr="00607D5F">
        <w:rPr>
          <w:i/>
        </w:rPr>
        <w:t>“Los precios de energía en los Puntos de Compra serán iguales al precio de oferta del Adjudicatario, establecido en el respectivo Punto de Oferta, debidamente indexado, multiplicado por la razón entre el factor de modulación de energía del Punto de Compra y el factor de modulación de energía del Punto de Oferta. Estos factores de modulación corresponderán a los factores de modulación de energía incluidos en el Decreto de Precios de Nudo de Corto Plazo vigente a la fecha de facturación.”</w:t>
      </w:r>
    </w:p>
    <w:p w14:paraId="25CA5FEE" w14:textId="563E62F6" w:rsidR="00607D5F" w:rsidRPr="00607D5F" w:rsidRDefault="00607D5F" w:rsidP="0064677F">
      <w:pPr>
        <w:spacing w:line="240" w:lineRule="auto"/>
        <w:jc w:val="both"/>
      </w:pPr>
      <w:r w:rsidRPr="00607D5F">
        <w:t xml:space="preserve">En concreto, se solicita que para el PNP de enero 2021 se utilice los factores contenidos en el </w:t>
      </w:r>
      <w:r w:rsidR="00C24F0F">
        <w:t>I</w:t>
      </w:r>
      <w:r w:rsidRPr="00607D5F">
        <w:t xml:space="preserve">nforme </w:t>
      </w:r>
      <w:r w:rsidR="00C24F0F">
        <w:t>T</w:t>
      </w:r>
      <w:r w:rsidRPr="00607D5F">
        <w:t xml:space="preserve">écnico </w:t>
      </w:r>
      <w:r w:rsidR="00C24F0F">
        <w:t xml:space="preserve">Definitivo para la Fijación de Precios de Nudo de Corto Plazo </w:t>
      </w:r>
      <w:r w:rsidRPr="00607D5F">
        <w:t>de octubre 2020</w:t>
      </w:r>
      <w:r w:rsidR="00C24F0F">
        <w:t>, aprobado mediante Resolución Exenta N° 285-2020 y rectificado mediante Resolución Exenta N° 304-2020</w:t>
      </w:r>
      <w:r w:rsidRPr="00607D5F">
        <w:t>.</w:t>
      </w:r>
    </w:p>
    <w:p w14:paraId="5FCEE954" w14:textId="77777777" w:rsidR="00607D5F" w:rsidRPr="00607D5F" w:rsidRDefault="00607D5F" w:rsidP="00607D5F">
      <w:pPr>
        <w:spacing w:line="240" w:lineRule="auto"/>
      </w:pPr>
      <w:r w:rsidRPr="00607D5F">
        <w:br w:type="page"/>
      </w:r>
    </w:p>
    <w:p w14:paraId="1FDA1A61" w14:textId="4772943D" w:rsidR="00607D5F" w:rsidRDefault="00607D5F" w:rsidP="000641A4">
      <w:pPr>
        <w:pStyle w:val="Ttulo1"/>
        <w:rPr>
          <w:rStyle w:val="nfasis"/>
          <w:i w:val="0"/>
          <w:iCs w:val="0"/>
        </w:rPr>
      </w:pPr>
      <w:r w:rsidRPr="000641A4">
        <w:rPr>
          <w:rStyle w:val="nfasis"/>
          <w:i w:val="0"/>
          <w:iCs w:val="0"/>
        </w:rPr>
        <w:lastRenderedPageBreak/>
        <w:t>Indexación de contratos</w:t>
      </w:r>
    </w:p>
    <w:p w14:paraId="0D32AD12" w14:textId="68675EE5" w:rsidR="00607D5F" w:rsidRPr="00607D5F" w:rsidRDefault="00607D5F" w:rsidP="0064677F">
      <w:pPr>
        <w:spacing w:line="240" w:lineRule="auto"/>
        <w:jc w:val="both"/>
      </w:pPr>
      <w:r w:rsidRPr="00607D5F">
        <w:t xml:space="preserve">En el cálculo de indexación para los contratos que inician suministro a partir de enero de 2021, </w:t>
      </w:r>
      <w:r w:rsidR="00C24F0F">
        <w:t xml:space="preserve">se ha verificado que estos </w:t>
      </w:r>
      <w:r w:rsidRPr="00607D5F">
        <w:t>son indexados al mes de octubre de 2020, debiendo ser indexados al mes de enero de 2021, de acuerdo con lo establecido en artículo 158° de la Ley General de Servicios Eléctricos (LGSE).</w:t>
      </w:r>
    </w:p>
    <w:p w14:paraId="6C2636FF" w14:textId="726B425E" w:rsidR="00607D5F" w:rsidRDefault="00607D5F" w:rsidP="00607D5F">
      <w:pPr>
        <w:spacing w:line="240" w:lineRule="auto"/>
      </w:pPr>
      <w:r w:rsidRPr="00607D5F">
        <w:t>Se solicita para el archivo</w:t>
      </w:r>
      <w:r w:rsidR="00C24F0F">
        <w:t xml:space="preserve"> Excel</w:t>
      </w:r>
      <w:r w:rsidRPr="00607D5F">
        <w:t xml:space="preserve"> </w:t>
      </w:r>
      <w:r w:rsidRPr="00607D5F">
        <w:rPr>
          <w:b/>
          <w:i/>
        </w:rPr>
        <w:t xml:space="preserve">Modelo PNP Enero 2021_ITP </w:t>
      </w:r>
      <w:r w:rsidRPr="00607D5F">
        <w:t xml:space="preserve">en la hoja </w:t>
      </w:r>
      <w:r w:rsidRPr="00607D5F">
        <w:rPr>
          <w:b/>
        </w:rPr>
        <w:t>“</w:t>
      </w:r>
      <w:proofErr w:type="spellStart"/>
      <w:r w:rsidRPr="00607D5F">
        <w:rPr>
          <w:b/>
        </w:rPr>
        <w:t>Indexacion</w:t>
      </w:r>
      <w:proofErr w:type="spellEnd"/>
      <w:r w:rsidRPr="00607D5F">
        <w:rPr>
          <w:b/>
        </w:rPr>
        <w:t xml:space="preserve"> Contratos”</w:t>
      </w:r>
      <w:r w:rsidRPr="00607D5F">
        <w:t>, corregir la indexación de los contratos asociados a la licitación 2015/01 indicados en la siguiente tabla.</w:t>
      </w:r>
    </w:p>
    <w:tbl>
      <w:tblPr>
        <w:tblStyle w:val="Tablanormal1"/>
        <w:tblW w:w="9040" w:type="dxa"/>
        <w:jc w:val="center"/>
        <w:tblLook w:val="04A0" w:firstRow="1" w:lastRow="0" w:firstColumn="1" w:lastColumn="0" w:noHBand="0" w:noVBand="1"/>
      </w:tblPr>
      <w:tblGrid>
        <w:gridCol w:w="1200"/>
        <w:gridCol w:w="3040"/>
        <w:gridCol w:w="1200"/>
        <w:gridCol w:w="1335"/>
        <w:gridCol w:w="1200"/>
        <w:gridCol w:w="1200"/>
      </w:tblGrid>
      <w:tr w:rsidR="00607D5F" w14:paraId="574D9177" w14:textId="77777777" w:rsidTr="007474AB">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FD1B835" w14:textId="77777777" w:rsidR="00607D5F" w:rsidRPr="007474AB" w:rsidRDefault="00607D5F">
            <w:pPr>
              <w:spacing w:before="0" w:after="0"/>
              <w:jc w:val="center"/>
              <w:rPr>
                <w:rFonts w:ascii="Calibri" w:eastAsia="Times New Roman" w:hAnsi="Calibri" w:cs="Times New Roman"/>
                <w:color w:val="000000"/>
                <w:lang w:val="es-ES" w:eastAsia="es-CL"/>
              </w:rPr>
            </w:pPr>
            <w:r w:rsidRPr="007474AB">
              <w:rPr>
                <w:rFonts w:ascii="Calibri" w:eastAsia="Times New Roman" w:hAnsi="Calibri" w:cs="Times New Roman"/>
                <w:color w:val="000000"/>
                <w:lang w:val="es-ES" w:eastAsia="es-CL"/>
              </w:rPr>
              <w:t>Proceso</w:t>
            </w:r>
          </w:p>
        </w:tc>
        <w:tc>
          <w:tcPr>
            <w:tcW w:w="3040" w:type="dxa"/>
            <w:noWrap/>
            <w:hideMark/>
          </w:tcPr>
          <w:p w14:paraId="5B94BB38"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r w:rsidRPr="007474AB">
              <w:rPr>
                <w:rFonts w:ascii="Calibri" w:eastAsia="Times New Roman" w:hAnsi="Calibri" w:cs="Times New Roman"/>
                <w:color w:val="000000"/>
                <w:lang w:val="es-ES" w:eastAsia="es-CL"/>
              </w:rPr>
              <w:t>proveedor</w:t>
            </w:r>
          </w:p>
        </w:tc>
        <w:tc>
          <w:tcPr>
            <w:tcW w:w="1200" w:type="dxa"/>
            <w:noWrap/>
            <w:hideMark/>
          </w:tcPr>
          <w:p w14:paraId="73DF37D2"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Pto</w:t>
            </w:r>
            <w:proofErr w:type="spellEnd"/>
            <w:r w:rsidRPr="007474AB">
              <w:rPr>
                <w:rFonts w:ascii="Calibri" w:eastAsia="Times New Roman" w:hAnsi="Calibri" w:cs="Times New Roman"/>
                <w:color w:val="000000"/>
                <w:lang w:val="es-ES" w:eastAsia="es-CL"/>
              </w:rPr>
              <w:t xml:space="preserve"> Oferta</w:t>
            </w:r>
          </w:p>
        </w:tc>
        <w:tc>
          <w:tcPr>
            <w:tcW w:w="1200" w:type="dxa"/>
            <w:noWrap/>
            <w:hideMark/>
          </w:tcPr>
          <w:p w14:paraId="556D6361"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tipo_Bloque</w:t>
            </w:r>
            <w:proofErr w:type="spellEnd"/>
          </w:p>
        </w:tc>
        <w:tc>
          <w:tcPr>
            <w:tcW w:w="1200" w:type="dxa"/>
            <w:noWrap/>
            <w:hideMark/>
          </w:tcPr>
          <w:p w14:paraId="608A7640"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inicio_ctto</w:t>
            </w:r>
            <w:proofErr w:type="spellEnd"/>
          </w:p>
        </w:tc>
        <w:tc>
          <w:tcPr>
            <w:tcW w:w="1200" w:type="dxa"/>
            <w:noWrap/>
            <w:hideMark/>
          </w:tcPr>
          <w:p w14:paraId="3AE75250" w14:textId="77777777" w:rsidR="00607D5F" w:rsidRPr="007474AB" w:rsidRDefault="00607D5F">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ES" w:eastAsia="es-CL"/>
              </w:rPr>
            </w:pPr>
            <w:proofErr w:type="spellStart"/>
            <w:r w:rsidRPr="007474AB">
              <w:rPr>
                <w:rFonts w:ascii="Calibri" w:eastAsia="Times New Roman" w:hAnsi="Calibri" w:cs="Times New Roman"/>
                <w:color w:val="000000"/>
                <w:lang w:val="es-ES" w:eastAsia="es-CL"/>
              </w:rPr>
              <w:t>fin_ctto</w:t>
            </w:r>
            <w:proofErr w:type="spellEnd"/>
          </w:p>
        </w:tc>
      </w:tr>
      <w:tr w:rsidR="00607D5F" w14:paraId="721EED15" w14:textId="77777777" w:rsidTr="007474A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5D26A3B" w14:textId="77777777" w:rsidR="00607D5F" w:rsidRDefault="00607D5F">
            <w:pPr>
              <w:spacing w:before="0" w:after="0"/>
              <w:rPr>
                <w:rFonts w:ascii="Calibri" w:eastAsia="Times New Roman" w:hAnsi="Calibri" w:cs="Times New Roman"/>
                <w:b w:val="0"/>
                <w:bCs w:val="0"/>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44237C6"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IBEREÓLICA CABO LEONES II S.A.</w:t>
            </w:r>
          </w:p>
        </w:tc>
        <w:tc>
          <w:tcPr>
            <w:tcW w:w="1200" w:type="dxa"/>
            <w:noWrap/>
            <w:hideMark/>
          </w:tcPr>
          <w:p w14:paraId="7B624E5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05644E4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741BB835"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6676AEDB"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15610AAB"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277A438E"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187E5B0E"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HUEMUL ENERGÍA (Caman)</w:t>
            </w:r>
          </w:p>
        </w:tc>
        <w:tc>
          <w:tcPr>
            <w:tcW w:w="1200" w:type="dxa"/>
            <w:noWrap/>
            <w:hideMark/>
          </w:tcPr>
          <w:p w14:paraId="4277F1F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0E8A6E52"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BS1</w:t>
            </w:r>
          </w:p>
        </w:tc>
        <w:tc>
          <w:tcPr>
            <w:tcW w:w="1200" w:type="dxa"/>
            <w:noWrap/>
            <w:hideMark/>
          </w:tcPr>
          <w:p w14:paraId="6FB6EE3E"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7DEB20A"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E58A5F3"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46E2FE37"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D3F5163"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HUEMUL ENERGÍA (Coihue)</w:t>
            </w:r>
          </w:p>
        </w:tc>
        <w:tc>
          <w:tcPr>
            <w:tcW w:w="1200" w:type="dxa"/>
            <w:noWrap/>
            <w:hideMark/>
          </w:tcPr>
          <w:p w14:paraId="5121E86E"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CDE96E9"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BS1</w:t>
            </w:r>
          </w:p>
        </w:tc>
        <w:tc>
          <w:tcPr>
            <w:tcW w:w="1200" w:type="dxa"/>
            <w:noWrap/>
            <w:hideMark/>
          </w:tcPr>
          <w:p w14:paraId="22501F0B"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6C3BDE3"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29FF9E5B"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9E3381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CEC8C65"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CONDOR ENERGÍA (Esperanza)</w:t>
            </w:r>
          </w:p>
        </w:tc>
        <w:tc>
          <w:tcPr>
            <w:tcW w:w="1200" w:type="dxa"/>
            <w:noWrap/>
            <w:hideMark/>
          </w:tcPr>
          <w:p w14:paraId="79D2F30D"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2CC33D4C"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591364F3"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8149E0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30949CD"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4E6ACFCA"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72B26434"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w:t>
            </w:r>
          </w:p>
        </w:tc>
        <w:tc>
          <w:tcPr>
            <w:tcW w:w="1200" w:type="dxa"/>
            <w:noWrap/>
            <w:hideMark/>
          </w:tcPr>
          <w:p w14:paraId="40BB075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62157689"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6C714F1E"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1F51A93"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5AD0741"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661137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6535905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MARIA ELENA SOLAR</w:t>
            </w:r>
          </w:p>
        </w:tc>
        <w:tc>
          <w:tcPr>
            <w:tcW w:w="1200" w:type="dxa"/>
            <w:noWrap/>
            <w:hideMark/>
          </w:tcPr>
          <w:p w14:paraId="52EED24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2F0535D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BS2B</w:t>
            </w:r>
          </w:p>
        </w:tc>
        <w:tc>
          <w:tcPr>
            <w:tcW w:w="1200" w:type="dxa"/>
            <w:noWrap/>
            <w:hideMark/>
          </w:tcPr>
          <w:p w14:paraId="75EE9F3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E5DF5D6"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76E0954"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9FC33C2"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B5A8FF1"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OPDENERGY</w:t>
            </w:r>
          </w:p>
        </w:tc>
        <w:tc>
          <w:tcPr>
            <w:tcW w:w="1200" w:type="dxa"/>
            <w:noWrap/>
            <w:hideMark/>
          </w:tcPr>
          <w:p w14:paraId="2C50CAB2"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327CE6B5"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BS1</w:t>
            </w:r>
          </w:p>
        </w:tc>
        <w:tc>
          <w:tcPr>
            <w:tcW w:w="1200" w:type="dxa"/>
            <w:noWrap/>
            <w:hideMark/>
          </w:tcPr>
          <w:p w14:paraId="7CAB71A3"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83369C8"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4686F87"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368B607"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431C1491"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 II)</w:t>
            </w:r>
          </w:p>
        </w:tc>
        <w:tc>
          <w:tcPr>
            <w:tcW w:w="1200" w:type="dxa"/>
            <w:noWrap/>
            <w:hideMark/>
          </w:tcPr>
          <w:p w14:paraId="274DD95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7097B03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064F8D51"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34ED086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3891E8EB"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58B372E"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38D0AED6"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NEGRETE</w:t>
            </w:r>
          </w:p>
        </w:tc>
        <w:tc>
          <w:tcPr>
            <w:tcW w:w="1200" w:type="dxa"/>
            <w:noWrap/>
            <w:hideMark/>
          </w:tcPr>
          <w:p w14:paraId="38D01A64"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22912F38"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w:t>
            </w:r>
          </w:p>
        </w:tc>
        <w:tc>
          <w:tcPr>
            <w:tcW w:w="1200" w:type="dxa"/>
            <w:noWrap/>
            <w:hideMark/>
          </w:tcPr>
          <w:p w14:paraId="36CD365C"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9AB380B"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58CAE96"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0A16101"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A1330D6"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IBEREÓLICA CABO LEONES III </w:t>
            </w:r>
            <w:proofErr w:type="spellStart"/>
            <w:r>
              <w:rPr>
                <w:rFonts w:ascii="Calibri" w:eastAsia="Times New Roman" w:hAnsi="Calibri" w:cs="Times New Roman"/>
                <w:color w:val="000000"/>
                <w:sz w:val="18"/>
                <w:szCs w:val="18"/>
                <w:lang w:val="es-ES" w:eastAsia="es-CL"/>
              </w:rPr>
              <w:t>SpA</w:t>
            </w:r>
            <w:proofErr w:type="spellEnd"/>
          </w:p>
        </w:tc>
        <w:tc>
          <w:tcPr>
            <w:tcW w:w="1200" w:type="dxa"/>
            <w:noWrap/>
            <w:hideMark/>
          </w:tcPr>
          <w:p w14:paraId="2D457AE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5D88BEBE"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620A5C28"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427E6244"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0910488"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011268D8"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3A4CCA5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w:t>
            </w:r>
          </w:p>
        </w:tc>
        <w:tc>
          <w:tcPr>
            <w:tcW w:w="1200" w:type="dxa"/>
            <w:noWrap/>
            <w:hideMark/>
          </w:tcPr>
          <w:p w14:paraId="2EFC057D"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56B581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521F2F5D"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1168E7CB"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12F6FC63"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6678835"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CE138F0"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IBEREÓLICA CABO LEONES III </w:t>
            </w:r>
            <w:proofErr w:type="spellStart"/>
            <w:r>
              <w:rPr>
                <w:rFonts w:ascii="Calibri" w:eastAsia="Times New Roman" w:hAnsi="Calibri" w:cs="Times New Roman"/>
                <w:color w:val="000000"/>
                <w:sz w:val="18"/>
                <w:szCs w:val="18"/>
                <w:lang w:val="es-ES" w:eastAsia="es-CL"/>
              </w:rPr>
              <w:t>SpA</w:t>
            </w:r>
            <w:proofErr w:type="spellEnd"/>
          </w:p>
        </w:tc>
        <w:tc>
          <w:tcPr>
            <w:tcW w:w="1200" w:type="dxa"/>
            <w:noWrap/>
            <w:hideMark/>
          </w:tcPr>
          <w:p w14:paraId="475232C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37727267"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3C9BB428"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3C5B3B1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3E37A19C"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283D0E53"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495B4E02"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 II)</w:t>
            </w:r>
          </w:p>
        </w:tc>
        <w:tc>
          <w:tcPr>
            <w:tcW w:w="1200" w:type="dxa"/>
            <w:noWrap/>
            <w:hideMark/>
          </w:tcPr>
          <w:p w14:paraId="4ECC83F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6F02B8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16C35AE6"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F82F681"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718C8DA5"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773FA2FA"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5F5C51B2"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PARQUE EÓLICO CABO LEONES I S.A.</w:t>
            </w:r>
          </w:p>
        </w:tc>
        <w:tc>
          <w:tcPr>
            <w:tcW w:w="1200" w:type="dxa"/>
            <w:noWrap/>
            <w:hideMark/>
          </w:tcPr>
          <w:p w14:paraId="73B703AF"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F15519A"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7FE852B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0EB930A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D0E9D22"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822F35F"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2FDF43E0"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w:t>
            </w:r>
          </w:p>
        </w:tc>
        <w:tc>
          <w:tcPr>
            <w:tcW w:w="1200" w:type="dxa"/>
            <w:noWrap/>
            <w:hideMark/>
          </w:tcPr>
          <w:p w14:paraId="233BC35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6C1A7B6"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0E4BD96C"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0EE0B1B8"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0C2AE1D8"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14AF1186"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1B3FF1F0"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PARQUE EÓLICO CABO LEONES I S.A.</w:t>
            </w:r>
          </w:p>
        </w:tc>
        <w:tc>
          <w:tcPr>
            <w:tcW w:w="1200" w:type="dxa"/>
            <w:noWrap/>
            <w:hideMark/>
          </w:tcPr>
          <w:p w14:paraId="7F3136C3"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E0EC7FC"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381ACCD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7301F3A"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14EDE97"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426D2F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4079249A"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BESALCO</w:t>
            </w:r>
          </w:p>
        </w:tc>
        <w:tc>
          <w:tcPr>
            <w:tcW w:w="1200" w:type="dxa"/>
            <w:noWrap/>
            <w:hideMark/>
          </w:tcPr>
          <w:p w14:paraId="027E08FB"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382B414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6E740E32"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55176FE"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7D674012"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9BE2B7C"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6F970BB6"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MALLECO (Malleco II)</w:t>
            </w:r>
          </w:p>
        </w:tc>
        <w:tc>
          <w:tcPr>
            <w:tcW w:w="1200" w:type="dxa"/>
            <w:noWrap/>
            <w:hideMark/>
          </w:tcPr>
          <w:p w14:paraId="10A932E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6120C5A"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3D70A306"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252AFE37"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7C169D6F"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7D11E64D"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32BD0A3D"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NEGRETE</w:t>
            </w:r>
          </w:p>
        </w:tc>
        <w:tc>
          <w:tcPr>
            <w:tcW w:w="1200" w:type="dxa"/>
            <w:noWrap/>
            <w:hideMark/>
          </w:tcPr>
          <w:p w14:paraId="193EA027"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1292B16B"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BS2A</w:t>
            </w:r>
          </w:p>
        </w:tc>
        <w:tc>
          <w:tcPr>
            <w:tcW w:w="1200" w:type="dxa"/>
            <w:noWrap/>
            <w:hideMark/>
          </w:tcPr>
          <w:p w14:paraId="20AD00A8"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27FEFC02"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B2315FC"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0AA29AD2"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1B1A288F"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DUQUECO (</w:t>
            </w:r>
            <w:proofErr w:type="spellStart"/>
            <w:r>
              <w:rPr>
                <w:rFonts w:ascii="Calibri" w:eastAsia="Times New Roman" w:hAnsi="Calibri" w:cs="Times New Roman"/>
                <w:color w:val="000000"/>
                <w:sz w:val="18"/>
                <w:szCs w:val="18"/>
                <w:lang w:val="es-ES" w:eastAsia="es-CL"/>
              </w:rPr>
              <w:t>Duqueco</w:t>
            </w:r>
            <w:proofErr w:type="spellEnd"/>
            <w:r>
              <w:rPr>
                <w:rFonts w:ascii="Calibri" w:eastAsia="Times New Roman" w:hAnsi="Calibri" w:cs="Times New Roman"/>
                <w:color w:val="000000"/>
                <w:sz w:val="18"/>
                <w:szCs w:val="18"/>
                <w:lang w:val="es-ES" w:eastAsia="es-CL"/>
              </w:rPr>
              <w:t>)</w:t>
            </w:r>
          </w:p>
        </w:tc>
        <w:tc>
          <w:tcPr>
            <w:tcW w:w="1200" w:type="dxa"/>
            <w:noWrap/>
            <w:hideMark/>
          </w:tcPr>
          <w:p w14:paraId="5592A740"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76273004"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586A0DA0"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77999CD9"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4FC54FF3" w14:textId="77777777" w:rsidTr="007474AB">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6C0F46C7"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211B1F28"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DUQUECO (</w:t>
            </w:r>
            <w:proofErr w:type="spellStart"/>
            <w:r>
              <w:rPr>
                <w:rFonts w:ascii="Calibri" w:eastAsia="Times New Roman" w:hAnsi="Calibri" w:cs="Times New Roman"/>
                <w:color w:val="000000"/>
                <w:sz w:val="18"/>
                <w:szCs w:val="18"/>
                <w:lang w:val="es-ES" w:eastAsia="es-CL"/>
              </w:rPr>
              <w:t>Sta</w:t>
            </w:r>
            <w:proofErr w:type="spellEnd"/>
            <w:r>
              <w:rPr>
                <w:rFonts w:ascii="Calibri" w:eastAsia="Times New Roman" w:hAnsi="Calibri" w:cs="Times New Roman"/>
                <w:color w:val="000000"/>
                <w:sz w:val="18"/>
                <w:szCs w:val="18"/>
                <w:lang w:val="es-ES" w:eastAsia="es-CL"/>
              </w:rPr>
              <w:t xml:space="preserve"> Fe)</w:t>
            </w:r>
          </w:p>
        </w:tc>
        <w:tc>
          <w:tcPr>
            <w:tcW w:w="1200" w:type="dxa"/>
            <w:noWrap/>
            <w:hideMark/>
          </w:tcPr>
          <w:p w14:paraId="2886F383"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5C38A1FC" w14:textId="77777777" w:rsidR="00607D5F" w:rsidRDefault="00607D5F">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03AB1FA3" w14:textId="77777777" w:rsidR="00607D5F" w:rsidRDefault="00607D5F">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56E95095" w14:textId="77777777" w:rsidR="00607D5F" w:rsidRDefault="00607D5F">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r w:rsidR="00607D5F" w14:paraId="55EFE84B"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5F9905BA" w14:textId="77777777" w:rsidR="00607D5F" w:rsidRDefault="00607D5F">
            <w:pPr>
              <w:spacing w:before="0" w:after="0"/>
              <w:rPr>
                <w:rFonts w:ascii="Calibri" w:eastAsia="Times New Roman" w:hAnsi="Calibri" w:cs="Times New Roman"/>
                <w:color w:val="000000"/>
                <w:sz w:val="18"/>
                <w:szCs w:val="18"/>
                <w:lang w:val="es-ES" w:eastAsia="es-CL"/>
              </w:rPr>
            </w:pPr>
            <w:r>
              <w:rPr>
                <w:rFonts w:ascii="Calibri" w:eastAsia="Times New Roman" w:hAnsi="Calibri" w:cs="Times New Roman"/>
                <w:b w:val="0"/>
                <w:bCs w:val="0"/>
                <w:color w:val="000000"/>
                <w:sz w:val="18"/>
                <w:szCs w:val="18"/>
                <w:lang w:val="es-ES" w:eastAsia="es-CL"/>
              </w:rPr>
              <w:t>2015/01</w:t>
            </w:r>
          </w:p>
        </w:tc>
        <w:tc>
          <w:tcPr>
            <w:tcW w:w="3040" w:type="dxa"/>
            <w:noWrap/>
            <w:hideMark/>
          </w:tcPr>
          <w:p w14:paraId="0C7D925B"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WPD NEGRETE</w:t>
            </w:r>
          </w:p>
        </w:tc>
        <w:tc>
          <w:tcPr>
            <w:tcW w:w="1200" w:type="dxa"/>
            <w:noWrap/>
            <w:hideMark/>
          </w:tcPr>
          <w:p w14:paraId="4864621C"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Polpaico 220</w:t>
            </w:r>
          </w:p>
        </w:tc>
        <w:tc>
          <w:tcPr>
            <w:tcW w:w="1200" w:type="dxa"/>
            <w:noWrap/>
            <w:hideMark/>
          </w:tcPr>
          <w:p w14:paraId="4E1496BA" w14:textId="77777777" w:rsidR="00607D5F" w:rsidRDefault="00607D5F">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BS2C</w:t>
            </w:r>
          </w:p>
        </w:tc>
        <w:tc>
          <w:tcPr>
            <w:tcW w:w="1200" w:type="dxa"/>
            <w:noWrap/>
            <w:hideMark/>
          </w:tcPr>
          <w:p w14:paraId="06E72D26" w14:textId="77777777" w:rsidR="00607D5F" w:rsidRDefault="00607D5F">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 xml:space="preserve">   01-01-2021</w:t>
            </w:r>
          </w:p>
        </w:tc>
        <w:tc>
          <w:tcPr>
            <w:tcW w:w="1200" w:type="dxa"/>
            <w:noWrap/>
            <w:hideMark/>
          </w:tcPr>
          <w:p w14:paraId="6DBBBA88" w14:textId="77777777" w:rsidR="00607D5F" w:rsidRDefault="00607D5F">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Pr>
                <w:rFonts w:ascii="Calibri" w:eastAsia="Times New Roman" w:hAnsi="Calibri" w:cs="Times New Roman"/>
                <w:color w:val="000000"/>
                <w:sz w:val="18"/>
                <w:szCs w:val="18"/>
                <w:lang w:val="es-ES" w:eastAsia="es-CL"/>
              </w:rPr>
              <w:t>31-12-2040</w:t>
            </w:r>
          </w:p>
        </w:tc>
      </w:tr>
    </w:tbl>
    <w:p w14:paraId="1FB30949" w14:textId="326760F1" w:rsidR="00607D5F" w:rsidRPr="00607D5F" w:rsidRDefault="007474AB" w:rsidP="0064677F">
      <w:pPr>
        <w:spacing w:line="240" w:lineRule="auto"/>
        <w:jc w:val="both"/>
      </w:pPr>
      <w:r>
        <w:t>Por otra parte, p</w:t>
      </w:r>
      <w:r w:rsidR="00607D5F" w:rsidRPr="00607D5F">
        <w:t xml:space="preserve">ara el cálculo del precio indexado en el punto de oferta del contrato indicado en la siguiente tabla, se debe incorporar en la hoja </w:t>
      </w:r>
      <w:r w:rsidR="00607D5F" w:rsidRPr="00607D5F">
        <w:rPr>
          <w:b/>
          <w:i/>
        </w:rPr>
        <w:t xml:space="preserve">“Indexación Contratos” </w:t>
      </w:r>
      <w:r w:rsidR="00607D5F" w:rsidRPr="00607D5F">
        <w:t>el valor actual del Index_E1, correspondiente al DIESEL. (celda Z5), el cual aparece con valor cero. Lo anterior provoca un cálculo erróneo al momento de evaluar la indexación de este contrato.</w:t>
      </w:r>
    </w:p>
    <w:tbl>
      <w:tblPr>
        <w:tblStyle w:val="Tablanormal1"/>
        <w:tblW w:w="0" w:type="auto"/>
        <w:jc w:val="center"/>
        <w:tblLook w:val="04A0" w:firstRow="1" w:lastRow="0" w:firstColumn="1" w:lastColumn="0" w:noHBand="0" w:noVBand="1"/>
      </w:tblPr>
      <w:tblGrid>
        <w:gridCol w:w="1282"/>
        <w:gridCol w:w="742"/>
        <w:gridCol w:w="1110"/>
        <w:gridCol w:w="1274"/>
        <w:gridCol w:w="1437"/>
        <w:gridCol w:w="1122"/>
        <w:gridCol w:w="1122"/>
      </w:tblGrid>
      <w:tr w:rsidR="00607D5F" w14:paraId="6B379C2D" w14:textId="77777777" w:rsidTr="007474AB">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0" w:type="auto"/>
            <w:gridSpan w:val="5"/>
            <w:noWrap/>
            <w:hideMark/>
          </w:tcPr>
          <w:p w14:paraId="075E4D09" w14:textId="77777777" w:rsidR="00607D5F" w:rsidRPr="007474AB" w:rsidRDefault="00607D5F" w:rsidP="007474AB">
            <w:pPr>
              <w:spacing w:before="0" w:after="0"/>
              <w:rPr>
                <w:sz w:val="18"/>
                <w:szCs w:val="18"/>
              </w:rPr>
            </w:pPr>
          </w:p>
        </w:tc>
        <w:tc>
          <w:tcPr>
            <w:tcW w:w="0" w:type="auto"/>
            <w:hideMark/>
          </w:tcPr>
          <w:p w14:paraId="47BDFC9B" w14:textId="77777777" w:rsidR="00607D5F" w:rsidRPr="007474AB" w:rsidRDefault="00607D5F" w:rsidP="007474AB">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b w:val="0"/>
                <w:bCs w:val="0"/>
                <w:color w:val="000000"/>
                <w:sz w:val="18"/>
                <w:szCs w:val="18"/>
                <w:lang w:val="es-ES" w:eastAsia="es-CL"/>
              </w:rPr>
              <w:t>VALOR CNE</w:t>
            </w:r>
          </w:p>
        </w:tc>
        <w:tc>
          <w:tcPr>
            <w:tcW w:w="0" w:type="auto"/>
            <w:hideMark/>
          </w:tcPr>
          <w:p w14:paraId="5E9091D6" w14:textId="77777777" w:rsidR="00607D5F" w:rsidRPr="007474AB" w:rsidRDefault="00607D5F" w:rsidP="007474AB">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val="es-ES" w:eastAsia="es-CL"/>
              </w:rPr>
            </w:pPr>
            <w:r w:rsidRPr="007474AB">
              <w:rPr>
                <w:rFonts w:ascii="Calibri" w:eastAsia="Times New Roman" w:hAnsi="Calibri" w:cs="Times New Roman"/>
                <w:b w:val="0"/>
                <w:bCs w:val="0"/>
                <w:color w:val="000000"/>
                <w:sz w:val="18"/>
                <w:szCs w:val="18"/>
                <w:lang w:val="es-ES" w:eastAsia="es-CL"/>
              </w:rPr>
              <w:t>VALOR CGE</w:t>
            </w:r>
          </w:p>
        </w:tc>
      </w:tr>
      <w:tr w:rsidR="007474AB" w14:paraId="4CEF8B41" w14:textId="77777777" w:rsidTr="007474AB">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6F5798" w14:textId="77777777" w:rsidR="00607D5F" w:rsidRPr="007474AB" w:rsidRDefault="00607D5F" w:rsidP="007474AB">
            <w:pPr>
              <w:spacing w:before="0" w:after="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Licitación</w:t>
            </w:r>
          </w:p>
        </w:tc>
        <w:tc>
          <w:tcPr>
            <w:tcW w:w="0" w:type="auto"/>
            <w:noWrap/>
            <w:hideMark/>
          </w:tcPr>
          <w:p w14:paraId="7D8035C3" w14:textId="77777777" w:rsidR="00607D5F" w:rsidRPr="007474AB" w:rsidRDefault="00607D5F" w:rsidP="007474AB">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8"/>
                <w:szCs w:val="18"/>
                <w:lang w:val="es-ES" w:eastAsia="es-CL"/>
              </w:rPr>
            </w:pPr>
            <w:r w:rsidRPr="007474AB">
              <w:rPr>
                <w:rFonts w:ascii="Calibri" w:eastAsia="Times New Roman" w:hAnsi="Calibri" w:cs="Times New Roman"/>
                <w:b/>
                <w:bCs/>
                <w:color w:val="000000"/>
                <w:sz w:val="18"/>
                <w:szCs w:val="18"/>
                <w:lang w:val="es-ES" w:eastAsia="es-CL"/>
              </w:rPr>
              <w:t>Bloque</w:t>
            </w:r>
          </w:p>
        </w:tc>
        <w:tc>
          <w:tcPr>
            <w:tcW w:w="0" w:type="auto"/>
            <w:noWrap/>
            <w:hideMark/>
          </w:tcPr>
          <w:p w14:paraId="3A9B67FC" w14:textId="77777777" w:rsidR="00607D5F" w:rsidRPr="007474AB" w:rsidRDefault="00607D5F" w:rsidP="007474AB">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8"/>
                <w:szCs w:val="18"/>
                <w:lang w:val="es-ES" w:eastAsia="es-CL"/>
              </w:rPr>
            </w:pPr>
            <w:r w:rsidRPr="007474AB">
              <w:rPr>
                <w:rFonts w:ascii="Calibri" w:eastAsia="Times New Roman" w:hAnsi="Calibri" w:cs="Times New Roman"/>
                <w:b/>
                <w:bCs/>
                <w:color w:val="000000"/>
                <w:sz w:val="18"/>
                <w:szCs w:val="18"/>
                <w:lang w:val="es-ES" w:eastAsia="es-CL"/>
              </w:rPr>
              <w:t>Tipo Bloque</w:t>
            </w:r>
          </w:p>
        </w:tc>
        <w:tc>
          <w:tcPr>
            <w:tcW w:w="0" w:type="auto"/>
            <w:hideMark/>
          </w:tcPr>
          <w:p w14:paraId="76F108FB" w14:textId="77777777" w:rsidR="00607D5F" w:rsidRPr="007474AB" w:rsidRDefault="00607D5F" w:rsidP="007474AB">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8"/>
                <w:szCs w:val="18"/>
                <w:lang w:val="es-ES" w:eastAsia="es-CL"/>
              </w:rPr>
            </w:pPr>
            <w:r w:rsidRPr="007474AB">
              <w:rPr>
                <w:rFonts w:ascii="Calibri" w:eastAsia="Times New Roman" w:hAnsi="Calibri" w:cs="Times New Roman"/>
                <w:b/>
                <w:bCs/>
                <w:color w:val="000000"/>
                <w:sz w:val="18"/>
                <w:szCs w:val="18"/>
                <w:lang w:val="es-ES" w:eastAsia="es-CL"/>
              </w:rPr>
              <w:t>Suministrador</w:t>
            </w:r>
          </w:p>
        </w:tc>
        <w:tc>
          <w:tcPr>
            <w:tcW w:w="0" w:type="auto"/>
            <w:hideMark/>
          </w:tcPr>
          <w:p w14:paraId="17F28E9B" w14:textId="77777777" w:rsidR="00607D5F" w:rsidRPr="007474AB" w:rsidRDefault="00607D5F" w:rsidP="007474AB">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8"/>
                <w:szCs w:val="18"/>
                <w:lang w:val="es-ES" w:eastAsia="es-CL"/>
              </w:rPr>
            </w:pPr>
            <w:r w:rsidRPr="007474AB">
              <w:rPr>
                <w:rFonts w:ascii="Calibri" w:eastAsia="Times New Roman" w:hAnsi="Calibri" w:cs="Times New Roman"/>
                <w:b/>
                <w:bCs/>
                <w:color w:val="000000"/>
                <w:sz w:val="18"/>
                <w:szCs w:val="18"/>
                <w:lang w:val="es-ES" w:eastAsia="es-CL"/>
              </w:rPr>
              <w:t>Distribuidora</w:t>
            </w:r>
          </w:p>
        </w:tc>
        <w:tc>
          <w:tcPr>
            <w:tcW w:w="0" w:type="auto"/>
            <w:hideMark/>
          </w:tcPr>
          <w:p w14:paraId="4F5588E1" w14:textId="2897673F" w:rsidR="00607D5F" w:rsidRPr="007474AB" w:rsidRDefault="00607D5F" w:rsidP="007474AB">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8"/>
                <w:szCs w:val="18"/>
                <w:lang w:val="es-ES" w:eastAsia="es-CL"/>
              </w:rPr>
            </w:pPr>
            <w:r w:rsidRPr="007474AB">
              <w:rPr>
                <w:rFonts w:ascii="Calibri" w:eastAsia="Times New Roman" w:hAnsi="Calibri" w:cs="Times New Roman"/>
                <w:b/>
                <w:bCs/>
                <w:color w:val="000000"/>
                <w:sz w:val="18"/>
                <w:szCs w:val="18"/>
                <w:lang w:val="es-ES" w:eastAsia="es-CL"/>
              </w:rPr>
              <w:t xml:space="preserve">PNELP </w:t>
            </w:r>
            <w:r w:rsidR="007474AB">
              <w:rPr>
                <w:rFonts w:ascii="Calibri" w:eastAsia="Times New Roman" w:hAnsi="Calibri" w:cs="Times New Roman"/>
                <w:b/>
                <w:bCs/>
                <w:color w:val="000000"/>
                <w:sz w:val="18"/>
                <w:szCs w:val="18"/>
                <w:lang w:val="es-ES" w:eastAsia="es-CL"/>
              </w:rPr>
              <w:br/>
            </w:r>
            <w:r w:rsidRPr="007474AB">
              <w:rPr>
                <w:rFonts w:ascii="Calibri" w:eastAsia="Times New Roman" w:hAnsi="Calibri" w:cs="Times New Roman"/>
                <w:b/>
                <w:bCs/>
                <w:color w:val="000000"/>
                <w:sz w:val="18"/>
                <w:szCs w:val="18"/>
                <w:lang w:val="es-ES" w:eastAsia="es-CL"/>
              </w:rPr>
              <w:t>[US$/MWh]</w:t>
            </w:r>
          </w:p>
        </w:tc>
        <w:tc>
          <w:tcPr>
            <w:tcW w:w="0" w:type="auto"/>
            <w:hideMark/>
          </w:tcPr>
          <w:p w14:paraId="1F70FEE6" w14:textId="53609DE6" w:rsidR="00607D5F" w:rsidRPr="007474AB" w:rsidRDefault="00607D5F" w:rsidP="007474AB">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18"/>
                <w:szCs w:val="18"/>
                <w:lang w:val="es-ES" w:eastAsia="es-CL"/>
              </w:rPr>
            </w:pPr>
            <w:r w:rsidRPr="007474AB">
              <w:rPr>
                <w:rFonts w:ascii="Calibri" w:eastAsia="Times New Roman" w:hAnsi="Calibri" w:cs="Times New Roman"/>
                <w:b/>
                <w:bCs/>
                <w:color w:val="000000"/>
                <w:sz w:val="18"/>
                <w:szCs w:val="18"/>
                <w:lang w:val="es-ES" w:eastAsia="es-CL"/>
              </w:rPr>
              <w:t xml:space="preserve">PNELP </w:t>
            </w:r>
            <w:r w:rsidR="007474AB">
              <w:rPr>
                <w:rFonts w:ascii="Calibri" w:eastAsia="Times New Roman" w:hAnsi="Calibri" w:cs="Times New Roman"/>
                <w:b/>
                <w:bCs/>
                <w:color w:val="000000"/>
                <w:sz w:val="18"/>
                <w:szCs w:val="18"/>
                <w:lang w:val="es-ES" w:eastAsia="es-CL"/>
              </w:rPr>
              <w:br/>
            </w:r>
            <w:r w:rsidRPr="007474AB">
              <w:rPr>
                <w:rFonts w:ascii="Calibri" w:eastAsia="Times New Roman" w:hAnsi="Calibri" w:cs="Times New Roman"/>
                <w:b/>
                <w:bCs/>
                <w:color w:val="000000"/>
                <w:sz w:val="18"/>
                <w:szCs w:val="18"/>
                <w:lang w:val="es-ES" w:eastAsia="es-CL"/>
              </w:rPr>
              <w:t>[US$/MWh]</w:t>
            </w:r>
          </w:p>
        </w:tc>
      </w:tr>
      <w:tr w:rsidR="00607D5F" w14:paraId="6E1617E5" w14:textId="77777777" w:rsidTr="007474AB">
        <w:trPr>
          <w:trHeight w:val="27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CBE2451" w14:textId="77777777" w:rsidR="00607D5F" w:rsidRPr="007474AB" w:rsidRDefault="00607D5F" w:rsidP="007474AB">
            <w:pPr>
              <w:spacing w:before="0" w:after="0"/>
              <w:rPr>
                <w:rFonts w:ascii="Calibri" w:eastAsia="Times New Roman" w:hAnsi="Calibri" w:cs="Times New Roman"/>
                <w:b w:val="0"/>
                <w:bCs w:val="0"/>
                <w:color w:val="000000"/>
                <w:sz w:val="18"/>
                <w:szCs w:val="18"/>
                <w:lang w:val="es-ES" w:eastAsia="es-CL"/>
              </w:rPr>
            </w:pPr>
            <w:r w:rsidRPr="007474AB">
              <w:rPr>
                <w:rFonts w:ascii="Calibri" w:eastAsia="Times New Roman" w:hAnsi="Calibri" w:cs="Times New Roman"/>
                <w:b w:val="0"/>
                <w:bCs w:val="0"/>
                <w:color w:val="000000"/>
                <w:sz w:val="18"/>
                <w:szCs w:val="18"/>
                <w:lang w:val="es-ES" w:eastAsia="es-CL"/>
              </w:rPr>
              <w:t>CGED 2006/01</w:t>
            </w:r>
          </w:p>
        </w:tc>
        <w:tc>
          <w:tcPr>
            <w:tcW w:w="0" w:type="auto"/>
            <w:noWrap/>
            <w:hideMark/>
          </w:tcPr>
          <w:p w14:paraId="4583F9E3" w14:textId="77777777" w:rsidR="00607D5F" w:rsidRPr="007474AB" w:rsidRDefault="00607D5F" w:rsidP="007474AB">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BB1</w:t>
            </w:r>
          </w:p>
        </w:tc>
        <w:tc>
          <w:tcPr>
            <w:tcW w:w="0" w:type="auto"/>
            <w:noWrap/>
            <w:hideMark/>
          </w:tcPr>
          <w:p w14:paraId="731657B9" w14:textId="77777777" w:rsidR="00607D5F" w:rsidRPr="007474AB" w:rsidRDefault="00607D5F" w:rsidP="007474AB">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BB</w:t>
            </w:r>
          </w:p>
        </w:tc>
        <w:tc>
          <w:tcPr>
            <w:tcW w:w="0" w:type="auto"/>
            <w:noWrap/>
            <w:hideMark/>
          </w:tcPr>
          <w:p w14:paraId="3B304161" w14:textId="77777777" w:rsidR="00607D5F" w:rsidRPr="007474AB" w:rsidRDefault="00607D5F" w:rsidP="007474AB">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COLBÚN</w:t>
            </w:r>
          </w:p>
        </w:tc>
        <w:tc>
          <w:tcPr>
            <w:tcW w:w="0" w:type="auto"/>
            <w:noWrap/>
            <w:hideMark/>
          </w:tcPr>
          <w:p w14:paraId="4548F2BD" w14:textId="77777777" w:rsidR="00607D5F" w:rsidRPr="007474AB" w:rsidRDefault="00607D5F" w:rsidP="007474AB">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CGE Distribución</w:t>
            </w:r>
          </w:p>
        </w:tc>
        <w:tc>
          <w:tcPr>
            <w:tcW w:w="0" w:type="auto"/>
            <w:noWrap/>
            <w:hideMark/>
          </w:tcPr>
          <w:p w14:paraId="1A9527F6" w14:textId="77777777" w:rsidR="00607D5F" w:rsidRPr="007474AB" w:rsidRDefault="00607D5F" w:rsidP="007474AB">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50,937</w:t>
            </w:r>
          </w:p>
        </w:tc>
        <w:tc>
          <w:tcPr>
            <w:tcW w:w="0" w:type="auto"/>
            <w:noWrap/>
            <w:hideMark/>
          </w:tcPr>
          <w:p w14:paraId="672AC009" w14:textId="77777777" w:rsidR="00607D5F" w:rsidRPr="007474AB" w:rsidRDefault="00607D5F" w:rsidP="007474AB">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val="es-ES" w:eastAsia="es-CL"/>
              </w:rPr>
            </w:pPr>
            <w:r w:rsidRPr="007474AB">
              <w:rPr>
                <w:rFonts w:ascii="Calibri" w:eastAsia="Times New Roman" w:hAnsi="Calibri" w:cs="Times New Roman"/>
                <w:color w:val="000000"/>
                <w:sz w:val="18"/>
                <w:szCs w:val="18"/>
                <w:lang w:val="es-ES" w:eastAsia="es-CL"/>
              </w:rPr>
              <w:t>59,734</w:t>
            </w:r>
          </w:p>
        </w:tc>
      </w:tr>
    </w:tbl>
    <w:p w14:paraId="39889460" w14:textId="42FED4C4" w:rsidR="00D10C6B" w:rsidRDefault="00D10C6B" w:rsidP="00D10C6B">
      <w:r>
        <w:t xml:space="preserve">Esta situación debiese corregirse al incorporar los índices correspondientes a septiembre </w:t>
      </w:r>
      <w:r w:rsidR="00594A44">
        <w:t>2020.</w:t>
      </w:r>
    </w:p>
    <w:p w14:paraId="1C789F47" w14:textId="1246B360" w:rsidR="00607D5F" w:rsidRPr="00607D5F" w:rsidRDefault="00D74343" w:rsidP="000641A4">
      <w:pPr>
        <w:pStyle w:val="Ttulo1"/>
      </w:pPr>
      <w:r>
        <w:lastRenderedPageBreak/>
        <w:t>Consolidación CGE DISTRIBUCION</w:t>
      </w:r>
    </w:p>
    <w:p w14:paraId="5A8336BD" w14:textId="5F23D548" w:rsidR="00607D5F" w:rsidRPr="00607D5F" w:rsidRDefault="00607D5F" w:rsidP="0064677F">
      <w:pPr>
        <w:spacing w:line="240" w:lineRule="auto"/>
        <w:jc w:val="both"/>
      </w:pPr>
      <w:r w:rsidRPr="00607D5F">
        <w:t xml:space="preserve">En la presente fijación, en el archivo </w:t>
      </w:r>
      <w:r w:rsidR="00C24F0F">
        <w:t xml:space="preserve">Excel </w:t>
      </w:r>
      <w:r w:rsidRPr="00607D5F">
        <w:rPr>
          <w:b/>
          <w:i/>
        </w:rPr>
        <w:t xml:space="preserve">Modelo PNP Enero 2021_ITP </w:t>
      </w:r>
      <w:r w:rsidRPr="00607D5F">
        <w:t xml:space="preserve">se determina un precio de nudo promedio conjunto para CGE DISTRIBUCIÓN y las disueltas empresas EMELARI, ELIQSA, ELECDA, EMETAL, CONAFE, ENELSA, EMELECTRIC y EMETAL. </w:t>
      </w:r>
    </w:p>
    <w:p w14:paraId="76D7E997" w14:textId="68857250" w:rsidR="00607D5F" w:rsidRDefault="00607D5F" w:rsidP="0064677F">
      <w:pPr>
        <w:spacing w:line="240" w:lineRule="auto"/>
        <w:jc w:val="both"/>
      </w:pPr>
      <w:r w:rsidRPr="00607D5F">
        <w:t xml:space="preserve">Dado que los contratos de suministros se encuentran individualizados para cada una de las empresas disueltas en la hoja </w:t>
      </w:r>
      <w:r w:rsidRPr="00607D5F">
        <w:rPr>
          <w:b/>
        </w:rPr>
        <w:t>“Contratos”</w:t>
      </w:r>
      <w:r w:rsidRPr="00607D5F">
        <w:t xml:space="preserve">, estos no son considerados en el despacho de energía debido a que las proyecciones de demanda y despacho se encuentran asociadas únicamente a CGE Distribución. Es decir, el modelo estaría despachando la energía de todas las distribuidoras solo con los contratos pertenecientes a CGE Distribución. Por tal motivo, la licitación </w:t>
      </w:r>
      <w:r w:rsidRPr="00607D5F">
        <w:rPr>
          <w:b/>
          <w:i/>
        </w:rPr>
        <w:t>EMEL_SING_2008/01</w:t>
      </w:r>
      <w:r w:rsidRPr="00607D5F">
        <w:t xml:space="preserve"> adjudicada a </w:t>
      </w:r>
      <w:r w:rsidRPr="00607D5F">
        <w:rPr>
          <w:b/>
        </w:rPr>
        <w:t>E-CL</w:t>
      </w:r>
      <w:r w:rsidRPr="00607D5F">
        <w:t xml:space="preserve"> para el suministro de las empresas del norte EMELARI, ELIQSA y ELECDA estaría quedando sin energía asignada. En cambio, contratos exclusivos de CGE Distribución, como es el caso de los contenidos en los procesos </w:t>
      </w:r>
      <w:r w:rsidRPr="00607D5F">
        <w:rPr>
          <w:b/>
          <w:i/>
        </w:rPr>
        <w:t>CGED_2006/01-1</w:t>
      </w:r>
      <w:r w:rsidRPr="00607D5F">
        <w:t xml:space="preserve">, </w:t>
      </w:r>
      <w:r w:rsidRPr="00607D5F">
        <w:rPr>
          <w:b/>
          <w:i/>
        </w:rPr>
        <w:t>CGED_2008/01-1</w:t>
      </w:r>
      <w:r w:rsidRPr="00607D5F">
        <w:t xml:space="preserve">, </w:t>
      </w:r>
      <w:r w:rsidRPr="00607D5F">
        <w:rPr>
          <w:b/>
          <w:i/>
        </w:rPr>
        <w:t>CGED_2008/01-2</w:t>
      </w:r>
      <w:r w:rsidRPr="00607D5F">
        <w:t xml:space="preserve"> se encontrarían suministrando energía a todo el resto de </w:t>
      </w:r>
      <w:r w:rsidR="007474AB" w:rsidRPr="00607D5F">
        <w:t>las empresas</w:t>
      </w:r>
      <w:r w:rsidRPr="00607D5F">
        <w:t xml:space="preserve"> del grupo. Lo anterior estaría distorsionando fuertemente el precio promedio determinado</w:t>
      </w:r>
      <w:r w:rsidR="00F01A1B">
        <w:t>.</w:t>
      </w:r>
    </w:p>
    <w:p w14:paraId="4F68B413" w14:textId="0406523A" w:rsidR="00607D5F" w:rsidRDefault="00607D5F" w:rsidP="0064677F">
      <w:pPr>
        <w:spacing w:line="240" w:lineRule="auto"/>
        <w:jc w:val="both"/>
      </w:pPr>
      <w:r w:rsidRPr="00607D5F">
        <w:t>Se solicita para efectos de asignación de energía, mantener la separación por empresa que se consideraba en los informes PNP anteriores, de tal modo de recoger las condiciones establecidas en los contratos de suministro en cuanto a la zona que abastecen. Lo anterior, sin perjuicio de que al final se presente un único precio para CGE DISTRIBUCIÓN.</w:t>
      </w:r>
    </w:p>
    <w:p w14:paraId="018D25C9" w14:textId="45354D87" w:rsidR="00D74343" w:rsidRPr="00607D5F" w:rsidRDefault="00D74343" w:rsidP="0064677F">
      <w:pPr>
        <w:spacing w:line="240" w:lineRule="auto"/>
        <w:jc w:val="both"/>
      </w:pPr>
      <w:r>
        <w:t xml:space="preserve">Esto además permitiría reconocer adecuadamente los valores de CET que se acordaron con los suministradores, ya que </w:t>
      </w:r>
      <w:r w:rsidR="006800AB">
        <w:t>para</w:t>
      </w:r>
      <w:r>
        <w:t xml:space="preserve"> algunos </w:t>
      </w:r>
      <w:r w:rsidR="006800AB">
        <w:t xml:space="preserve">contratos </w:t>
      </w:r>
      <w:r>
        <w:t xml:space="preserve">el valor </w:t>
      </w:r>
      <w:r w:rsidR="006800AB">
        <w:t>es distinto para cada una de las distribuidoras del grupo</w:t>
      </w:r>
    </w:p>
    <w:p w14:paraId="19CDDD17" w14:textId="33368524" w:rsidR="000641A4" w:rsidRDefault="00E70B8B" w:rsidP="00E70B8B">
      <w:pPr>
        <w:pStyle w:val="Ttulo1"/>
      </w:pPr>
      <w:r>
        <w:t>Modelos PNP anteriores</w:t>
      </w:r>
    </w:p>
    <w:p w14:paraId="7ED1141E" w14:textId="03C22C52" w:rsidR="00607D5F" w:rsidRPr="00607D5F" w:rsidRDefault="00607D5F" w:rsidP="0064677F">
      <w:pPr>
        <w:jc w:val="both"/>
      </w:pPr>
      <w:r w:rsidRPr="00607D5F">
        <w:t xml:space="preserve">Los modelos de cálculo de los precios nudo </w:t>
      </w:r>
      <w:r w:rsidR="00407CC9">
        <w:t xml:space="preserve">promedio </w:t>
      </w:r>
      <w:r w:rsidRPr="00607D5F">
        <w:t xml:space="preserve">de </w:t>
      </w:r>
      <w:r w:rsidR="00407CC9">
        <w:t xml:space="preserve">los periodos de </w:t>
      </w:r>
      <w:r w:rsidRPr="00607D5F">
        <w:t xml:space="preserve">julio </w:t>
      </w:r>
      <w:r w:rsidR="00407CC9">
        <w:t>2020</w:t>
      </w:r>
      <w:r w:rsidR="00407CC9" w:rsidRPr="00607D5F">
        <w:t xml:space="preserve"> </w:t>
      </w:r>
      <w:r w:rsidRPr="00607D5F">
        <w:t xml:space="preserve">y agosto </w:t>
      </w:r>
      <w:r w:rsidR="00407CC9">
        <w:t>2020, informados en los archivos Excel</w:t>
      </w:r>
      <w:r w:rsidR="00407CC9">
        <w:rPr>
          <w:bCs/>
          <w:iCs/>
        </w:rPr>
        <w:t xml:space="preserve"> </w:t>
      </w:r>
      <w:r w:rsidR="00407CC9" w:rsidRPr="0064677F">
        <w:rPr>
          <w:b/>
          <w:i/>
        </w:rPr>
        <w:t>Modelo PNP Julio 2020_copia</w:t>
      </w:r>
      <w:r w:rsidR="00407CC9">
        <w:rPr>
          <w:bCs/>
          <w:iCs/>
        </w:rPr>
        <w:t xml:space="preserve"> y </w:t>
      </w:r>
      <w:r w:rsidR="00407CC9" w:rsidRPr="0064677F">
        <w:rPr>
          <w:b/>
          <w:i/>
        </w:rPr>
        <w:t>Modelo PNP Agosto 2020 – copia</w:t>
      </w:r>
      <w:r w:rsidR="00407CC9">
        <w:rPr>
          <w:bCs/>
          <w:iCs/>
        </w:rPr>
        <w:t xml:space="preserve"> respectivamente</w:t>
      </w:r>
      <w:r w:rsidRPr="00607D5F">
        <w:t>, no tienen contenidos los cálculo de despacho y valorización de energía.</w:t>
      </w:r>
    </w:p>
    <w:p w14:paraId="35FDAD39" w14:textId="4B2AE52F" w:rsidR="00607D5F" w:rsidRPr="00607D5F" w:rsidRDefault="00607D5F" w:rsidP="0064677F">
      <w:pPr>
        <w:spacing w:line="240" w:lineRule="auto"/>
        <w:jc w:val="both"/>
      </w:pPr>
      <w:r w:rsidRPr="00607D5F">
        <w:t xml:space="preserve">Se solicita </w:t>
      </w:r>
      <w:r w:rsidR="00407CC9">
        <w:t>disponer de toda la información necesaria que permita realizar la trazabilidad de estos archivos, con el objetivo de validar</w:t>
      </w:r>
      <w:r w:rsidRPr="00607D5F">
        <w:t xml:space="preserve"> su consistencia.</w:t>
      </w:r>
    </w:p>
    <w:p w14:paraId="5D350615" w14:textId="4D9E7E9C" w:rsidR="00607D5F" w:rsidRPr="00607D5F" w:rsidRDefault="00607D5F" w:rsidP="00E70B8B">
      <w:pPr>
        <w:pStyle w:val="Ttulo1"/>
      </w:pPr>
      <w:r w:rsidRPr="00607D5F">
        <w:t>Diferencias por compras.</w:t>
      </w:r>
    </w:p>
    <w:p w14:paraId="6B342B21" w14:textId="709E9C90" w:rsidR="00130D61" w:rsidRDefault="00607D5F">
      <w:pPr>
        <w:spacing w:line="240" w:lineRule="auto"/>
        <w:jc w:val="both"/>
      </w:pPr>
      <w:r w:rsidRPr="00607D5F">
        <w:t xml:space="preserve">En el cálculo de las diferencias por compras contenido en el archivo </w:t>
      </w:r>
      <w:r w:rsidR="00407CC9">
        <w:t xml:space="preserve">Excel </w:t>
      </w:r>
      <w:r w:rsidRPr="0064677F">
        <w:rPr>
          <w:b/>
          <w:i/>
          <w:iCs/>
        </w:rPr>
        <w:t>044_AAT_2101_V1</w:t>
      </w:r>
      <w:r w:rsidRPr="00607D5F">
        <w:rPr>
          <w:b/>
        </w:rPr>
        <w:t xml:space="preserve">, </w:t>
      </w:r>
      <w:r w:rsidRPr="00607D5F">
        <w:t>los físicos de energía en el punto de retiro indicado</w:t>
      </w:r>
      <w:r w:rsidR="00407CC9">
        <w:t>s</w:t>
      </w:r>
      <w:r w:rsidRPr="00607D5F">
        <w:t xml:space="preserve"> en la hoja </w:t>
      </w:r>
      <w:r w:rsidRPr="00607D5F">
        <w:rPr>
          <w:b/>
          <w:i/>
        </w:rPr>
        <w:t>“</w:t>
      </w:r>
      <w:proofErr w:type="spellStart"/>
      <w:r w:rsidRPr="00607D5F">
        <w:rPr>
          <w:b/>
          <w:i/>
        </w:rPr>
        <w:t>DifCompras</w:t>
      </w:r>
      <w:proofErr w:type="spellEnd"/>
      <w:r w:rsidRPr="00607D5F">
        <w:rPr>
          <w:b/>
          <w:i/>
        </w:rPr>
        <w:t>”</w:t>
      </w:r>
      <w:r w:rsidRPr="00607D5F">
        <w:t>, no corresponden a la última versión entregada al C</w:t>
      </w:r>
      <w:r w:rsidR="00407CC9">
        <w:t>oordinador Eléctrico Nacional</w:t>
      </w:r>
      <w:r w:rsidR="00813CFB">
        <w:t>. La información del periodo enero 2020 y febrero 2020, fue rectificada e informada al Coordinador el día 29 de mayo de 2020, y la información del periodo marzo 2020 fue rectificada e informada al Coordinador el día 15 de julio de 2020. Se adjunta respaldo de estas comunicaciones.</w:t>
      </w:r>
    </w:p>
    <w:p w14:paraId="563749CA" w14:textId="0FE94397" w:rsidR="00607D5F" w:rsidRPr="00607D5F" w:rsidRDefault="00607D5F" w:rsidP="0064677F">
      <w:pPr>
        <w:spacing w:line="240" w:lineRule="auto"/>
        <w:ind w:left="708" w:hanging="708"/>
        <w:jc w:val="both"/>
      </w:pPr>
      <w:r w:rsidRPr="00607D5F">
        <w:t xml:space="preserve">Se solicita rectificar dichos montos para una correcta valorización y consistencia. </w:t>
      </w:r>
    </w:p>
    <w:p w14:paraId="638A4459" w14:textId="6BD48D7E" w:rsidR="00E70B8B" w:rsidRDefault="00E70B8B" w:rsidP="00E70B8B">
      <w:pPr>
        <w:pStyle w:val="Ttulo1"/>
      </w:pPr>
      <w:r>
        <w:lastRenderedPageBreak/>
        <w:t xml:space="preserve">Contratos excluidos del mecanismo de estabilización </w:t>
      </w:r>
    </w:p>
    <w:p w14:paraId="063B0576" w14:textId="77777777" w:rsidR="0064596F" w:rsidRDefault="00607D5F">
      <w:pPr>
        <w:spacing w:line="240" w:lineRule="auto"/>
        <w:jc w:val="both"/>
      </w:pPr>
      <w:r w:rsidRPr="00607D5F">
        <w:t xml:space="preserve">Conforme a lo establecido en la ley 21.185, en el artículo 1° numeral 5, el mecanismo de estabilización de precios solo se </w:t>
      </w:r>
      <w:r w:rsidR="007474AB" w:rsidRPr="00607D5F">
        <w:t>aplicará</w:t>
      </w:r>
      <w:r w:rsidRPr="00607D5F">
        <w:t xml:space="preserve"> en aquellos contratos que inicien suministro antes del 2021.</w:t>
      </w:r>
    </w:p>
    <w:p w14:paraId="5C3932C3" w14:textId="675D57E7" w:rsidR="00607D5F" w:rsidRDefault="0064596F" w:rsidP="0064677F">
      <w:pPr>
        <w:spacing w:line="240" w:lineRule="auto"/>
        <w:jc w:val="both"/>
      </w:pPr>
      <w:r>
        <w:t>Al respecto</w:t>
      </w:r>
      <w:r w:rsidR="00607D5F" w:rsidRPr="00607D5F">
        <w:t xml:space="preserve">, </w:t>
      </w:r>
      <w:r w:rsidR="003D0B5B">
        <w:t>se solicita aclarar si</w:t>
      </w:r>
      <w:r w:rsidR="00607D5F" w:rsidRPr="00607D5F">
        <w:t xml:space="preserve"> </w:t>
      </w:r>
      <w:r>
        <w:t xml:space="preserve">la inclusión de </w:t>
      </w:r>
      <w:r w:rsidR="003D0B5B">
        <w:t xml:space="preserve">los </w:t>
      </w:r>
      <w:r w:rsidR="00607D5F" w:rsidRPr="00607D5F">
        <w:t xml:space="preserve">contratos suscritos por </w:t>
      </w:r>
      <w:proofErr w:type="spellStart"/>
      <w:r w:rsidR="00607D5F" w:rsidRPr="00607D5F">
        <w:t>Eliqsa</w:t>
      </w:r>
      <w:proofErr w:type="spellEnd"/>
      <w:r w:rsidR="00607D5F" w:rsidRPr="00607D5F">
        <w:t xml:space="preserve"> en la licitación 2015/02</w:t>
      </w:r>
      <w:r w:rsidR="003D0B5B">
        <w:t>,</w:t>
      </w:r>
      <w:r>
        <w:t xml:space="preserve"> en el mecanismo de estabilización de precios,</w:t>
      </w:r>
      <w:r w:rsidR="003D0B5B">
        <w:t xml:space="preserve"> </w:t>
      </w:r>
      <w:r>
        <w:t xml:space="preserve">responde a que a la fecha de inicio de suministro de dichos contratos corresponde al año 2017, sin perjuicio de que el primer año en que se despacha energía </w:t>
      </w:r>
      <w:r w:rsidR="00EA72A7">
        <w:t xml:space="preserve">asignada </w:t>
      </w:r>
      <w:r>
        <w:t xml:space="preserve">a dicho contrato corresponde al </w:t>
      </w:r>
      <w:r w:rsidR="003D0B5B">
        <w:t>2022.</w:t>
      </w:r>
    </w:p>
    <w:p w14:paraId="6809BE7E" w14:textId="77777777" w:rsidR="003154F7" w:rsidRDefault="003154F7" w:rsidP="003154F7">
      <w:pPr>
        <w:pStyle w:val="Ttulo1"/>
      </w:pPr>
      <w:r>
        <w:t>Aplicación de precios de facturación.</w:t>
      </w:r>
    </w:p>
    <w:p w14:paraId="58DDC6C8" w14:textId="6931C522" w:rsidR="003154F7" w:rsidRDefault="003154F7" w:rsidP="0064677F">
      <w:pPr>
        <w:jc w:val="both"/>
      </w:pPr>
      <w:r>
        <w:t xml:space="preserve">Desde mayo 2019 a la fecha CGE </w:t>
      </w:r>
      <w:r w:rsidR="00F93CD3">
        <w:t>ha pagado</w:t>
      </w:r>
      <w:r>
        <w:t xml:space="preserve"> a sus suministradores los precios establecidos en el Decreto</w:t>
      </w:r>
      <w:r w:rsidR="00EA72A7">
        <w:t xml:space="preserve"> de Precio de Nudo Promedio</w:t>
      </w:r>
      <w:r>
        <w:t xml:space="preserve"> 20T</w:t>
      </w:r>
      <w:r w:rsidR="00EA72A7">
        <w:t>-</w:t>
      </w:r>
      <w:r>
        <w:t xml:space="preserve">2018 que se encuentra vigente. Por otro lado, </w:t>
      </w:r>
      <w:r w:rsidR="00172C47">
        <w:t xml:space="preserve">en el capítulo 5 “FACTORES DE AJUSTE ORIGINADOS POR EL MECANISMO DE ESTABILIZACIÓN” de </w:t>
      </w:r>
      <w:r>
        <w:t xml:space="preserve">los </w:t>
      </w:r>
      <w:r w:rsidR="00EA72A7">
        <w:t>I</w:t>
      </w:r>
      <w:r>
        <w:t xml:space="preserve">nformes </w:t>
      </w:r>
      <w:r w:rsidR="004129F5">
        <w:t xml:space="preserve">de </w:t>
      </w:r>
      <w:r>
        <w:t>P</w:t>
      </w:r>
      <w:r w:rsidR="004129F5">
        <w:t xml:space="preserve">recio de </w:t>
      </w:r>
      <w:r>
        <w:t>N</w:t>
      </w:r>
      <w:r w:rsidR="004129F5">
        <w:t xml:space="preserve">udo </w:t>
      </w:r>
      <w:r>
        <w:t>P</w:t>
      </w:r>
      <w:r w:rsidR="004129F5">
        <w:t>romedio</w:t>
      </w:r>
      <w:r>
        <w:t xml:space="preserve"> de</w:t>
      </w:r>
      <w:r w:rsidR="00EA72A7">
        <w:t xml:space="preserve"> los periodos</w:t>
      </w:r>
      <w:r>
        <w:t xml:space="preserve"> ene</w:t>
      </w:r>
      <w:r w:rsidR="004129F5">
        <w:t>ro</w:t>
      </w:r>
      <w:r w:rsidR="00EA72A7">
        <w:t xml:space="preserve"> 2020</w:t>
      </w:r>
      <w:r>
        <w:t>, jul</w:t>
      </w:r>
      <w:r w:rsidR="00EA72A7">
        <w:t xml:space="preserve">io 2020 </w:t>
      </w:r>
      <w:r>
        <w:t>y ene</w:t>
      </w:r>
      <w:r w:rsidR="00EA72A7">
        <w:t>ro 2021</w:t>
      </w:r>
      <w:r w:rsidR="00172C47">
        <w:t>,</w:t>
      </w:r>
      <w:r w:rsidR="00EA72A7">
        <w:t xml:space="preserve"> </w:t>
      </w:r>
      <w:r>
        <w:t>se ha indicado lo siguiente respecto a los precios que debiesen ser aplicados</w:t>
      </w:r>
      <w:r w:rsidR="00172C47">
        <w:t>:</w:t>
      </w:r>
    </w:p>
    <w:p w14:paraId="1200049A" w14:textId="40A506EC" w:rsidR="003154F7" w:rsidRPr="0064677F" w:rsidRDefault="003154F7" w:rsidP="0064677F">
      <w:pPr>
        <w:jc w:val="both"/>
        <w:rPr>
          <w:i/>
          <w:iCs/>
        </w:rPr>
      </w:pPr>
      <w:r w:rsidRPr="0064677F">
        <w:rPr>
          <w:i/>
          <w:iCs/>
        </w:rPr>
        <w:t>“Conforme a lo dispuesto en el artículo 11° de la Resolución Exenta N° 72, durante la vigencia del mecanismo de estabilización, los precios de energía y potencia que las distribuidoras pagarán, en cada facturación mensual, a sus suministradores considerarán la aplicación de factores de ajustes de energía y de potencia que permitan asegurar que la facturación de los contratos sea coherente con la recaudación esperada en razón del Precio Estabilizado a Cliente Regulado (en adelante, “PEC”) o PEC Ajustado, según corresponda, de la correspondiente distribuidora, de acuerdo a lo establecido en el decreto tarifario respectivo”</w:t>
      </w:r>
    </w:p>
    <w:p w14:paraId="25BD49A9" w14:textId="6DDE4B64" w:rsidR="003154F7" w:rsidRDefault="00FD6D0F" w:rsidP="0064677F">
      <w:pPr>
        <w:jc w:val="both"/>
      </w:pPr>
      <w:r>
        <w:t xml:space="preserve">Posteriormente, </w:t>
      </w:r>
      <w:r w:rsidR="003154F7">
        <w:t>se indica lo siguiente:</w:t>
      </w:r>
    </w:p>
    <w:p w14:paraId="69BF9755" w14:textId="77777777" w:rsidR="003154F7" w:rsidRPr="0064677F" w:rsidRDefault="003154F7" w:rsidP="0064677F">
      <w:pPr>
        <w:jc w:val="both"/>
        <w:rPr>
          <w:i/>
          <w:iCs/>
        </w:rPr>
      </w:pPr>
      <w:r w:rsidRPr="0064677F">
        <w:rPr>
          <w:i/>
          <w:iCs/>
        </w:rPr>
        <w:t>“No obstante lo señalado en el párrafo anterior, excepcionalmente, este informe puede no representar necesariamente los flujos reales que se han verificado en la práctica entre empresas generadoras y distribuidoras, de modo que es deber de éstas ajustar sus facturaciones efectivas con el objeto de reflejar los valores contenidos en el presente documento”</w:t>
      </w:r>
    </w:p>
    <w:p w14:paraId="419A1E21" w14:textId="58B5DD8B" w:rsidR="003154F7" w:rsidRDefault="00FD6D0F" w:rsidP="0064677F">
      <w:pPr>
        <w:jc w:val="both"/>
      </w:pPr>
      <w:r>
        <w:t>Al respecto</w:t>
      </w:r>
      <w:r w:rsidR="003154F7" w:rsidRPr="00F93CD3">
        <w:t xml:space="preserve">, se solicita aclarar </w:t>
      </w:r>
      <w:r w:rsidRPr="00F93CD3">
        <w:t>cómo</w:t>
      </w:r>
      <w:r w:rsidR="00F93CD3" w:rsidRPr="00F93CD3">
        <w:t xml:space="preserve"> </w:t>
      </w:r>
      <w:r>
        <w:t xml:space="preserve">se deberán reliquidar las </w:t>
      </w:r>
      <w:r w:rsidR="00F93CD3" w:rsidRPr="00F93CD3">
        <w:t>diferencias entre las partes</w:t>
      </w:r>
      <w:r>
        <w:t xml:space="preserve"> una vez que sea publicado</w:t>
      </w:r>
      <w:r w:rsidR="00075B0C">
        <w:t xml:space="preserve"> el </w:t>
      </w:r>
      <w:r w:rsidR="00145F82">
        <w:t xml:space="preserve">correspondiente </w:t>
      </w:r>
      <w:r>
        <w:t>Decreto de Precio de Nudo Promedio.</w:t>
      </w:r>
    </w:p>
    <w:p w14:paraId="7A25DAC5" w14:textId="255ADC65" w:rsidR="00E70B8B" w:rsidRDefault="00E70B8B" w:rsidP="00E70B8B">
      <w:pPr>
        <w:pStyle w:val="Ttulo1"/>
      </w:pPr>
      <w:r>
        <w:t xml:space="preserve">Factores de referenciación </w:t>
      </w:r>
    </w:p>
    <w:p w14:paraId="49908CB3" w14:textId="1CFDAB46" w:rsidR="000641A4" w:rsidRPr="00126974" w:rsidRDefault="00F723E8" w:rsidP="000641A4">
      <w:pPr>
        <w:spacing w:line="240" w:lineRule="auto"/>
        <w:jc w:val="both"/>
      </w:pPr>
      <w:r>
        <w:t xml:space="preserve">En el inciso tercero del </w:t>
      </w:r>
      <w:r w:rsidR="009A7C47">
        <w:t>artículo</w:t>
      </w:r>
      <w:r>
        <w:t xml:space="preserve"> 23° de</w:t>
      </w:r>
      <w:r w:rsidR="00E70B8B">
        <w:t xml:space="preserve"> la R</w:t>
      </w:r>
      <w:r w:rsidR="00EA72A7">
        <w:t>esolución Exenta</w:t>
      </w:r>
      <w:r w:rsidR="00E70B8B">
        <w:t xml:space="preserve"> </w:t>
      </w:r>
      <w:r w:rsidR="00130D61">
        <w:t>N° </w:t>
      </w:r>
      <w:r w:rsidR="00E70B8B">
        <w:t>703-2018</w:t>
      </w:r>
      <w:r>
        <w:t xml:space="preserve"> se señala que</w:t>
      </w:r>
      <w:r w:rsidR="00E70B8B">
        <w:t xml:space="preserve"> </w:t>
      </w:r>
      <w:r w:rsidR="000641A4">
        <w:t>“l</w:t>
      </w:r>
      <w:r w:rsidR="000641A4" w:rsidRPr="00126974">
        <w:t>a suma de los factores de referenciación asociados a un Punto de Retiro debe ser igual a</w:t>
      </w:r>
      <w:r w:rsidR="000641A4">
        <w:t xml:space="preserve"> 1</w:t>
      </w:r>
      <w:r>
        <w:t xml:space="preserve">”, </w:t>
      </w:r>
      <w:r w:rsidR="00EA72A7">
        <w:t xml:space="preserve">condición </w:t>
      </w:r>
      <w:r>
        <w:t xml:space="preserve">que </w:t>
      </w:r>
      <w:r w:rsidR="00EA72A7">
        <w:t xml:space="preserve">no </w:t>
      </w:r>
      <w:r>
        <w:t xml:space="preserve">se cumple en </w:t>
      </w:r>
      <w:r w:rsidR="00EA72A7">
        <w:t xml:space="preserve">todos los </w:t>
      </w:r>
      <w:r>
        <w:t xml:space="preserve">puntos de retiro </w:t>
      </w:r>
      <w:r w:rsidR="00EA72A7">
        <w:t xml:space="preserve">indicados en la hoja </w:t>
      </w:r>
      <w:r w:rsidR="00594A44" w:rsidRPr="0064677F">
        <w:rPr>
          <w:b/>
          <w:bCs/>
        </w:rPr>
        <w:t>“</w:t>
      </w:r>
      <w:proofErr w:type="spellStart"/>
      <w:r w:rsidR="00594A44" w:rsidRPr="0064677F">
        <w:rPr>
          <w:b/>
          <w:bCs/>
        </w:rPr>
        <w:t>STx</w:t>
      </w:r>
      <w:proofErr w:type="spellEnd"/>
      <w:r w:rsidR="00594A44" w:rsidRPr="0064677F">
        <w:rPr>
          <w:b/>
          <w:bCs/>
        </w:rPr>
        <w:t>”</w:t>
      </w:r>
      <w:r w:rsidR="00594A44">
        <w:t xml:space="preserve"> </w:t>
      </w:r>
      <w:r w:rsidR="00EA72A7">
        <w:t xml:space="preserve">del archivo Excel </w:t>
      </w:r>
      <w:r w:rsidRPr="0064677F">
        <w:rPr>
          <w:b/>
          <w:bCs/>
          <w:i/>
          <w:iCs/>
        </w:rPr>
        <w:t>Modelo PNP Enero 2021_ITP</w:t>
      </w:r>
      <w:r w:rsidR="00EA72A7">
        <w:t>.</w:t>
      </w:r>
      <w:r w:rsidR="000641A4">
        <w:t xml:space="preserve"> </w:t>
      </w:r>
    </w:p>
    <w:p w14:paraId="301AC638" w14:textId="203B71B3" w:rsidR="003618AD" w:rsidRDefault="003618AD" w:rsidP="003618AD">
      <w:pPr>
        <w:pStyle w:val="Ttulo1"/>
      </w:pPr>
      <w:r>
        <w:lastRenderedPageBreak/>
        <w:t>Factor de Ajuste de potencia</w:t>
      </w:r>
    </w:p>
    <w:p w14:paraId="4DE1B386" w14:textId="1AE6FA0C" w:rsidR="003618AD" w:rsidRDefault="00DF583E" w:rsidP="003618AD">
      <w:pPr>
        <w:spacing w:line="240" w:lineRule="auto"/>
        <w:jc w:val="both"/>
      </w:pPr>
      <w:r>
        <w:t xml:space="preserve">En </w:t>
      </w:r>
      <w:r w:rsidR="003618AD">
        <w:t>el cálculo del factor de ajuste de potencia no se está considerando la estimación de compra</w:t>
      </w:r>
      <w:r>
        <w:t xml:space="preserve"> correspondientes</w:t>
      </w:r>
      <w:r w:rsidR="003618AD">
        <w:t xml:space="preserve"> a las distribuidoras </w:t>
      </w:r>
      <w:proofErr w:type="spellStart"/>
      <w:r w:rsidR="003618AD">
        <w:t>Emelari</w:t>
      </w:r>
      <w:proofErr w:type="spellEnd"/>
      <w:r w:rsidR="003618AD">
        <w:t xml:space="preserve">, </w:t>
      </w:r>
      <w:proofErr w:type="spellStart"/>
      <w:r w:rsidR="003618AD">
        <w:t>Eliqsa</w:t>
      </w:r>
      <w:proofErr w:type="spellEnd"/>
      <w:r w:rsidR="003618AD">
        <w:t xml:space="preserve">, </w:t>
      </w:r>
      <w:proofErr w:type="spellStart"/>
      <w:r w:rsidR="003618AD">
        <w:t>Elecda</w:t>
      </w:r>
      <w:proofErr w:type="spellEnd"/>
      <w:r w:rsidR="003618AD">
        <w:t xml:space="preserve">, </w:t>
      </w:r>
      <w:proofErr w:type="spellStart"/>
      <w:r w:rsidR="003618AD">
        <w:t>Emelat</w:t>
      </w:r>
      <w:proofErr w:type="spellEnd"/>
      <w:r w:rsidR="003618AD">
        <w:t xml:space="preserve"> y </w:t>
      </w:r>
      <w:proofErr w:type="spellStart"/>
      <w:r w:rsidR="003618AD">
        <w:t>Conafe</w:t>
      </w:r>
      <w:proofErr w:type="spellEnd"/>
      <w:r w:rsidR="00594A44">
        <w:t>.</w:t>
      </w:r>
    </w:p>
    <w:p w14:paraId="675A4534" w14:textId="1FC7CA7D" w:rsidR="00DF583E" w:rsidRDefault="00DF583E" w:rsidP="003618AD">
      <w:pPr>
        <w:spacing w:line="240" w:lineRule="auto"/>
        <w:jc w:val="both"/>
      </w:pPr>
      <w:r>
        <w:t>Se solicita realizar los cálculos considerando de manera individual las empresas distribuidoras fusionadas hoy en CGE.</w:t>
      </w:r>
    </w:p>
    <w:p w14:paraId="2930A0AB" w14:textId="7DAC438D" w:rsidR="000641A4" w:rsidRDefault="003138DE" w:rsidP="003138DE">
      <w:pPr>
        <w:pStyle w:val="Ttulo1"/>
      </w:pPr>
      <w:r>
        <w:t>Contratos modalidad RE 704</w:t>
      </w:r>
      <w:r w:rsidR="00130D61">
        <w:t>-2005</w:t>
      </w:r>
    </w:p>
    <w:p w14:paraId="1788F538" w14:textId="541C779C" w:rsidR="00036122" w:rsidRDefault="003138DE" w:rsidP="0064677F">
      <w:pPr>
        <w:jc w:val="both"/>
        <w:rPr>
          <w:lang w:val="es-ES"/>
        </w:rPr>
      </w:pPr>
      <w:r>
        <w:t xml:space="preserve">Para los siguientes contratos </w:t>
      </w:r>
      <w:r w:rsidR="00036122">
        <w:t xml:space="preserve">suscritos bajo la modalidad </w:t>
      </w:r>
      <w:r w:rsidR="00130D61">
        <w:t xml:space="preserve">definida en la </w:t>
      </w:r>
      <w:r w:rsidR="00036122">
        <w:t>R</w:t>
      </w:r>
      <w:r w:rsidR="00130D61">
        <w:t xml:space="preserve">esolución </w:t>
      </w:r>
      <w:r w:rsidR="00036122">
        <w:t>E</w:t>
      </w:r>
      <w:r w:rsidR="00130D61">
        <w:t>xenta</w:t>
      </w:r>
      <w:r w:rsidR="00036122">
        <w:t xml:space="preserve"> </w:t>
      </w:r>
      <w:r w:rsidR="00130D61">
        <w:t>N° </w:t>
      </w:r>
      <w:r w:rsidR="00036122">
        <w:t>704</w:t>
      </w:r>
      <w:r w:rsidR="00130D61">
        <w:t>-2005</w:t>
      </w:r>
      <w:r w:rsidR="00036122">
        <w:t xml:space="preserve">, </w:t>
      </w:r>
      <w:r>
        <w:t xml:space="preserve">la distribución </w:t>
      </w:r>
      <w:r w:rsidR="00036122">
        <w:t xml:space="preserve">mensual </w:t>
      </w:r>
      <w:r>
        <w:t>de energía difiere de la energía adjudicada para el año 2021</w:t>
      </w:r>
      <w:r w:rsidR="00130D61">
        <w:t>:</w:t>
      </w:r>
    </w:p>
    <w:tbl>
      <w:tblPr>
        <w:tblStyle w:val="Tablanormal1"/>
        <w:tblW w:w="0" w:type="auto"/>
        <w:jc w:val="center"/>
        <w:tblLook w:val="04A0" w:firstRow="1" w:lastRow="0" w:firstColumn="1" w:lastColumn="0" w:noHBand="0" w:noVBand="1"/>
      </w:tblPr>
      <w:tblGrid>
        <w:gridCol w:w="1167"/>
        <w:gridCol w:w="844"/>
        <w:gridCol w:w="1035"/>
        <w:gridCol w:w="1453"/>
        <w:gridCol w:w="1694"/>
        <w:gridCol w:w="1839"/>
      </w:tblGrid>
      <w:tr w:rsidR="00036122" w:rsidRPr="00036122" w14:paraId="0DD432D7" w14:textId="77777777" w:rsidTr="00036122">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E001470" w14:textId="3D483E40" w:rsidR="00036122" w:rsidRPr="00036122" w:rsidRDefault="00036122" w:rsidP="00036122">
            <w:pPr>
              <w:spacing w:before="0" w:after="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LICITACION</w:t>
            </w:r>
          </w:p>
        </w:tc>
        <w:tc>
          <w:tcPr>
            <w:tcW w:w="0" w:type="auto"/>
            <w:noWrap/>
            <w:hideMark/>
          </w:tcPr>
          <w:p w14:paraId="041CDDD7" w14:textId="77777777" w:rsidR="00036122" w:rsidRPr="00036122" w:rsidRDefault="00036122" w:rsidP="00036122">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BLOQUE</w:t>
            </w:r>
          </w:p>
        </w:tc>
        <w:tc>
          <w:tcPr>
            <w:tcW w:w="0" w:type="auto"/>
            <w:noWrap/>
            <w:hideMark/>
          </w:tcPr>
          <w:p w14:paraId="627729B7" w14:textId="77777777" w:rsidR="00036122" w:rsidRPr="00036122" w:rsidRDefault="00036122" w:rsidP="00036122">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proofErr w:type="spellStart"/>
            <w:r w:rsidRPr="00036122">
              <w:rPr>
                <w:rFonts w:ascii="Calibri" w:eastAsia="Times New Roman" w:hAnsi="Calibri" w:cs="Calibri"/>
                <w:color w:val="000000"/>
                <w:sz w:val="18"/>
                <w:szCs w:val="18"/>
                <w:lang w:eastAsia="es-CL"/>
              </w:rPr>
              <w:t>Emp</w:t>
            </w:r>
            <w:proofErr w:type="spellEnd"/>
            <w:r w:rsidRPr="00036122">
              <w:rPr>
                <w:rFonts w:ascii="Calibri" w:eastAsia="Times New Roman" w:hAnsi="Calibri" w:cs="Calibri"/>
                <w:color w:val="000000"/>
                <w:sz w:val="18"/>
                <w:szCs w:val="18"/>
                <w:lang w:eastAsia="es-CL"/>
              </w:rPr>
              <w:t xml:space="preserve">. </w:t>
            </w:r>
            <w:proofErr w:type="spellStart"/>
            <w:r w:rsidRPr="00036122">
              <w:rPr>
                <w:rFonts w:ascii="Calibri" w:eastAsia="Times New Roman" w:hAnsi="Calibri" w:cs="Calibri"/>
                <w:color w:val="000000"/>
                <w:sz w:val="18"/>
                <w:szCs w:val="18"/>
                <w:lang w:eastAsia="es-CL"/>
              </w:rPr>
              <w:t>Gx</w:t>
            </w:r>
            <w:proofErr w:type="spellEnd"/>
            <w:r w:rsidRPr="00036122">
              <w:rPr>
                <w:rFonts w:ascii="Calibri" w:eastAsia="Times New Roman" w:hAnsi="Calibri" w:cs="Calibri"/>
                <w:color w:val="000000"/>
                <w:sz w:val="18"/>
                <w:szCs w:val="18"/>
                <w:lang w:eastAsia="es-CL"/>
              </w:rPr>
              <w:t>.</w:t>
            </w:r>
          </w:p>
        </w:tc>
        <w:tc>
          <w:tcPr>
            <w:tcW w:w="0" w:type="auto"/>
            <w:noWrap/>
            <w:hideMark/>
          </w:tcPr>
          <w:p w14:paraId="10883C8E" w14:textId="77777777" w:rsidR="00036122" w:rsidRPr="00036122" w:rsidRDefault="00036122" w:rsidP="00036122">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Distribuidora</w:t>
            </w:r>
          </w:p>
        </w:tc>
        <w:tc>
          <w:tcPr>
            <w:tcW w:w="0" w:type="auto"/>
            <w:noWrap/>
            <w:hideMark/>
          </w:tcPr>
          <w:p w14:paraId="5587DCB7" w14:textId="77777777" w:rsidR="00036122" w:rsidRPr="00036122" w:rsidRDefault="00036122" w:rsidP="00036122">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 xml:space="preserve"> Energía Adjudicada </w:t>
            </w:r>
          </w:p>
        </w:tc>
        <w:tc>
          <w:tcPr>
            <w:tcW w:w="0" w:type="auto"/>
            <w:noWrap/>
            <w:hideMark/>
          </w:tcPr>
          <w:p w14:paraId="582B3D1C" w14:textId="77777777" w:rsidR="00036122" w:rsidRPr="00036122" w:rsidRDefault="00036122" w:rsidP="00036122">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 xml:space="preserve"> Distribución mensual </w:t>
            </w:r>
          </w:p>
        </w:tc>
      </w:tr>
      <w:tr w:rsidR="00036122" w:rsidRPr="00036122" w14:paraId="77BFECD3" w14:textId="77777777" w:rsidTr="00A254B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0AF2984" w14:textId="77777777" w:rsidR="00036122" w:rsidRPr="00036122" w:rsidRDefault="00036122" w:rsidP="00036122">
            <w:pPr>
              <w:spacing w:before="0" w:after="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CHL 2006/01</w:t>
            </w:r>
          </w:p>
        </w:tc>
        <w:tc>
          <w:tcPr>
            <w:tcW w:w="0" w:type="auto"/>
            <w:noWrap/>
            <w:hideMark/>
          </w:tcPr>
          <w:p w14:paraId="7AD86466" w14:textId="77777777" w:rsidR="00036122" w:rsidRPr="00036122" w:rsidRDefault="00036122" w:rsidP="00036122">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BB2</w:t>
            </w:r>
          </w:p>
        </w:tc>
        <w:tc>
          <w:tcPr>
            <w:tcW w:w="0" w:type="auto"/>
            <w:noWrap/>
            <w:hideMark/>
          </w:tcPr>
          <w:p w14:paraId="5A9086C7" w14:textId="77777777" w:rsidR="00036122" w:rsidRPr="00036122" w:rsidRDefault="00036122" w:rsidP="00036122">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AES GENER</w:t>
            </w:r>
          </w:p>
        </w:tc>
        <w:tc>
          <w:tcPr>
            <w:tcW w:w="0" w:type="auto"/>
            <w:noWrap/>
            <w:hideMark/>
          </w:tcPr>
          <w:p w14:paraId="758F6585" w14:textId="77777777" w:rsidR="00036122" w:rsidRPr="00036122" w:rsidRDefault="00036122" w:rsidP="00036122">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EEPA</w:t>
            </w:r>
          </w:p>
        </w:tc>
        <w:tc>
          <w:tcPr>
            <w:tcW w:w="0" w:type="auto"/>
            <w:noWrap/>
            <w:vAlign w:val="bottom"/>
            <w:hideMark/>
          </w:tcPr>
          <w:p w14:paraId="1936885E" w14:textId="2BE0A987" w:rsidR="00036122" w:rsidRPr="00036122" w:rsidRDefault="00036122" w:rsidP="00036122">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hAnsi="Calibri" w:cs="Calibri"/>
                <w:color w:val="000000"/>
                <w:sz w:val="18"/>
                <w:szCs w:val="18"/>
              </w:rPr>
              <w:t xml:space="preserve">              68.000 </w:t>
            </w:r>
          </w:p>
        </w:tc>
        <w:tc>
          <w:tcPr>
            <w:tcW w:w="0" w:type="auto"/>
            <w:noWrap/>
            <w:hideMark/>
          </w:tcPr>
          <w:p w14:paraId="5C1A4B19" w14:textId="77777777" w:rsidR="00036122" w:rsidRPr="00036122" w:rsidRDefault="00036122" w:rsidP="00036122">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0</w:t>
            </w:r>
          </w:p>
        </w:tc>
      </w:tr>
      <w:tr w:rsidR="00036122" w:rsidRPr="00036122" w14:paraId="38CA7038" w14:textId="77777777" w:rsidTr="00A254B4">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8ED4654" w14:textId="77777777" w:rsidR="00036122" w:rsidRPr="00036122" w:rsidRDefault="00036122" w:rsidP="00036122">
            <w:pPr>
              <w:spacing w:before="0" w:after="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CHL 2006/01</w:t>
            </w:r>
          </w:p>
        </w:tc>
        <w:tc>
          <w:tcPr>
            <w:tcW w:w="0" w:type="auto"/>
            <w:noWrap/>
            <w:hideMark/>
          </w:tcPr>
          <w:p w14:paraId="61AFB8BD" w14:textId="77777777" w:rsidR="00036122" w:rsidRPr="00036122" w:rsidRDefault="00036122" w:rsidP="00036122">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BB2</w:t>
            </w:r>
          </w:p>
        </w:tc>
        <w:tc>
          <w:tcPr>
            <w:tcW w:w="0" w:type="auto"/>
            <w:noWrap/>
            <w:hideMark/>
          </w:tcPr>
          <w:p w14:paraId="2D4F1BA7" w14:textId="77777777" w:rsidR="00036122" w:rsidRPr="00036122" w:rsidRDefault="00036122" w:rsidP="00036122">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AES GENER</w:t>
            </w:r>
          </w:p>
        </w:tc>
        <w:tc>
          <w:tcPr>
            <w:tcW w:w="0" w:type="auto"/>
            <w:noWrap/>
            <w:hideMark/>
          </w:tcPr>
          <w:p w14:paraId="4EE4AC36" w14:textId="77777777" w:rsidR="00036122" w:rsidRPr="00036122" w:rsidRDefault="00036122" w:rsidP="00036122">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Enel Distribución</w:t>
            </w:r>
          </w:p>
        </w:tc>
        <w:tc>
          <w:tcPr>
            <w:tcW w:w="0" w:type="auto"/>
            <w:noWrap/>
            <w:vAlign w:val="bottom"/>
            <w:hideMark/>
          </w:tcPr>
          <w:p w14:paraId="35AF6597" w14:textId="46CD5F57" w:rsidR="00036122" w:rsidRPr="00036122" w:rsidRDefault="00036122" w:rsidP="00036122">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hAnsi="Calibri" w:cs="Calibri"/>
                <w:color w:val="000000"/>
                <w:sz w:val="18"/>
                <w:szCs w:val="18"/>
              </w:rPr>
              <w:t xml:space="preserve">            832.000 </w:t>
            </w:r>
          </w:p>
        </w:tc>
        <w:tc>
          <w:tcPr>
            <w:tcW w:w="0" w:type="auto"/>
            <w:noWrap/>
            <w:hideMark/>
          </w:tcPr>
          <w:p w14:paraId="24D920C2" w14:textId="77777777" w:rsidR="00036122" w:rsidRPr="00036122" w:rsidRDefault="00036122" w:rsidP="00036122">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0</w:t>
            </w:r>
          </w:p>
        </w:tc>
      </w:tr>
      <w:tr w:rsidR="00036122" w:rsidRPr="00036122" w14:paraId="316460E3" w14:textId="77777777" w:rsidTr="00A254B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93FE198" w14:textId="77777777" w:rsidR="00036122" w:rsidRPr="00036122" w:rsidRDefault="00036122" w:rsidP="00036122">
            <w:pPr>
              <w:spacing w:before="0" w:after="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CHL 2006/01</w:t>
            </w:r>
          </w:p>
        </w:tc>
        <w:tc>
          <w:tcPr>
            <w:tcW w:w="0" w:type="auto"/>
            <w:noWrap/>
            <w:hideMark/>
          </w:tcPr>
          <w:p w14:paraId="32BE6879" w14:textId="77777777" w:rsidR="00036122" w:rsidRPr="00036122" w:rsidRDefault="00036122" w:rsidP="00036122">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BB2</w:t>
            </w:r>
          </w:p>
        </w:tc>
        <w:tc>
          <w:tcPr>
            <w:tcW w:w="0" w:type="auto"/>
            <w:noWrap/>
            <w:hideMark/>
          </w:tcPr>
          <w:p w14:paraId="4DBAC525" w14:textId="77777777" w:rsidR="00036122" w:rsidRPr="00036122" w:rsidRDefault="00036122" w:rsidP="00036122">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ENDESA</w:t>
            </w:r>
          </w:p>
        </w:tc>
        <w:tc>
          <w:tcPr>
            <w:tcW w:w="0" w:type="auto"/>
            <w:noWrap/>
            <w:hideMark/>
          </w:tcPr>
          <w:p w14:paraId="1129F875" w14:textId="77777777" w:rsidR="00036122" w:rsidRPr="00036122" w:rsidRDefault="00036122" w:rsidP="00036122">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EEPA</w:t>
            </w:r>
          </w:p>
        </w:tc>
        <w:tc>
          <w:tcPr>
            <w:tcW w:w="0" w:type="auto"/>
            <w:noWrap/>
            <w:vAlign w:val="bottom"/>
            <w:hideMark/>
          </w:tcPr>
          <w:p w14:paraId="122D5615" w14:textId="65575587" w:rsidR="00036122" w:rsidRPr="00036122" w:rsidRDefault="00036122" w:rsidP="00036122">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hAnsi="Calibri" w:cs="Calibri"/>
                <w:color w:val="000000"/>
                <w:sz w:val="18"/>
                <w:szCs w:val="18"/>
              </w:rPr>
              <w:t xml:space="preserve">            102.000 </w:t>
            </w:r>
          </w:p>
        </w:tc>
        <w:tc>
          <w:tcPr>
            <w:tcW w:w="0" w:type="auto"/>
            <w:noWrap/>
            <w:hideMark/>
          </w:tcPr>
          <w:p w14:paraId="704C123B" w14:textId="77777777" w:rsidR="00036122" w:rsidRPr="00036122" w:rsidRDefault="00036122" w:rsidP="00036122">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0</w:t>
            </w:r>
          </w:p>
        </w:tc>
      </w:tr>
      <w:tr w:rsidR="00036122" w:rsidRPr="00036122" w14:paraId="5D91CBE7" w14:textId="77777777" w:rsidTr="00A254B4">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2E5BD41" w14:textId="77777777" w:rsidR="00036122" w:rsidRPr="00036122" w:rsidRDefault="00036122" w:rsidP="00036122">
            <w:pPr>
              <w:spacing w:before="0" w:after="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CHL 2006/01</w:t>
            </w:r>
          </w:p>
        </w:tc>
        <w:tc>
          <w:tcPr>
            <w:tcW w:w="0" w:type="auto"/>
            <w:noWrap/>
            <w:hideMark/>
          </w:tcPr>
          <w:p w14:paraId="729A49D1" w14:textId="77777777" w:rsidR="00036122" w:rsidRPr="00036122" w:rsidRDefault="00036122" w:rsidP="00036122">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BB2</w:t>
            </w:r>
          </w:p>
        </w:tc>
        <w:tc>
          <w:tcPr>
            <w:tcW w:w="0" w:type="auto"/>
            <w:noWrap/>
            <w:hideMark/>
          </w:tcPr>
          <w:p w14:paraId="240EC3A6" w14:textId="77777777" w:rsidR="00036122" w:rsidRPr="00036122" w:rsidRDefault="00036122" w:rsidP="00036122">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ENDESA</w:t>
            </w:r>
          </w:p>
        </w:tc>
        <w:tc>
          <w:tcPr>
            <w:tcW w:w="0" w:type="auto"/>
            <w:noWrap/>
            <w:hideMark/>
          </w:tcPr>
          <w:p w14:paraId="6574805C" w14:textId="77777777" w:rsidR="00036122" w:rsidRPr="00036122" w:rsidRDefault="00036122" w:rsidP="00036122">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Enel Distribución</w:t>
            </w:r>
          </w:p>
        </w:tc>
        <w:tc>
          <w:tcPr>
            <w:tcW w:w="0" w:type="auto"/>
            <w:noWrap/>
            <w:vAlign w:val="bottom"/>
            <w:hideMark/>
          </w:tcPr>
          <w:p w14:paraId="416D2715" w14:textId="59F5BD4D" w:rsidR="00036122" w:rsidRPr="00036122" w:rsidRDefault="00036122" w:rsidP="00036122">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hAnsi="Calibri" w:cs="Calibri"/>
                <w:color w:val="000000"/>
                <w:sz w:val="18"/>
                <w:szCs w:val="18"/>
              </w:rPr>
              <w:t xml:space="preserve">        1.248.000 </w:t>
            </w:r>
          </w:p>
        </w:tc>
        <w:tc>
          <w:tcPr>
            <w:tcW w:w="0" w:type="auto"/>
            <w:noWrap/>
            <w:hideMark/>
          </w:tcPr>
          <w:p w14:paraId="13812C6B" w14:textId="77777777" w:rsidR="00036122" w:rsidRPr="00036122" w:rsidRDefault="00036122" w:rsidP="00036122">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036122">
              <w:rPr>
                <w:rFonts w:ascii="Calibri" w:eastAsia="Times New Roman" w:hAnsi="Calibri" w:cs="Calibri"/>
                <w:color w:val="000000"/>
                <w:sz w:val="18"/>
                <w:szCs w:val="18"/>
                <w:lang w:eastAsia="es-CL"/>
              </w:rPr>
              <w:t>0</w:t>
            </w:r>
          </w:p>
        </w:tc>
      </w:tr>
    </w:tbl>
    <w:p w14:paraId="02147197" w14:textId="27DF3764" w:rsidR="00DF583E" w:rsidRDefault="00DF583E" w:rsidP="0064677F">
      <w:r>
        <w:t>Se solicita corregir la distribución mensual de energía conforme a lo señalado.</w:t>
      </w:r>
    </w:p>
    <w:p w14:paraId="56BC26E9" w14:textId="32264AE8" w:rsidR="005E010D" w:rsidRDefault="005E010D" w:rsidP="005E010D">
      <w:pPr>
        <w:pStyle w:val="Ttulo1"/>
      </w:pPr>
      <w:proofErr w:type="spellStart"/>
      <w:r>
        <w:t>Efact</w:t>
      </w:r>
      <w:proofErr w:type="spellEnd"/>
    </w:p>
    <w:p w14:paraId="74AA6824" w14:textId="0B6CEC20" w:rsidR="005E010D" w:rsidRDefault="005E010D" w:rsidP="0064677F">
      <w:pPr>
        <w:jc w:val="both"/>
      </w:pPr>
      <w:r>
        <w:t xml:space="preserve">En el archivo </w:t>
      </w:r>
      <w:r w:rsidR="00EA72A7">
        <w:t xml:space="preserve">Excel </w:t>
      </w:r>
      <w:r w:rsidRPr="0064677F">
        <w:rPr>
          <w:b/>
          <w:bCs/>
          <w:i/>
          <w:iCs/>
        </w:rPr>
        <w:t>041_EfactTablas_2101_V1</w:t>
      </w:r>
      <w:r>
        <w:t>, l</w:t>
      </w:r>
      <w:r w:rsidR="00EA72A7">
        <w:t xml:space="preserve">os valores de </w:t>
      </w:r>
      <w:r>
        <w:t>energías y potencias informadas p</w:t>
      </w:r>
      <w:r w:rsidR="00EA72A7">
        <w:t>ara cada una de las empresas</w:t>
      </w:r>
      <w:r>
        <w:t xml:space="preserve"> distribuidora</w:t>
      </w:r>
      <w:r w:rsidR="00EA72A7">
        <w:t>s</w:t>
      </w:r>
      <w:r>
        <w:t xml:space="preserve"> se encuentran duplicad</w:t>
      </w:r>
      <w:r w:rsidR="00EA72A7">
        <w:t>o</w:t>
      </w:r>
      <w:r>
        <w:t>s</w:t>
      </w:r>
      <w:r w:rsidR="00EA72A7">
        <w:t>.</w:t>
      </w:r>
    </w:p>
    <w:p w14:paraId="60DEF130" w14:textId="279B24E5" w:rsidR="00F93CD3" w:rsidRDefault="00F93CD3">
      <w:pPr>
        <w:jc w:val="both"/>
      </w:pPr>
      <w:r>
        <w:t xml:space="preserve">Por otra </w:t>
      </w:r>
      <w:r w:rsidR="008F77D1">
        <w:t>parte,</w:t>
      </w:r>
      <w:r>
        <w:t xml:space="preserve"> </w:t>
      </w:r>
      <w:r w:rsidR="00EA72A7">
        <w:t xml:space="preserve">en </w:t>
      </w:r>
      <w:r>
        <w:t xml:space="preserve">el archivo </w:t>
      </w:r>
      <w:r w:rsidR="00EA72A7">
        <w:t xml:space="preserve">Excel </w:t>
      </w:r>
      <w:r w:rsidRPr="0064677F">
        <w:rPr>
          <w:b/>
          <w:bCs/>
          <w:i/>
          <w:iCs/>
        </w:rPr>
        <w:t>042_RecaudacionDetalle_2101_V1 (1)</w:t>
      </w:r>
      <w:r>
        <w:t xml:space="preserve"> </w:t>
      </w:r>
      <w:r w:rsidR="009A7C47">
        <w:t xml:space="preserve">la información contenida </w:t>
      </w:r>
      <w:r>
        <w:t xml:space="preserve">corresponde a la salida de una consulta </w:t>
      </w:r>
      <w:r w:rsidR="009A7C47">
        <w:t xml:space="preserve">SQL Server, situación que imposibilita la reproducción de los cálculos debido a que no se cuenta con la trazabilidad necesaria para validar </w:t>
      </w:r>
      <w:r>
        <w:t>los resultados</w:t>
      </w:r>
      <w:r w:rsidR="008F77D1">
        <w:t>.</w:t>
      </w:r>
    </w:p>
    <w:p w14:paraId="38AEB1D8" w14:textId="0810CCF4" w:rsidR="00DF583E" w:rsidRDefault="00DF583E" w:rsidP="0064677F">
      <w:pPr>
        <w:jc w:val="both"/>
      </w:pPr>
      <w:r>
        <w:t>Se solicita corregir la duplicidad detectada e incorporar la información necesaria para reproducir los cálculos.</w:t>
      </w:r>
    </w:p>
    <w:p w14:paraId="4425C3FA" w14:textId="0A27DB8B" w:rsidR="005E010D" w:rsidRDefault="005E010D" w:rsidP="005E010D">
      <w:pPr>
        <w:pStyle w:val="Ttulo1"/>
      </w:pPr>
      <w:r>
        <w:t>Balance Dx</w:t>
      </w:r>
    </w:p>
    <w:p w14:paraId="2C02EA3C" w14:textId="422D3EDE" w:rsidR="009A7C47" w:rsidRDefault="005E010D" w:rsidP="009A7C47">
      <w:pPr>
        <w:jc w:val="both"/>
      </w:pPr>
      <w:r>
        <w:t xml:space="preserve">En el archivo </w:t>
      </w:r>
      <w:r w:rsidR="009A7C47">
        <w:t xml:space="preserve">Excel </w:t>
      </w:r>
      <w:r w:rsidRPr="0064677F">
        <w:rPr>
          <w:b/>
          <w:bCs/>
          <w:i/>
          <w:iCs/>
        </w:rPr>
        <w:t>Balance Dx</w:t>
      </w:r>
      <w:r>
        <w:t>, no se hace referencia a las liquidaciones de saldos de AR de</w:t>
      </w:r>
      <w:r w:rsidR="009A7C47">
        <w:t>l periodo comprendido entre</w:t>
      </w:r>
      <w:r>
        <w:t xml:space="preserve"> enero 2020 </w:t>
      </w:r>
      <w:r w:rsidR="009A7C47">
        <w:t>y</w:t>
      </w:r>
      <w:r>
        <w:t xml:space="preserve"> agosto 2020, </w:t>
      </w:r>
      <w:r w:rsidR="009A7C47">
        <w:t xml:space="preserve">y tampoco a </w:t>
      </w:r>
      <w:r>
        <w:t>las liquidaciones de CEDR de</w:t>
      </w:r>
      <w:r w:rsidR="009A7C47">
        <w:t>l periodo</w:t>
      </w:r>
      <w:r>
        <w:t xml:space="preserve"> enero 2019 a julio 2020.</w:t>
      </w:r>
    </w:p>
    <w:p w14:paraId="03B028CC" w14:textId="0D5DF07B" w:rsidR="003138DE" w:rsidRPr="003138DE" w:rsidRDefault="00DF583E" w:rsidP="0064677F">
      <w:pPr>
        <w:jc w:val="both"/>
      </w:pPr>
      <w:r>
        <w:t>Se solicita</w:t>
      </w:r>
      <w:r w:rsidR="005E010D">
        <w:t xml:space="preserve"> incluir las liquidaciones mencionadas</w:t>
      </w:r>
      <w:r w:rsidR="009A7C47">
        <w:t xml:space="preserve"> e </w:t>
      </w:r>
      <w:r w:rsidR="005E010D">
        <w:t xml:space="preserve">instruir al Coordinador Eléctrico Nacional </w:t>
      </w:r>
      <w:r w:rsidR="009A7C47">
        <w:t>la realización de las</w:t>
      </w:r>
      <w:bookmarkStart w:id="0" w:name="_GoBack"/>
      <w:bookmarkEnd w:id="0"/>
      <w:r w:rsidR="009A7C47">
        <w:t xml:space="preserve"> mismas</w:t>
      </w:r>
      <w:r w:rsidR="005E010D">
        <w:t>.</w:t>
      </w:r>
    </w:p>
    <w:sectPr w:rsidR="003138DE" w:rsidRPr="003138DE" w:rsidSect="002D7E0F">
      <w:pgSz w:w="12240" w:h="15840" w:code="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90C53"/>
    <w:multiLevelType w:val="hybridMultilevel"/>
    <w:tmpl w:val="AB82457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76266B1"/>
    <w:multiLevelType w:val="hybridMultilevel"/>
    <w:tmpl w:val="BCC435CA"/>
    <w:lvl w:ilvl="0" w:tplc="340A0017">
      <w:start w:val="1"/>
      <w:numFmt w:val="lowerLetter"/>
      <w:lvlText w:val="%1)"/>
      <w:lvlJc w:val="left"/>
      <w:pPr>
        <w:ind w:left="1440" w:hanging="360"/>
      </w:p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2" w15:restartNumberingAfterBreak="0">
    <w:nsid w:val="09622FD7"/>
    <w:multiLevelType w:val="hybridMultilevel"/>
    <w:tmpl w:val="32D2FD3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B7A7C06"/>
    <w:multiLevelType w:val="hybridMultilevel"/>
    <w:tmpl w:val="888AAE1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C060224"/>
    <w:multiLevelType w:val="hybridMultilevel"/>
    <w:tmpl w:val="95A44EF4"/>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5" w15:restartNumberingAfterBreak="0">
    <w:nsid w:val="0CEF6632"/>
    <w:multiLevelType w:val="multilevel"/>
    <w:tmpl w:val="5986DBCE"/>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E3AC5"/>
    <w:multiLevelType w:val="hybridMultilevel"/>
    <w:tmpl w:val="C9CEA1C8"/>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0F597912"/>
    <w:multiLevelType w:val="hybridMultilevel"/>
    <w:tmpl w:val="350EA7E6"/>
    <w:lvl w:ilvl="0" w:tplc="0AE08D04">
      <w:numFmt w:val="bullet"/>
      <w:lvlText w:val="-"/>
      <w:lvlJc w:val="left"/>
      <w:pPr>
        <w:ind w:left="720" w:hanging="360"/>
      </w:pPr>
      <w:rPr>
        <w:rFonts w:ascii="Calibri" w:eastAsia="Calibri" w:hAnsi="Calibri"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8" w15:restartNumberingAfterBreak="0">
    <w:nsid w:val="13195CE6"/>
    <w:multiLevelType w:val="hybridMultilevel"/>
    <w:tmpl w:val="4308066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154E161D"/>
    <w:multiLevelType w:val="hybridMultilevel"/>
    <w:tmpl w:val="011E53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C23F7C"/>
    <w:multiLevelType w:val="hybridMultilevel"/>
    <w:tmpl w:val="7B223476"/>
    <w:lvl w:ilvl="0" w:tplc="340A0001">
      <w:start w:val="1"/>
      <w:numFmt w:val="bullet"/>
      <w:lvlText w:val=""/>
      <w:lvlJc w:val="left"/>
      <w:pPr>
        <w:ind w:left="1123" w:hanging="360"/>
      </w:pPr>
      <w:rPr>
        <w:rFonts w:ascii="Symbol" w:hAnsi="Symbol" w:hint="default"/>
      </w:rPr>
    </w:lvl>
    <w:lvl w:ilvl="1" w:tplc="340A0003" w:tentative="1">
      <w:start w:val="1"/>
      <w:numFmt w:val="bullet"/>
      <w:lvlText w:val="o"/>
      <w:lvlJc w:val="left"/>
      <w:pPr>
        <w:ind w:left="1843" w:hanging="360"/>
      </w:pPr>
      <w:rPr>
        <w:rFonts w:ascii="Courier New" w:hAnsi="Courier New" w:cs="Courier New" w:hint="default"/>
      </w:rPr>
    </w:lvl>
    <w:lvl w:ilvl="2" w:tplc="340A0005" w:tentative="1">
      <w:start w:val="1"/>
      <w:numFmt w:val="bullet"/>
      <w:lvlText w:val=""/>
      <w:lvlJc w:val="left"/>
      <w:pPr>
        <w:ind w:left="2563" w:hanging="360"/>
      </w:pPr>
      <w:rPr>
        <w:rFonts w:ascii="Wingdings" w:hAnsi="Wingdings" w:hint="default"/>
      </w:rPr>
    </w:lvl>
    <w:lvl w:ilvl="3" w:tplc="340A0001" w:tentative="1">
      <w:start w:val="1"/>
      <w:numFmt w:val="bullet"/>
      <w:lvlText w:val=""/>
      <w:lvlJc w:val="left"/>
      <w:pPr>
        <w:ind w:left="3283" w:hanging="360"/>
      </w:pPr>
      <w:rPr>
        <w:rFonts w:ascii="Symbol" w:hAnsi="Symbol" w:hint="default"/>
      </w:rPr>
    </w:lvl>
    <w:lvl w:ilvl="4" w:tplc="340A0003" w:tentative="1">
      <w:start w:val="1"/>
      <w:numFmt w:val="bullet"/>
      <w:lvlText w:val="o"/>
      <w:lvlJc w:val="left"/>
      <w:pPr>
        <w:ind w:left="4003" w:hanging="360"/>
      </w:pPr>
      <w:rPr>
        <w:rFonts w:ascii="Courier New" w:hAnsi="Courier New" w:cs="Courier New" w:hint="default"/>
      </w:rPr>
    </w:lvl>
    <w:lvl w:ilvl="5" w:tplc="340A0005" w:tentative="1">
      <w:start w:val="1"/>
      <w:numFmt w:val="bullet"/>
      <w:lvlText w:val=""/>
      <w:lvlJc w:val="left"/>
      <w:pPr>
        <w:ind w:left="4723" w:hanging="360"/>
      </w:pPr>
      <w:rPr>
        <w:rFonts w:ascii="Wingdings" w:hAnsi="Wingdings" w:hint="default"/>
      </w:rPr>
    </w:lvl>
    <w:lvl w:ilvl="6" w:tplc="340A0001" w:tentative="1">
      <w:start w:val="1"/>
      <w:numFmt w:val="bullet"/>
      <w:lvlText w:val=""/>
      <w:lvlJc w:val="left"/>
      <w:pPr>
        <w:ind w:left="5443" w:hanging="360"/>
      </w:pPr>
      <w:rPr>
        <w:rFonts w:ascii="Symbol" w:hAnsi="Symbol" w:hint="default"/>
      </w:rPr>
    </w:lvl>
    <w:lvl w:ilvl="7" w:tplc="340A0003" w:tentative="1">
      <w:start w:val="1"/>
      <w:numFmt w:val="bullet"/>
      <w:lvlText w:val="o"/>
      <w:lvlJc w:val="left"/>
      <w:pPr>
        <w:ind w:left="6163" w:hanging="360"/>
      </w:pPr>
      <w:rPr>
        <w:rFonts w:ascii="Courier New" w:hAnsi="Courier New" w:cs="Courier New" w:hint="default"/>
      </w:rPr>
    </w:lvl>
    <w:lvl w:ilvl="8" w:tplc="340A0005" w:tentative="1">
      <w:start w:val="1"/>
      <w:numFmt w:val="bullet"/>
      <w:lvlText w:val=""/>
      <w:lvlJc w:val="left"/>
      <w:pPr>
        <w:ind w:left="6883" w:hanging="360"/>
      </w:pPr>
      <w:rPr>
        <w:rFonts w:ascii="Wingdings" w:hAnsi="Wingdings" w:hint="default"/>
      </w:rPr>
    </w:lvl>
  </w:abstractNum>
  <w:abstractNum w:abstractNumId="11" w15:restartNumberingAfterBreak="0">
    <w:nsid w:val="16F603F3"/>
    <w:multiLevelType w:val="hybridMultilevel"/>
    <w:tmpl w:val="44422E4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0970B28"/>
    <w:multiLevelType w:val="hybridMultilevel"/>
    <w:tmpl w:val="78AE23A6"/>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13" w15:restartNumberingAfterBreak="0">
    <w:nsid w:val="21EB6B32"/>
    <w:multiLevelType w:val="hybridMultilevel"/>
    <w:tmpl w:val="6EA2CE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2FF4240"/>
    <w:multiLevelType w:val="multilevel"/>
    <w:tmpl w:val="D23288DA"/>
    <w:lvl w:ilvl="0">
      <w:start w:val="1"/>
      <w:numFmt w:val="decimal"/>
      <w:pStyle w:val="Ttulo1"/>
      <w:lvlText w:val="%1."/>
      <w:lvlJc w:val="left"/>
      <w:pPr>
        <w:ind w:left="360" w:hanging="36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5" w15:restartNumberingAfterBreak="0">
    <w:nsid w:val="32F5309A"/>
    <w:multiLevelType w:val="multilevel"/>
    <w:tmpl w:val="66DA3A7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3B55A87"/>
    <w:multiLevelType w:val="multilevel"/>
    <w:tmpl w:val="7178632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355960E9"/>
    <w:multiLevelType w:val="hybridMultilevel"/>
    <w:tmpl w:val="3EE2B1F2"/>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8" w15:restartNumberingAfterBreak="0">
    <w:nsid w:val="3CC9317C"/>
    <w:multiLevelType w:val="multilevel"/>
    <w:tmpl w:val="21C4DFD6"/>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40FD7E01"/>
    <w:multiLevelType w:val="hybridMultilevel"/>
    <w:tmpl w:val="1610DAE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22667B1"/>
    <w:multiLevelType w:val="hybridMultilevel"/>
    <w:tmpl w:val="29D8BE9A"/>
    <w:lvl w:ilvl="0" w:tplc="BD4483BC">
      <w:start w:val="1"/>
      <w:numFmt w:val="decimal"/>
      <w:lvlText w:val="%1."/>
      <w:lvlJc w:val="left"/>
      <w:pPr>
        <w:ind w:left="720" w:hanging="360"/>
      </w:pPr>
      <w:rPr>
        <w:rFonts w:hint="default"/>
        <w:b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56B5BC9"/>
    <w:multiLevelType w:val="hybridMultilevel"/>
    <w:tmpl w:val="0396E500"/>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22" w15:restartNumberingAfterBreak="0">
    <w:nsid w:val="498946CC"/>
    <w:multiLevelType w:val="hybridMultilevel"/>
    <w:tmpl w:val="7C2C3BCA"/>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3" w15:restartNumberingAfterBreak="0">
    <w:nsid w:val="4FB77723"/>
    <w:multiLevelType w:val="hybridMultilevel"/>
    <w:tmpl w:val="A7C8363C"/>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4" w15:restartNumberingAfterBreak="0">
    <w:nsid w:val="58F14E88"/>
    <w:multiLevelType w:val="hybridMultilevel"/>
    <w:tmpl w:val="E6E6B2BE"/>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66B15B34"/>
    <w:multiLevelType w:val="hybridMultilevel"/>
    <w:tmpl w:val="2256BBCA"/>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26" w15:restartNumberingAfterBreak="0">
    <w:nsid w:val="69D02080"/>
    <w:multiLevelType w:val="hybridMultilevel"/>
    <w:tmpl w:val="12A481E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D5C43B5"/>
    <w:multiLevelType w:val="hybridMultilevel"/>
    <w:tmpl w:val="811A3146"/>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8" w15:restartNumberingAfterBreak="0">
    <w:nsid w:val="73C23105"/>
    <w:multiLevelType w:val="hybridMultilevel"/>
    <w:tmpl w:val="AFEC84B0"/>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9" w15:restartNumberingAfterBreak="0">
    <w:nsid w:val="76DE04E5"/>
    <w:multiLevelType w:val="hybridMultilevel"/>
    <w:tmpl w:val="F166941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0" w15:restartNumberingAfterBreak="0">
    <w:nsid w:val="7AA55B0B"/>
    <w:multiLevelType w:val="hybridMultilevel"/>
    <w:tmpl w:val="FD82E6F2"/>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1" w15:restartNumberingAfterBreak="0">
    <w:nsid w:val="7B6B1162"/>
    <w:multiLevelType w:val="hybridMultilevel"/>
    <w:tmpl w:val="2AAEB0AC"/>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5"/>
  </w:num>
  <w:num w:numId="2">
    <w:abstractNumId w:val="25"/>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17"/>
  </w:num>
  <w:num w:numId="6">
    <w:abstractNumId w:val="11"/>
  </w:num>
  <w:num w:numId="7">
    <w:abstractNumId w:val="6"/>
  </w:num>
  <w:num w:numId="8">
    <w:abstractNumId w:val="8"/>
  </w:num>
  <w:num w:numId="9">
    <w:abstractNumId w:val="4"/>
  </w:num>
  <w:num w:numId="10">
    <w:abstractNumId w:val="9"/>
  </w:num>
  <w:num w:numId="11">
    <w:abstractNumId w:val="12"/>
  </w:num>
  <w:num w:numId="12">
    <w:abstractNumId w:val="13"/>
  </w:num>
  <w:num w:numId="13">
    <w:abstractNumId w:val="7"/>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0"/>
  </w:num>
  <w:num w:numId="17">
    <w:abstractNumId w:val="19"/>
  </w:num>
  <w:num w:numId="18">
    <w:abstractNumId w:val="2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1"/>
  </w:num>
  <w:num w:numId="23">
    <w:abstractNumId w:val="24"/>
  </w:num>
  <w:num w:numId="24">
    <w:abstractNumId w:val="30"/>
  </w:num>
  <w:num w:numId="25">
    <w:abstractNumId w:val="22"/>
  </w:num>
  <w:num w:numId="26">
    <w:abstractNumId w:val="31"/>
  </w:num>
  <w:num w:numId="27">
    <w:abstractNumId w:val="27"/>
  </w:num>
  <w:num w:numId="28">
    <w:abstractNumId w:val="2"/>
  </w:num>
  <w:num w:numId="29">
    <w:abstractNumId w:val="29"/>
  </w:num>
  <w:num w:numId="30">
    <w:abstractNumId w:val="26"/>
  </w:num>
  <w:num w:numId="31">
    <w:abstractNumId w:val="3"/>
  </w:num>
  <w:num w:numId="32">
    <w:abstractNumId w:val="14"/>
  </w:num>
  <w:num w:numId="33">
    <w:abstractNumId w:val="16"/>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D408E"/>
    <w:rsid w:val="000003F4"/>
    <w:rsid w:val="00003108"/>
    <w:rsid w:val="00003476"/>
    <w:rsid w:val="00003BA8"/>
    <w:rsid w:val="00004D84"/>
    <w:rsid w:val="00006508"/>
    <w:rsid w:val="00006E0B"/>
    <w:rsid w:val="00013F61"/>
    <w:rsid w:val="00014697"/>
    <w:rsid w:val="000167FB"/>
    <w:rsid w:val="00020503"/>
    <w:rsid w:val="00023AA9"/>
    <w:rsid w:val="000268C4"/>
    <w:rsid w:val="000279F1"/>
    <w:rsid w:val="000337EF"/>
    <w:rsid w:val="000353FF"/>
    <w:rsid w:val="00036122"/>
    <w:rsid w:val="0003660E"/>
    <w:rsid w:val="00040380"/>
    <w:rsid w:val="0005163E"/>
    <w:rsid w:val="00051BF1"/>
    <w:rsid w:val="00052158"/>
    <w:rsid w:val="000565C8"/>
    <w:rsid w:val="000569F0"/>
    <w:rsid w:val="00057289"/>
    <w:rsid w:val="00057A56"/>
    <w:rsid w:val="00057FBD"/>
    <w:rsid w:val="00061333"/>
    <w:rsid w:val="0006244A"/>
    <w:rsid w:val="000626F0"/>
    <w:rsid w:val="000641A4"/>
    <w:rsid w:val="00064C32"/>
    <w:rsid w:val="00065F6E"/>
    <w:rsid w:val="00066D4D"/>
    <w:rsid w:val="0007321F"/>
    <w:rsid w:val="0007425F"/>
    <w:rsid w:val="00075B0C"/>
    <w:rsid w:val="000771B6"/>
    <w:rsid w:val="00080982"/>
    <w:rsid w:val="00081165"/>
    <w:rsid w:val="000816CF"/>
    <w:rsid w:val="000842D2"/>
    <w:rsid w:val="00085FBE"/>
    <w:rsid w:val="00087CF6"/>
    <w:rsid w:val="00091F15"/>
    <w:rsid w:val="000932FE"/>
    <w:rsid w:val="00093B1A"/>
    <w:rsid w:val="000967D4"/>
    <w:rsid w:val="000975F8"/>
    <w:rsid w:val="000A0008"/>
    <w:rsid w:val="000A01CE"/>
    <w:rsid w:val="000A1B16"/>
    <w:rsid w:val="000A5D4B"/>
    <w:rsid w:val="000A77FA"/>
    <w:rsid w:val="000B132B"/>
    <w:rsid w:val="000B21EE"/>
    <w:rsid w:val="000B2609"/>
    <w:rsid w:val="000B3949"/>
    <w:rsid w:val="000B429C"/>
    <w:rsid w:val="000B735D"/>
    <w:rsid w:val="000B7607"/>
    <w:rsid w:val="000C142C"/>
    <w:rsid w:val="000C2565"/>
    <w:rsid w:val="000C2B44"/>
    <w:rsid w:val="000C6763"/>
    <w:rsid w:val="000D4B3C"/>
    <w:rsid w:val="000E0607"/>
    <w:rsid w:val="000E09CE"/>
    <w:rsid w:val="000E18D6"/>
    <w:rsid w:val="000E21A7"/>
    <w:rsid w:val="000E65E7"/>
    <w:rsid w:val="000F1E34"/>
    <w:rsid w:val="001000A5"/>
    <w:rsid w:val="00115FD9"/>
    <w:rsid w:val="00117DEA"/>
    <w:rsid w:val="001234AD"/>
    <w:rsid w:val="001252BD"/>
    <w:rsid w:val="00126E1E"/>
    <w:rsid w:val="00130D61"/>
    <w:rsid w:val="00131389"/>
    <w:rsid w:val="00132BF4"/>
    <w:rsid w:val="00135321"/>
    <w:rsid w:val="001363E4"/>
    <w:rsid w:val="001423E9"/>
    <w:rsid w:val="00143B83"/>
    <w:rsid w:val="001444A2"/>
    <w:rsid w:val="00144C78"/>
    <w:rsid w:val="00144D9F"/>
    <w:rsid w:val="00145F82"/>
    <w:rsid w:val="00147988"/>
    <w:rsid w:val="00154756"/>
    <w:rsid w:val="0015667A"/>
    <w:rsid w:val="00156A3E"/>
    <w:rsid w:val="00156B48"/>
    <w:rsid w:val="00157FC0"/>
    <w:rsid w:val="00160C56"/>
    <w:rsid w:val="00163D3D"/>
    <w:rsid w:val="00165A47"/>
    <w:rsid w:val="00172005"/>
    <w:rsid w:val="00172C47"/>
    <w:rsid w:val="00174F10"/>
    <w:rsid w:val="00180630"/>
    <w:rsid w:val="001877C7"/>
    <w:rsid w:val="001A1C46"/>
    <w:rsid w:val="001A395E"/>
    <w:rsid w:val="001B23AA"/>
    <w:rsid w:val="001B344C"/>
    <w:rsid w:val="001B514A"/>
    <w:rsid w:val="001B5797"/>
    <w:rsid w:val="001B653A"/>
    <w:rsid w:val="001C18DC"/>
    <w:rsid w:val="001C4336"/>
    <w:rsid w:val="001D368E"/>
    <w:rsid w:val="001D408E"/>
    <w:rsid w:val="001D5191"/>
    <w:rsid w:val="001D7113"/>
    <w:rsid w:val="001E0BC5"/>
    <w:rsid w:val="001E29BC"/>
    <w:rsid w:val="001E3446"/>
    <w:rsid w:val="001E7BD4"/>
    <w:rsid w:val="001E7BF8"/>
    <w:rsid w:val="001F19A6"/>
    <w:rsid w:val="001F46F3"/>
    <w:rsid w:val="001F490F"/>
    <w:rsid w:val="00203C1D"/>
    <w:rsid w:val="00204746"/>
    <w:rsid w:val="002049FB"/>
    <w:rsid w:val="00204EF9"/>
    <w:rsid w:val="00206C4A"/>
    <w:rsid w:val="00211083"/>
    <w:rsid w:val="0021169E"/>
    <w:rsid w:val="00212793"/>
    <w:rsid w:val="0021415F"/>
    <w:rsid w:val="00224D93"/>
    <w:rsid w:val="0022569B"/>
    <w:rsid w:val="00226498"/>
    <w:rsid w:val="00231260"/>
    <w:rsid w:val="00234878"/>
    <w:rsid w:val="0024446F"/>
    <w:rsid w:val="0025015D"/>
    <w:rsid w:val="0025133B"/>
    <w:rsid w:val="00252081"/>
    <w:rsid w:val="0025670E"/>
    <w:rsid w:val="00261596"/>
    <w:rsid w:val="00266227"/>
    <w:rsid w:val="002729A8"/>
    <w:rsid w:val="00284F29"/>
    <w:rsid w:val="00287696"/>
    <w:rsid w:val="00290D5F"/>
    <w:rsid w:val="00290E85"/>
    <w:rsid w:val="00291969"/>
    <w:rsid w:val="00295762"/>
    <w:rsid w:val="002959B3"/>
    <w:rsid w:val="00297B33"/>
    <w:rsid w:val="002A344E"/>
    <w:rsid w:val="002A3E30"/>
    <w:rsid w:val="002A57D4"/>
    <w:rsid w:val="002A6864"/>
    <w:rsid w:val="002B1C1A"/>
    <w:rsid w:val="002B5456"/>
    <w:rsid w:val="002B5B66"/>
    <w:rsid w:val="002C0CA9"/>
    <w:rsid w:val="002C5EF5"/>
    <w:rsid w:val="002C7C71"/>
    <w:rsid w:val="002D2459"/>
    <w:rsid w:val="002D5773"/>
    <w:rsid w:val="002D63C1"/>
    <w:rsid w:val="002D7AB9"/>
    <w:rsid w:val="002D7AC4"/>
    <w:rsid w:val="002D7E0F"/>
    <w:rsid w:val="002E40D1"/>
    <w:rsid w:val="002E5B12"/>
    <w:rsid w:val="002E61AF"/>
    <w:rsid w:val="002E64B7"/>
    <w:rsid w:val="002E6BC6"/>
    <w:rsid w:val="002E6E41"/>
    <w:rsid w:val="002E77C6"/>
    <w:rsid w:val="002F08FF"/>
    <w:rsid w:val="002F0A9A"/>
    <w:rsid w:val="002F0B67"/>
    <w:rsid w:val="0030022A"/>
    <w:rsid w:val="00302847"/>
    <w:rsid w:val="00303876"/>
    <w:rsid w:val="00304162"/>
    <w:rsid w:val="0030549D"/>
    <w:rsid w:val="00305A26"/>
    <w:rsid w:val="003104A6"/>
    <w:rsid w:val="003138DE"/>
    <w:rsid w:val="003154F7"/>
    <w:rsid w:val="003174D4"/>
    <w:rsid w:val="00320867"/>
    <w:rsid w:val="00320884"/>
    <w:rsid w:val="00321B97"/>
    <w:rsid w:val="00323328"/>
    <w:rsid w:val="00326445"/>
    <w:rsid w:val="00326AD1"/>
    <w:rsid w:val="00327202"/>
    <w:rsid w:val="00333BAE"/>
    <w:rsid w:val="00335E8A"/>
    <w:rsid w:val="00337EE5"/>
    <w:rsid w:val="0034115E"/>
    <w:rsid w:val="00346FF3"/>
    <w:rsid w:val="003479E4"/>
    <w:rsid w:val="003510FD"/>
    <w:rsid w:val="003526D0"/>
    <w:rsid w:val="0035736B"/>
    <w:rsid w:val="00360907"/>
    <w:rsid w:val="003618AD"/>
    <w:rsid w:val="00362144"/>
    <w:rsid w:val="00370111"/>
    <w:rsid w:val="00370704"/>
    <w:rsid w:val="00371793"/>
    <w:rsid w:val="00374756"/>
    <w:rsid w:val="0037496E"/>
    <w:rsid w:val="003772EE"/>
    <w:rsid w:val="00382311"/>
    <w:rsid w:val="00384EED"/>
    <w:rsid w:val="00390C1B"/>
    <w:rsid w:val="003916D3"/>
    <w:rsid w:val="00392EE1"/>
    <w:rsid w:val="0039471F"/>
    <w:rsid w:val="00396308"/>
    <w:rsid w:val="003A1A83"/>
    <w:rsid w:val="003A5D2D"/>
    <w:rsid w:val="003A61C6"/>
    <w:rsid w:val="003B0ADD"/>
    <w:rsid w:val="003B1C9A"/>
    <w:rsid w:val="003C0A35"/>
    <w:rsid w:val="003C57B9"/>
    <w:rsid w:val="003C6333"/>
    <w:rsid w:val="003C6A10"/>
    <w:rsid w:val="003D0B5B"/>
    <w:rsid w:val="003D1401"/>
    <w:rsid w:val="003D3155"/>
    <w:rsid w:val="003D4DF3"/>
    <w:rsid w:val="003D6353"/>
    <w:rsid w:val="003D63DC"/>
    <w:rsid w:val="003E4F40"/>
    <w:rsid w:val="003E5953"/>
    <w:rsid w:val="003E5FEA"/>
    <w:rsid w:val="003F0DC0"/>
    <w:rsid w:val="003F0FD3"/>
    <w:rsid w:val="003F3AC3"/>
    <w:rsid w:val="003F638D"/>
    <w:rsid w:val="003F6EC6"/>
    <w:rsid w:val="004019FE"/>
    <w:rsid w:val="00407CC9"/>
    <w:rsid w:val="004117DA"/>
    <w:rsid w:val="004129F5"/>
    <w:rsid w:val="004146B2"/>
    <w:rsid w:val="00423532"/>
    <w:rsid w:val="004267E0"/>
    <w:rsid w:val="004269A9"/>
    <w:rsid w:val="00430971"/>
    <w:rsid w:val="004374B7"/>
    <w:rsid w:val="00440E34"/>
    <w:rsid w:val="00442B5C"/>
    <w:rsid w:val="004451D7"/>
    <w:rsid w:val="004453E2"/>
    <w:rsid w:val="00446C09"/>
    <w:rsid w:val="00450951"/>
    <w:rsid w:val="00451BFD"/>
    <w:rsid w:val="00455850"/>
    <w:rsid w:val="004607C5"/>
    <w:rsid w:val="0046091C"/>
    <w:rsid w:val="00462849"/>
    <w:rsid w:val="00463209"/>
    <w:rsid w:val="00466899"/>
    <w:rsid w:val="00467241"/>
    <w:rsid w:val="00467E4A"/>
    <w:rsid w:val="00473ACA"/>
    <w:rsid w:val="00477E95"/>
    <w:rsid w:val="00480BDD"/>
    <w:rsid w:val="00484A65"/>
    <w:rsid w:val="00484FA3"/>
    <w:rsid w:val="0049314A"/>
    <w:rsid w:val="00496CAD"/>
    <w:rsid w:val="004A0972"/>
    <w:rsid w:val="004A25FF"/>
    <w:rsid w:val="004A760F"/>
    <w:rsid w:val="004B0AB7"/>
    <w:rsid w:val="004B2592"/>
    <w:rsid w:val="004B25E0"/>
    <w:rsid w:val="004B3775"/>
    <w:rsid w:val="004B4E0A"/>
    <w:rsid w:val="004B777A"/>
    <w:rsid w:val="004C1FC5"/>
    <w:rsid w:val="004D2715"/>
    <w:rsid w:val="004D3072"/>
    <w:rsid w:val="004D5CAD"/>
    <w:rsid w:val="004E1B1B"/>
    <w:rsid w:val="004E2749"/>
    <w:rsid w:val="004E3389"/>
    <w:rsid w:val="004E64FE"/>
    <w:rsid w:val="004F281D"/>
    <w:rsid w:val="004F3F32"/>
    <w:rsid w:val="0050055A"/>
    <w:rsid w:val="005008CB"/>
    <w:rsid w:val="00503B05"/>
    <w:rsid w:val="00503EEA"/>
    <w:rsid w:val="005054F9"/>
    <w:rsid w:val="00506376"/>
    <w:rsid w:val="00513505"/>
    <w:rsid w:val="0051381A"/>
    <w:rsid w:val="00514AEC"/>
    <w:rsid w:val="0051572B"/>
    <w:rsid w:val="00516907"/>
    <w:rsid w:val="00523A42"/>
    <w:rsid w:val="0052435C"/>
    <w:rsid w:val="00534192"/>
    <w:rsid w:val="0054196C"/>
    <w:rsid w:val="00542B8A"/>
    <w:rsid w:val="00542EEB"/>
    <w:rsid w:val="005437DE"/>
    <w:rsid w:val="005461F5"/>
    <w:rsid w:val="00546F27"/>
    <w:rsid w:val="005500B9"/>
    <w:rsid w:val="005520E5"/>
    <w:rsid w:val="005534A5"/>
    <w:rsid w:val="00557083"/>
    <w:rsid w:val="005576F6"/>
    <w:rsid w:val="00564376"/>
    <w:rsid w:val="00564C8A"/>
    <w:rsid w:val="005657FE"/>
    <w:rsid w:val="005673B5"/>
    <w:rsid w:val="00567D10"/>
    <w:rsid w:val="00576907"/>
    <w:rsid w:val="0058039D"/>
    <w:rsid w:val="00584A73"/>
    <w:rsid w:val="00584D53"/>
    <w:rsid w:val="00587084"/>
    <w:rsid w:val="00594A44"/>
    <w:rsid w:val="00594D74"/>
    <w:rsid w:val="005A0A9F"/>
    <w:rsid w:val="005A2A76"/>
    <w:rsid w:val="005A4432"/>
    <w:rsid w:val="005A4988"/>
    <w:rsid w:val="005A5EC8"/>
    <w:rsid w:val="005A62D9"/>
    <w:rsid w:val="005B4C10"/>
    <w:rsid w:val="005B617B"/>
    <w:rsid w:val="005B693F"/>
    <w:rsid w:val="005C07D2"/>
    <w:rsid w:val="005D1BA1"/>
    <w:rsid w:val="005E010D"/>
    <w:rsid w:val="005E24E0"/>
    <w:rsid w:val="005E29C2"/>
    <w:rsid w:val="005F14BC"/>
    <w:rsid w:val="005F47DE"/>
    <w:rsid w:val="005F643F"/>
    <w:rsid w:val="005F7320"/>
    <w:rsid w:val="00601310"/>
    <w:rsid w:val="00605AE0"/>
    <w:rsid w:val="00607D5F"/>
    <w:rsid w:val="00607DB6"/>
    <w:rsid w:val="00610A20"/>
    <w:rsid w:val="00613812"/>
    <w:rsid w:val="00613834"/>
    <w:rsid w:val="00617165"/>
    <w:rsid w:val="00617A49"/>
    <w:rsid w:val="00622BD5"/>
    <w:rsid w:val="00627B03"/>
    <w:rsid w:val="00627E60"/>
    <w:rsid w:val="00630722"/>
    <w:rsid w:val="006309C3"/>
    <w:rsid w:val="00633515"/>
    <w:rsid w:val="00643158"/>
    <w:rsid w:val="0064596F"/>
    <w:rsid w:val="0064677F"/>
    <w:rsid w:val="006551A8"/>
    <w:rsid w:val="0065677D"/>
    <w:rsid w:val="00656F8D"/>
    <w:rsid w:val="00663384"/>
    <w:rsid w:val="0066439A"/>
    <w:rsid w:val="00667DA6"/>
    <w:rsid w:val="00667F04"/>
    <w:rsid w:val="006736D5"/>
    <w:rsid w:val="006754A4"/>
    <w:rsid w:val="00677AE4"/>
    <w:rsid w:val="006800AB"/>
    <w:rsid w:val="00681717"/>
    <w:rsid w:val="00684537"/>
    <w:rsid w:val="00690FEF"/>
    <w:rsid w:val="00693317"/>
    <w:rsid w:val="0069338D"/>
    <w:rsid w:val="00693759"/>
    <w:rsid w:val="006969E3"/>
    <w:rsid w:val="00697C57"/>
    <w:rsid w:val="006A0293"/>
    <w:rsid w:val="006A295A"/>
    <w:rsid w:val="006A6D76"/>
    <w:rsid w:val="006B2367"/>
    <w:rsid w:val="006B67A3"/>
    <w:rsid w:val="006B70C9"/>
    <w:rsid w:val="006B79AD"/>
    <w:rsid w:val="006C4292"/>
    <w:rsid w:val="006C4C4E"/>
    <w:rsid w:val="006D0530"/>
    <w:rsid w:val="006D0AF3"/>
    <w:rsid w:val="006D1B51"/>
    <w:rsid w:val="006D508A"/>
    <w:rsid w:val="006D55DB"/>
    <w:rsid w:val="006E1C69"/>
    <w:rsid w:val="006E1EB2"/>
    <w:rsid w:val="006E4E41"/>
    <w:rsid w:val="006E6949"/>
    <w:rsid w:val="006F2AD4"/>
    <w:rsid w:val="006F399E"/>
    <w:rsid w:val="00703131"/>
    <w:rsid w:val="00710363"/>
    <w:rsid w:val="00713049"/>
    <w:rsid w:val="00714745"/>
    <w:rsid w:val="00715324"/>
    <w:rsid w:val="007175F3"/>
    <w:rsid w:val="007242FD"/>
    <w:rsid w:val="00730383"/>
    <w:rsid w:val="007306A3"/>
    <w:rsid w:val="007351E2"/>
    <w:rsid w:val="00736E5D"/>
    <w:rsid w:val="00737F26"/>
    <w:rsid w:val="00741F88"/>
    <w:rsid w:val="007443AE"/>
    <w:rsid w:val="007474AB"/>
    <w:rsid w:val="007601B9"/>
    <w:rsid w:val="00762250"/>
    <w:rsid w:val="0076509C"/>
    <w:rsid w:val="0076619B"/>
    <w:rsid w:val="00770A2F"/>
    <w:rsid w:val="00773A9A"/>
    <w:rsid w:val="00780348"/>
    <w:rsid w:val="00780E55"/>
    <w:rsid w:val="007837DF"/>
    <w:rsid w:val="00783BE4"/>
    <w:rsid w:val="00792A84"/>
    <w:rsid w:val="00793437"/>
    <w:rsid w:val="007A2F7C"/>
    <w:rsid w:val="007B1DA1"/>
    <w:rsid w:val="007B73F5"/>
    <w:rsid w:val="007C7FD6"/>
    <w:rsid w:val="007D07A0"/>
    <w:rsid w:val="007D14C8"/>
    <w:rsid w:val="007D17CE"/>
    <w:rsid w:val="007D596A"/>
    <w:rsid w:val="007D7DA4"/>
    <w:rsid w:val="007E0F96"/>
    <w:rsid w:val="007E52F4"/>
    <w:rsid w:val="007E6297"/>
    <w:rsid w:val="007E69C0"/>
    <w:rsid w:val="007E7C1F"/>
    <w:rsid w:val="007F0115"/>
    <w:rsid w:val="007F49A3"/>
    <w:rsid w:val="007F5A94"/>
    <w:rsid w:val="00800127"/>
    <w:rsid w:val="008010F6"/>
    <w:rsid w:val="008033F0"/>
    <w:rsid w:val="008101A8"/>
    <w:rsid w:val="0081047B"/>
    <w:rsid w:val="00810E26"/>
    <w:rsid w:val="0081143E"/>
    <w:rsid w:val="008123FC"/>
    <w:rsid w:val="00813CFB"/>
    <w:rsid w:val="008200C4"/>
    <w:rsid w:val="0082019B"/>
    <w:rsid w:val="0082754F"/>
    <w:rsid w:val="00827AFA"/>
    <w:rsid w:val="00832638"/>
    <w:rsid w:val="00833689"/>
    <w:rsid w:val="00835DE6"/>
    <w:rsid w:val="008401E1"/>
    <w:rsid w:val="00845FBB"/>
    <w:rsid w:val="00850CC9"/>
    <w:rsid w:val="0085628F"/>
    <w:rsid w:val="00860106"/>
    <w:rsid w:val="0086034C"/>
    <w:rsid w:val="00863D22"/>
    <w:rsid w:val="0086473B"/>
    <w:rsid w:val="00864B47"/>
    <w:rsid w:val="008671A9"/>
    <w:rsid w:val="00871D96"/>
    <w:rsid w:val="00874F63"/>
    <w:rsid w:val="00881D4A"/>
    <w:rsid w:val="0088644E"/>
    <w:rsid w:val="00887004"/>
    <w:rsid w:val="008978B5"/>
    <w:rsid w:val="008A00DE"/>
    <w:rsid w:val="008A0FE0"/>
    <w:rsid w:val="008A2FF9"/>
    <w:rsid w:val="008A515D"/>
    <w:rsid w:val="008A7C23"/>
    <w:rsid w:val="008B2428"/>
    <w:rsid w:val="008B3EE0"/>
    <w:rsid w:val="008B78C7"/>
    <w:rsid w:val="008C42AD"/>
    <w:rsid w:val="008C43D7"/>
    <w:rsid w:val="008C6AF6"/>
    <w:rsid w:val="008D3279"/>
    <w:rsid w:val="008D3EF3"/>
    <w:rsid w:val="008D44D1"/>
    <w:rsid w:val="008D4C0A"/>
    <w:rsid w:val="008E2BC2"/>
    <w:rsid w:val="008E4CCB"/>
    <w:rsid w:val="008E53B4"/>
    <w:rsid w:val="008F4413"/>
    <w:rsid w:val="008F77D1"/>
    <w:rsid w:val="0090577A"/>
    <w:rsid w:val="00914A44"/>
    <w:rsid w:val="009174FB"/>
    <w:rsid w:val="00917569"/>
    <w:rsid w:val="00920E9A"/>
    <w:rsid w:val="0092273E"/>
    <w:rsid w:val="009228D0"/>
    <w:rsid w:val="009255FA"/>
    <w:rsid w:val="00926CC5"/>
    <w:rsid w:val="00931C40"/>
    <w:rsid w:val="00933B60"/>
    <w:rsid w:val="00935B80"/>
    <w:rsid w:val="009362B8"/>
    <w:rsid w:val="00936F2F"/>
    <w:rsid w:val="009462BC"/>
    <w:rsid w:val="0094632F"/>
    <w:rsid w:val="00951B18"/>
    <w:rsid w:val="009560DE"/>
    <w:rsid w:val="00956D48"/>
    <w:rsid w:val="00957453"/>
    <w:rsid w:val="00957543"/>
    <w:rsid w:val="0096134F"/>
    <w:rsid w:val="00963836"/>
    <w:rsid w:val="00966CDB"/>
    <w:rsid w:val="00970F20"/>
    <w:rsid w:val="00973289"/>
    <w:rsid w:val="00974A02"/>
    <w:rsid w:val="009774C4"/>
    <w:rsid w:val="009816B5"/>
    <w:rsid w:val="00986FCA"/>
    <w:rsid w:val="0099478B"/>
    <w:rsid w:val="0099666C"/>
    <w:rsid w:val="009972F4"/>
    <w:rsid w:val="009A088F"/>
    <w:rsid w:val="009A0F6D"/>
    <w:rsid w:val="009A37DF"/>
    <w:rsid w:val="009A7C47"/>
    <w:rsid w:val="009B0AA6"/>
    <w:rsid w:val="009B2BF9"/>
    <w:rsid w:val="009B2D67"/>
    <w:rsid w:val="009C589E"/>
    <w:rsid w:val="009C61FB"/>
    <w:rsid w:val="009D572A"/>
    <w:rsid w:val="009D775A"/>
    <w:rsid w:val="009E2C31"/>
    <w:rsid w:val="009E57A8"/>
    <w:rsid w:val="009F23C9"/>
    <w:rsid w:val="009F2528"/>
    <w:rsid w:val="009F338E"/>
    <w:rsid w:val="009F3D32"/>
    <w:rsid w:val="009F5E98"/>
    <w:rsid w:val="009F7397"/>
    <w:rsid w:val="00A026B7"/>
    <w:rsid w:val="00A06801"/>
    <w:rsid w:val="00A06C1F"/>
    <w:rsid w:val="00A0785F"/>
    <w:rsid w:val="00A1148D"/>
    <w:rsid w:val="00A15C3E"/>
    <w:rsid w:val="00A227BE"/>
    <w:rsid w:val="00A23AC4"/>
    <w:rsid w:val="00A323DE"/>
    <w:rsid w:val="00A34C21"/>
    <w:rsid w:val="00A34C7B"/>
    <w:rsid w:val="00A40897"/>
    <w:rsid w:val="00A41C43"/>
    <w:rsid w:val="00A50124"/>
    <w:rsid w:val="00A507EE"/>
    <w:rsid w:val="00A51584"/>
    <w:rsid w:val="00A55C96"/>
    <w:rsid w:val="00A57014"/>
    <w:rsid w:val="00A578CC"/>
    <w:rsid w:val="00A64133"/>
    <w:rsid w:val="00A642E3"/>
    <w:rsid w:val="00A66DDA"/>
    <w:rsid w:val="00A70281"/>
    <w:rsid w:val="00A73F98"/>
    <w:rsid w:val="00A748D3"/>
    <w:rsid w:val="00A755A2"/>
    <w:rsid w:val="00A87913"/>
    <w:rsid w:val="00A9002E"/>
    <w:rsid w:val="00A90AAA"/>
    <w:rsid w:val="00A93B84"/>
    <w:rsid w:val="00A9459E"/>
    <w:rsid w:val="00AB1759"/>
    <w:rsid w:val="00AB1ECE"/>
    <w:rsid w:val="00AB2D0A"/>
    <w:rsid w:val="00AB4E30"/>
    <w:rsid w:val="00AC2983"/>
    <w:rsid w:val="00AC2A5C"/>
    <w:rsid w:val="00AC2F2B"/>
    <w:rsid w:val="00AD01D3"/>
    <w:rsid w:val="00AD0A71"/>
    <w:rsid w:val="00AD0F0E"/>
    <w:rsid w:val="00AD1AB5"/>
    <w:rsid w:val="00AD207E"/>
    <w:rsid w:val="00AD3B6B"/>
    <w:rsid w:val="00AE252E"/>
    <w:rsid w:val="00AE2797"/>
    <w:rsid w:val="00AE4508"/>
    <w:rsid w:val="00AE6215"/>
    <w:rsid w:val="00AF094A"/>
    <w:rsid w:val="00AF0E8F"/>
    <w:rsid w:val="00AF182A"/>
    <w:rsid w:val="00AF3446"/>
    <w:rsid w:val="00AF3E98"/>
    <w:rsid w:val="00AF44D6"/>
    <w:rsid w:val="00AF7573"/>
    <w:rsid w:val="00B03E10"/>
    <w:rsid w:val="00B14B72"/>
    <w:rsid w:val="00B16584"/>
    <w:rsid w:val="00B16FED"/>
    <w:rsid w:val="00B201B5"/>
    <w:rsid w:val="00B237C1"/>
    <w:rsid w:val="00B3073E"/>
    <w:rsid w:val="00B323CC"/>
    <w:rsid w:val="00B338C5"/>
    <w:rsid w:val="00B33C64"/>
    <w:rsid w:val="00B36177"/>
    <w:rsid w:val="00B465E2"/>
    <w:rsid w:val="00B46620"/>
    <w:rsid w:val="00B47AAD"/>
    <w:rsid w:val="00B55046"/>
    <w:rsid w:val="00B55464"/>
    <w:rsid w:val="00B67262"/>
    <w:rsid w:val="00B71327"/>
    <w:rsid w:val="00B72620"/>
    <w:rsid w:val="00B729E1"/>
    <w:rsid w:val="00B72C62"/>
    <w:rsid w:val="00B7383A"/>
    <w:rsid w:val="00B77DAA"/>
    <w:rsid w:val="00B836B7"/>
    <w:rsid w:val="00B83EEC"/>
    <w:rsid w:val="00B926A4"/>
    <w:rsid w:val="00B9547D"/>
    <w:rsid w:val="00B963AF"/>
    <w:rsid w:val="00BA1546"/>
    <w:rsid w:val="00BA2092"/>
    <w:rsid w:val="00BA7726"/>
    <w:rsid w:val="00BB54FD"/>
    <w:rsid w:val="00BC0B17"/>
    <w:rsid w:val="00BC1110"/>
    <w:rsid w:val="00BC203E"/>
    <w:rsid w:val="00BD2192"/>
    <w:rsid w:val="00BD30F9"/>
    <w:rsid w:val="00BD6A09"/>
    <w:rsid w:val="00BD7657"/>
    <w:rsid w:val="00BE07BF"/>
    <w:rsid w:val="00BE2F15"/>
    <w:rsid w:val="00BE5589"/>
    <w:rsid w:val="00BF0906"/>
    <w:rsid w:val="00BF0F27"/>
    <w:rsid w:val="00BF1888"/>
    <w:rsid w:val="00C00D45"/>
    <w:rsid w:val="00C10572"/>
    <w:rsid w:val="00C12DED"/>
    <w:rsid w:val="00C14CB5"/>
    <w:rsid w:val="00C20940"/>
    <w:rsid w:val="00C2414F"/>
    <w:rsid w:val="00C24A05"/>
    <w:rsid w:val="00C24F0F"/>
    <w:rsid w:val="00C269C7"/>
    <w:rsid w:val="00C27D76"/>
    <w:rsid w:val="00C311C2"/>
    <w:rsid w:val="00C31DF7"/>
    <w:rsid w:val="00C326DC"/>
    <w:rsid w:val="00C3749B"/>
    <w:rsid w:val="00C3776C"/>
    <w:rsid w:val="00C37AB9"/>
    <w:rsid w:val="00C40E34"/>
    <w:rsid w:val="00C41366"/>
    <w:rsid w:val="00C43A70"/>
    <w:rsid w:val="00C4584C"/>
    <w:rsid w:val="00C503AD"/>
    <w:rsid w:val="00C523A0"/>
    <w:rsid w:val="00C52525"/>
    <w:rsid w:val="00C52E3E"/>
    <w:rsid w:val="00C540BE"/>
    <w:rsid w:val="00C54B77"/>
    <w:rsid w:val="00C57073"/>
    <w:rsid w:val="00C62FA5"/>
    <w:rsid w:val="00C655EC"/>
    <w:rsid w:val="00C6784C"/>
    <w:rsid w:val="00C67A13"/>
    <w:rsid w:val="00C732E1"/>
    <w:rsid w:val="00C735E2"/>
    <w:rsid w:val="00C737B9"/>
    <w:rsid w:val="00C75D8D"/>
    <w:rsid w:val="00C813CB"/>
    <w:rsid w:val="00C943B1"/>
    <w:rsid w:val="00C963AC"/>
    <w:rsid w:val="00C96C2F"/>
    <w:rsid w:val="00CA1F44"/>
    <w:rsid w:val="00CA26DB"/>
    <w:rsid w:val="00CA275E"/>
    <w:rsid w:val="00CB258E"/>
    <w:rsid w:val="00CB2B75"/>
    <w:rsid w:val="00CB6ECA"/>
    <w:rsid w:val="00CC12A5"/>
    <w:rsid w:val="00CC6B46"/>
    <w:rsid w:val="00CD2B67"/>
    <w:rsid w:val="00CD3E4F"/>
    <w:rsid w:val="00CE0AEA"/>
    <w:rsid w:val="00CE3FEF"/>
    <w:rsid w:val="00CE48FB"/>
    <w:rsid w:val="00CF614E"/>
    <w:rsid w:val="00CF6232"/>
    <w:rsid w:val="00CF7712"/>
    <w:rsid w:val="00D00ED6"/>
    <w:rsid w:val="00D02256"/>
    <w:rsid w:val="00D03881"/>
    <w:rsid w:val="00D04003"/>
    <w:rsid w:val="00D044E2"/>
    <w:rsid w:val="00D062DA"/>
    <w:rsid w:val="00D06DE5"/>
    <w:rsid w:val="00D10C6B"/>
    <w:rsid w:val="00D10D3A"/>
    <w:rsid w:val="00D12051"/>
    <w:rsid w:val="00D2052D"/>
    <w:rsid w:val="00D25B71"/>
    <w:rsid w:val="00D266F4"/>
    <w:rsid w:val="00D26DA4"/>
    <w:rsid w:val="00D31420"/>
    <w:rsid w:val="00D3706C"/>
    <w:rsid w:val="00D438F6"/>
    <w:rsid w:val="00D44F25"/>
    <w:rsid w:val="00D46CAD"/>
    <w:rsid w:val="00D471C3"/>
    <w:rsid w:val="00D5001D"/>
    <w:rsid w:val="00D55162"/>
    <w:rsid w:val="00D60014"/>
    <w:rsid w:val="00D60F1D"/>
    <w:rsid w:val="00D62451"/>
    <w:rsid w:val="00D64510"/>
    <w:rsid w:val="00D702EF"/>
    <w:rsid w:val="00D7101F"/>
    <w:rsid w:val="00D72950"/>
    <w:rsid w:val="00D74291"/>
    <w:rsid w:val="00D74343"/>
    <w:rsid w:val="00D83C07"/>
    <w:rsid w:val="00D9082D"/>
    <w:rsid w:val="00D90BFE"/>
    <w:rsid w:val="00D90C5E"/>
    <w:rsid w:val="00D929ED"/>
    <w:rsid w:val="00D95276"/>
    <w:rsid w:val="00DA3B88"/>
    <w:rsid w:val="00DA56AD"/>
    <w:rsid w:val="00DB0758"/>
    <w:rsid w:val="00DB42B8"/>
    <w:rsid w:val="00DB46F3"/>
    <w:rsid w:val="00DB6D9C"/>
    <w:rsid w:val="00DB7FE1"/>
    <w:rsid w:val="00DC3C6E"/>
    <w:rsid w:val="00DC4209"/>
    <w:rsid w:val="00DC4AE9"/>
    <w:rsid w:val="00DC51BB"/>
    <w:rsid w:val="00DC5D6A"/>
    <w:rsid w:val="00DD301E"/>
    <w:rsid w:val="00DD3FB6"/>
    <w:rsid w:val="00DD4737"/>
    <w:rsid w:val="00DE0F62"/>
    <w:rsid w:val="00DE21C9"/>
    <w:rsid w:val="00DE5A4E"/>
    <w:rsid w:val="00DE6153"/>
    <w:rsid w:val="00DE6776"/>
    <w:rsid w:val="00DF4186"/>
    <w:rsid w:val="00DF5391"/>
    <w:rsid w:val="00DF583E"/>
    <w:rsid w:val="00E02348"/>
    <w:rsid w:val="00E04695"/>
    <w:rsid w:val="00E11DF5"/>
    <w:rsid w:val="00E148A0"/>
    <w:rsid w:val="00E173F8"/>
    <w:rsid w:val="00E205A2"/>
    <w:rsid w:val="00E22047"/>
    <w:rsid w:val="00E23DBF"/>
    <w:rsid w:val="00E25913"/>
    <w:rsid w:val="00E272C2"/>
    <w:rsid w:val="00E3385B"/>
    <w:rsid w:val="00E338A4"/>
    <w:rsid w:val="00E35777"/>
    <w:rsid w:val="00E44FDD"/>
    <w:rsid w:val="00E46A45"/>
    <w:rsid w:val="00E46BEE"/>
    <w:rsid w:val="00E52534"/>
    <w:rsid w:val="00E54BC5"/>
    <w:rsid w:val="00E5751C"/>
    <w:rsid w:val="00E65690"/>
    <w:rsid w:val="00E7078E"/>
    <w:rsid w:val="00E70B8B"/>
    <w:rsid w:val="00E73357"/>
    <w:rsid w:val="00E73743"/>
    <w:rsid w:val="00E74548"/>
    <w:rsid w:val="00E74DDF"/>
    <w:rsid w:val="00E74F5E"/>
    <w:rsid w:val="00E7738B"/>
    <w:rsid w:val="00E77A8C"/>
    <w:rsid w:val="00E804EF"/>
    <w:rsid w:val="00E94911"/>
    <w:rsid w:val="00EA72A7"/>
    <w:rsid w:val="00EB6A1F"/>
    <w:rsid w:val="00EB6A86"/>
    <w:rsid w:val="00EC0B07"/>
    <w:rsid w:val="00EC1297"/>
    <w:rsid w:val="00EC642E"/>
    <w:rsid w:val="00ED0E66"/>
    <w:rsid w:val="00ED238F"/>
    <w:rsid w:val="00ED25A9"/>
    <w:rsid w:val="00EE0967"/>
    <w:rsid w:val="00EF18BC"/>
    <w:rsid w:val="00EF31C3"/>
    <w:rsid w:val="00EF51BC"/>
    <w:rsid w:val="00F01A1B"/>
    <w:rsid w:val="00F03168"/>
    <w:rsid w:val="00F053A8"/>
    <w:rsid w:val="00F06F6E"/>
    <w:rsid w:val="00F14C53"/>
    <w:rsid w:val="00F23259"/>
    <w:rsid w:val="00F234A5"/>
    <w:rsid w:val="00F24FAA"/>
    <w:rsid w:val="00F25961"/>
    <w:rsid w:val="00F26B5A"/>
    <w:rsid w:val="00F31D3D"/>
    <w:rsid w:val="00F3737D"/>
    <w:rsid w:val="00F37440"/>
    <w:rsid w:val="00F4079E"/>
    <w:rsid w:val="00F427D0"/>
    <w:rsid w:val="00F46BC9"/>
    <w:rsid w:val="00F46FEF"/>
    <w:rsid w:val="00F50E24"/>
    <w:rsid w:val="00F5458C"/>
    <w:rsid w:val="00F565CE"/>
    <w:rsid w:val="00F61F50"/>
    <w:rsid w:val="00F649D1"/>
    <w:rsid w:val="00F723E8"/>
    <w:rsid w:val="00F81943"/>
    <w:rsid w:val="00F9077D"/>
    <w:rsid w:val="00F91A12"/>
    <w:rsid w:val="00F93CD3"/>
    <w:rsid w:val="00FA0598"/>
    <w:rsid w:val="00FB4F2D"/>
    <w:rsid w:val="00FC3ED8"/>
    <w:rsid w:val="00FC41DD"/>
    <w:rsid w:val="00FC4449"/>
    <w:rsid w:val="00FC7B36"/>
    <w:rsid w:val="00FD0A65"/>
    <w:rsid w:val="00FD6D0F"/>
    <w:rsid w:val="00FE04C2"/>
    <w:rsid w:val="00FE2B49"/>
    <w:rsid w:val="00FE2F8E"/>
    <w:rsid w:val="00FE380A"/>
    <w:rsid w:val="00FE40DB"/>
    <w:rsid w:val="00FE64E6"/>
    <w:rsid w:val="00FF0665"/>
    <w:rsid w:val="00FF294F"/>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90CF"/>
  <w15:docId w15:val="{0D943B56-3C1D-4A5D-A77C-E31EE43B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08E"/>
    <w:pPr>
      <w:spacing w:before="240" w:after="240"/>
    </w:pPr>
    <w:rPr>
      <w:lang w:val="es-CL"/>
    </w:rPr>
  </w:style>
  <w:style w:type="paragraph" w:styleId="Ttulo1">
    <w:name w:val="heading 1"/>
    <w:basedOn w:val="Normal"/>
    <w:next w:val="Normal"/>
    <w:link w:val="Ttulo1Car"/>
    <w:uiPriority w:val="9"/>
    <w:qFormat/>
    <w:rsid w:val="00287696"/>
    <w:pPr>
      <w:keepNext/>
      <w:keepLines/>
      <w:numPr>
        <w:numId w:val="32"/>
      </w:numPr>
      <w:spacing w:after="0"/>
      <w:outlineLvl w:val="0"/>
    </w:pPr>
    <w:rPr>
      <w:rFonts w:eastAsiaTheme="majorEastAsia" w:cstheme="majorBidi"/>
      <w:color w:val="365F91" w:themeColor="accent1" w:themeShade="BF"/>
      <w:szCs w:val="32"/>
    </w:rPr>
  </w:style>
  <w:style w:type="paragraph" w:styleId="Ttulo2">
    <w:name w:val="heading 2"/>
    <w:basedOn w:val="Normal"/>
    <w:next w:val="Normal"/>
    <w:link w:val="Ttulo2Car"/>
    <w:uiPriority w:val="9"/>
    <w:unhideWhenUsed/>
    <w:qFormat/>
    <w:rsid w:val="00810E26"/>
    <w:pPr>
      <w:keepNext/>
      <w:keepLines/>
      <w:numPr>
        <w:ilvl w:val="1"/>
        <w:numId w:val="32"/>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0641A4"/>
    <w:pPr>
      <w:keepNext/>
      <w:keepLines/>
      <w:numPr>
        <w:ilvl w:val="2"/>
        <w:numId w:val="3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0641A4"/>
    <w:pPr>
      <w:keepNext/>
      <w:keepLines/>
      <w:numPr>
        <w:ilvl w:val="3"/>
        <w:numId w:val="32"/>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0641A4"/>
    <w:pPr>
      <w:keepNext/>
      <w:keepLines/>
      <w:numPr>
        <w:ilvl w:val="4"/>
        <w:numId w:val="32"/>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0641A4"/>
    <w:pPr>
      <w:keepNext/>
      <w:keepLines/>
      <w:numPr>
        <w:ilvl w:val="5"/>
        <w:numId w:val="32"/>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0641A4"/>
    <w:pPr>
      <w:keepNext/>
      <w:keepLines/>
      <w:numPr>
        <w:ilvl w:val="6"/>
        <w:numId w:val="32"/>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0641A4"/>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641A4"/>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D408E"/>
    <w:rPr>
      <w:color w:val="0000FF" w:themeColor="hyperlink"/>
      <w:u w:val="single"/>
    </w:rPr>
  </w:style>
  <w:style w:type="paragraph" w:styleId="Prrafodelista">
    <w:name w:val="List Paragraph"/>
    <w:basedOn w:val="Normal"/>
    <w:uiPriority w:val="34"/>
    <w:qFormat/>
    <w:rsid w:val="001D408E"/>
    <w:pPr>
      <w:ind w:left="720"/>
      <w:contextualSpacing/>
    </w:pPr>
  </w:style>
  <w:style w:type="table" w:styleId="Sombreadomedio1-nfasis1">
    <w:name w:val="Medium Shading 1 Accent 1"/>
    <w:basedOn w:val="Tablanormal"/>
    <w:uiPriority w:val="63"/>
    <w:rsid w:val="001D408E"/>
    <w:pPr>
      <w:spacing w:after="0" w:line="240" w:lineRule="auto"/>
    </w:pPr>
    <w:rPr>
      <w:lang w:val="es-C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5437DE"/>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37DE"/>
    <w:rPr>
      <w:rFonts w:ascii="Tahoma" w:hAnsi="Tahoma" w:cs="Tahoma"/>
      <w:sz w:val="16"/>
      <w:szCs w:val="16"/>
      <w:lang w:val="es-CL"/>
    </w:rPr>
  </w:style>
  <w:style w:type="paragraph" w:styleId="Revisin">
    <w:name w:val="Revision"/>
    <w:hidden/>
    <w:uiPriority w:val="99"/>
    <w:semiHidden/>
    <w:rsid w:val="00F03168"/>
    <w:pPr>
      <w:spacing w:after="0" w:line="240" w:lineRule="auto"/>
    </w:pPr>
    <w:rPr>
      <w:lang w:val="es-CL"/>
    </w:rPr>
  </w:style>
  <w:style w:type="character" w:styleId="Refdecomentario">
    <w:name w:val="annotation reference"/>
    <w:basedOn w:val="Fuentedeprrafopredeter"/>
    <w:uiPriority w:val="99"/>
    <w:semiHidden/>
    <w:unhideWhenUsed/>
    <w:rsid w:val="00F91A12"/>
    <w:rPr>
      <w:sz w:val="16"/>
      <w:szCs w:val="16"/>
    </w:rPr>
  </w:style>
  <w:style w:type="paragraph" w:styleId="Textocomentario">
    <w:name w:val="annotation text"/>
    <w:basedOn w:val="Normal"/>
    <w:link w:val="TextocomentarioCar"/>
    <w:uiPriority w:val="99"/>
    <w:semiHidden/>
    <w:unhideWhenUsed/>
    <w:rsid w:val="00F91A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91A12"/>
    <w:rPr>
      <w:sz w:val="20"/>
      <w:szCs w:val="20"/>
      <w:lang w:val="es-CL"/>
    </w:rPr>
  </w:style>
  <w:style w:type="paragraph" w:styleId="Asuntodelcomentario">
    <w:name w:val="annotation subject"/>
    <w:basedOn w:val="Textocomentario"/>
    <w:next w:val="Textocomentario"/>
    <w:link w:val="AsuntodelcomentarioCar"/>
    <w:uiPriority w:val="99"/>
    <w:semiHidden/>
    <w:unhideWhenUsed/>
    <w:rsid w:val="00F91A12"/>
    <w:rPr>
      <w:b/>
      <w:bCs/>
    </w:rPr>
  </w:style>
  <w:style w:type="character" w:customStyle="1" w:styleId="AsuntodelcomentarioCar">
    <w:name w:val="Asunto del comentario Car"/>
    <w:basedOn w:val="TextocomentarioCar"/>
    <w:link w:val="Asuntodelcomentario"/>
    <w:uiPriority w:val="99"/>
    <w:semiHidden/>
    <w:rsid w:val="00F91A12"/>
    <w:rPr>
      <w:b/>
      <w:bCs/>
      <w:sz w:val="20"/>
      <w:szCs w:val="20"/>
      <w:lang w:val="es-CL"/>
    </w:rPr>
  </w:style>
  <w:style w:type="table" w:styleId="Tablaconcuadrcula">
    <w:name w:val="Table Grid"/>
    <w:basedOn w:val="Tablanormal"/>
    <w:uiPriority w:val="59"/>
    <w:rsid w:val="00762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media2-nfasis1">
    <w:name w:val="Medium List 2 Accent 1"/>
    <w:basedOn w:val="Tablanormal"/>
    <w:uiPriority w:val="66"/>
    <w:rsid w:val="00762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Textodelmarcadordeposicin">
    <w:name w:val="Placeholder Text"/>
    <w:basedOn w:val="Fuentedeprrafopredeter"/>
    <w:uiPriority w:val="99"/>
    <w:semiHidden/>
    <w:rsid w:val="00584D53"/>
    <w:rPr>
      <w:color w:val="808080"/>
    </w:rPr>
  </w:style>
  <w:style w:type="table" w:styleId="Sombreadoclaro-nfasis1">
    <w:name w:val="Light Shading Accent 1"/>
    <w:basedOn w:val="Tablanormal"/>
    <w:uiPriority w:val="60"/>
    <w:rsid w:val="00BC0B1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5A4432"/>
    <w:pPr>
      <w:autoSpaceDE w:val="0"/>
      <w:autoSpaceDN w:val="0"/>
      <w:adjustRightInd w:val="0"/>
      <w:spacing w:after="0" w:line="240" w:lineRule="auto"/>
    </w:pPr>
    <w:rPr>
      <w:rFonts w:ascii="Arial" w:hAnsi="Arial" w:cs="Arial"/>
      <w:color w:val="000000"/>
      <w:sz w:val="24"/>
      <w:szCs w:val="24"/>
      <w:lang w:val="es-CL"/>
    </w:rPr>
  </w:style>
  <w:style w:type="table" w:styleId="Listavistosa-nfasis3">
    <w:name w:val="Colorful List Accent 3"/>
    <w:basedOn w:val="Tablanormal"/>
    <w:uiPriority w:val="72"/>
    <w:rsid w:val="005534A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styleId="Textosinformato">
    <w:name w:val="Plain Text"/>
    <w:basedOn w:val="Normal"/>
    <w:link w:val="TextosinformatoCar"/>
    <w:uiPriority w:val="99"/>
    <w:unhideWhenUsed/>
    <w:rsid w:val="00E04695"/>
    <w:pPr>
      <w:spacing w:before="0" w:after="0" w:line="240" w:lineRule="auto"/>
    </w:pPr>
    <w:rPr>
      <w:rFonts w:ascii="Calibri" w:hAnsi="Calibri" w:cs="Times New Roman"/>
    </w:rPr>
  </w:style>
  <w:style w:type="character" w:customStyle="1" w:styleId="TextosinformatoCar">
    <w:name w:val="Texto sin formato Car"/>
    <w:basedOn w:val="Fuentedeprrafopredeter"/>
    <w:link w:val="Textosinformato"/>
    <w:uiPriority w:val="99"/>
    <w:rsid w:val="00E04695"/>
    <w:rPr>
      <w:rFonts w:ascii="Calibri" w:hAnsi="Calibri" w:cs="Times New Roman"/>
      <w:lang w:val="es-CL"/>
    </w:rPr>
  </w:style>
  <w:style w:type="table" w:styleId="Tablaconcuadrcula4-nfasis1">
    <w:name w:val="Grid Table 4 Accent 1"/>
    <w:basedOn w:val="Tablanormal"/>
    <w:uiPriority w:val="49"/>
    <w:rsid w:val="00CC6B4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tulo2Car">
    <w:name w:val="Título 2 Car"/>
    <w:basedOn w:val="Fuentedeprrafopredeter"/>
    <w:link w:val="Ttulo2"/>
    <w:uiPriority w:val="9"/>
    <w:rsid w:val="00810E26"/>
    <w:rPr>
      <w:rFonts w:asciiTheme="majorHAnsi" w:eastAsiaTheme="majorEastAsia" w:hAnsiTheme="majorHAnsi" w:cstheme="majorBidi"/>
      <w:color w:val="365F91" w:themeColor="accent1" w:themeShade="BF"/>
      <w:sz w:val="26"/>
      <w:szCs w:val="26"/>
      <w:lang w:val="es-CL"/>
    </w:rPr>
  </w:style>
  <w:style w:type="table" w:styleId="Tablaconcuadrcula1clara">
    <w:name w:val="Grid Table 1 Light"/>
    <w:basedOn w:val="Tablanormal"/>
    <w:uiPriority w:val="46"/>
    <w:rsid w:val="008E53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fasis">
    <w:name w:val="Emphasis"/>
    <w:basedOn w:val="Fuentedeprrafopredeter"/>
    <w:uiPriority w:val="20"/>
    <w:qFormat/>
    <w:rsid w:val="000641A4"/>
    <w:rPr>
      <w:i/>
      <w:iCs/>
    </w:rPr>
  </w:style>
  <w:style w:type="character" w:customStyle="1" w:styleId="Ttulo1Car">
    <w:name w:val="Título 1 Car"/>
    <w:basedOn w:val="Fuentedeprrafopredeter"/>
    <w:link w:val="Ttulo1"/>
    <w:uiPriority w:val="9"/>
    <w:rsid w:val="00287696"/>
    <w:rPr>
      <w:rFonts w:eastAsiaTheme="majorEastAsia" w:cstheme="majorBidi"/>
      <w:color w:val="365F91" w:themeColor="accent1" w:themeShade="BF"/>
      <w:szCs w:val="32"/>
      <w:lang w:val="es-CL"/>
    </w:rPr>
  </w:style>
  <w:style w:type="character" w:customStyle="1" w:styleId="Ttulo3Car">
    <w:name w:val="Título 3 Car"/>
    <w:basedOn w:val="Fuentedeprrafopredeter"/>
    <w:link w:val="Ttulo3"/>
    <w:uiPriority w:val="9"/>
    <w:rsid w:val="000641A4"/>
    <w:rPr>
      <w:rFonts w:asciiTheme="majorHAnsi" w:eastAsiaTheme="majorEastAsia" w:hAnsiTheme="majorHAnsi" w:cstheme="majorBidi"/>
      <w:color w:val="243F60" w:themeColor="accent1" w:themeShade="7F"/>
      <w:sz w:val="24"/>
      <w:szCs w:val="24"/>
      <w:lang w:val="es-CL"/>
    </w:rPr>
  </w:style>
  <w:style w:type="character" w:customStyle="1" w:styleId="Ttulo4Car">
    <w:name w:val="Título 4 Car"/>
    <w:basedOn w:val="Fuentedeprrafopredeter"/>
    <w:link w:val="Ttulo4"/>
    <w:uiPriority w:val="9"/>
    <w:semiHidden/>
    <w:rsid w:val="000641A4"/>
    <w:rPr>
      <w:rFonts w:asciiTheme="majorHAnsi" w:eastAsiaTheme="majorEastAsia" w:hAnsiTheme="majorHAnsi" w:cstheme="majorBidi"/>
      <w:i/>
      <w:iCs/>
      <w:color w:val="365F91" w:themeColor="accent1" w:themeShade="BF"/>
      <w:lang w:val="es-CL"/>
    </w:rPr>
  </w:style>
  <w:style w:type="character" w:customStyle="1" w:styleId="Ttulo5Car">
    <w:name w:val="Título 5 Car"/>
    <w:basedOn w:val="Fuentedeprrafopredeter"/>
    <w:link w:val="Ttulo5"/>
    <w:uiPriority w:val="9"/>
    <w:semiHidden/>
    <w:rsid w:val="000641A4"/>
    <w:rPr>
      <w:rFonts w:asciiTheme="majorHAnsi" w:eastAsiaTheme="majorEastAsia" w:hAnsiTheme="majorHAnsi" w:cstheme="majorBidi"/>
      <w:color w:val="365F91" w:themeColor="accent1" w:themeShade="BF"/>
      <w:lang w:val="es-CL"/>
    </w:rPr>
  </w:style>
  <w:style w:type="character" w:customStyle="1" w:styleId="Ttulo6Car">
    <w:name w:val="Título 6 Car"/>
    <w:basedOn w:val="Fuentedeprrafopredeter"/>
    <w:link w:val="Ttulo6"/>
    <w:uiPriority w:val="9"/>
    <w:semiHidden/>
    <w:rsid w:val="000641A4"/>
    <w:rPr>
      <w:rFonts w:asciiTheme="majorHAnsi" w:eastAsiaTheme="majorEastAsia" w:hAnsiTheme="majorHAnsi" w:cstheme="majorBidi"/>
      <w:color w:val="243F60" w:themeColor="accent1" w:themeShade="7F"/>
      <w:lang w:val="es-CL"/>
    </w:rPr>
  </w:style>
  <w:style w:type="character" w:customStyle="1" w:styleId="Ttulo7Car">
    <w:name w:val="Título 7 Car"/>
    <w:basedOn w:val="Fuentedeprrafopredeter"/>
    <w:link w:val="Ttulo7"/>
    <w:uiPriority w:val="9"/>
    <w:semiHidden/>
    <w:rsid w:val="000641A4"/>
    <w:rPr>
      <w:rFonts w:asciiTheme="majorHAnsi" w:eastAsiaTheme="majorEastAsia" w:hAnsiTheme="majorHAnsi" w:cstheme="majorBidi"/>
      <w:i/>
      <w:iCs/>
      <w:color w:val="243F60" w:themeColor="accent1" w:themeShade="7F"/>
      <w:lang w:val="es-CL"/>
    </w:rPr>
  </w:style>
  <w:style w:type="character" w:customStyle="1" w:styleId="Ttulo8Car">
    <w:name w:val="Título 8 Car"/>
    <w:basedOn w:val="Fuentedeprrafopredeter"/>
    <w:link w:val="Ttulo8"/>
    <w:uiPriority w:val="9"/>
    <w:semiHidden/>
    <w:rsid w:val="000641A4"/>
    <w:rPr>
      <w:rFonts w:asciiTheme="majorHAnsi" w:eastAsiaTheme="majorEastAsia" w:hAnsiTheme="majorHAnsi" w:cstheme="majorBidi"/>
      <w:color w:val="272727" w:themeColor="text1" w:themeTint="D8"/>
      <w:sz w:val="21"/>
      <w:szCs w:val="21"/>
      <w:lang w:val="es-CL"/>
    </w:rPr>
  </w:style>
  <w:style w:type="character" w:customStyle="1" w:styleId="Ttulo9Car">
    <w:name w:val="Título 9 Car"/>
    <w:basedOn w:val="Fuentedeprrafopredeter"/>
    <w:link w:val="Ttulo9"/>
    <w:uiPriority w:val="9"/>
    <w:semiHidden/>
    <w:rsid w:val="000641A4"/>
    <w:rPr>
      <w:rFonts w:asciiTheme="majorHAnsi" w:eastAsiaTheme="majorEastAsia" w:hAnsiTheme="majorHAnsi" w:cstheme="majorBidi"/>
      <w:i/>
      <w:iCs/>
      <w:color w:val="272727" w:themeColor="text1" w:themeTint="D8"/>
      <w:sz w:val="21"/>
      <w:szCs w:val="21"/>
      <w:lang w:val="es-CL"/>
    </w:rPr>
  </w:style>
  <w:style w:type="table" w:styleId="Tablanormal1">
    <w:name w:val="Plain Table 1"/>
    <w:basedOn w:val="Tablanormal"/>
    <w:uiPriority w:val="41"/>
    <w:rsid w:val="007474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53673">
      <w:bodyDiv w:val="1"/>
      <w:marLeft w:val="0"/>
      <w:marRight w:val="0"/>
      <w:marTop w:val="0"/>
      <w:marBottom w:val="0"/>
      <w:divBdr>
        <w:top w:val="none" w:sz="0" w:space="0" w:color="auto"/>
        <w:left w:val="none" w:sz="0" w:space="0" w:color="auto"/>
        <w:bottom w:val="none" w:sz="0" w:space="0" w:color="auto"/>
        <w:right w:val="none" w:sz="0" w:space="0" w:color="auto"/>
      </w:divBdr>
    </w:div>
    <w:div w:id="63846076">
      <w:bodyDiv w:val="1"/>
      <w:marLeft w:val="0"/>
      <w:marRight w:val="0"/>
      <w:marTop w:val="0"/>
      <w:marBottom w:val="0"/>
      <w:divBdr>
        <w:top w:val="none" w:sz="0" w:space="0" w:color="auto"/>
        <w:left w:val="none" w:sz="0" w:space="0" w:color="auto"/>
        <w:bottom w:val="none" w:sz="0" w:space="0" w:color="auto"/>
        <w:right w:val="none" w:sz="0" w:space="0" w:color="auto"/>
      </w:divBdr>
    </w:div>
    <w:div w:id="129711697">
      <w:bodyDiv w:val="1"/>
      <w:marLeft w:val="0"/>
      <w:marRight w:val="0"/>
      <w:marTop w:val="0"/>
      <w:marBottom w:val="0"/>
      <w:divBdr>
        <w:top w:val="none" w:sz="0" w:space="0" w:color="auto"/>
        <w:left w:val="none" w:sz="0" w:space="0" w:color="auto"/>
        <w:bottom w:val="none" w:sz="0" w:space="0" w:color="auto"/>
        <w:right w:val="none" w:sz="0" w:space="0" w:color="auto"/>
      </w:divBdr>
    </w:div>
    <w:div w:id="241064907">
      <w:bodyDiv w:val="1"/>
      <w:marLeft w:val="0"/>
      <w:marRight w:val="0"/>
      <w:marTop w:val="0"/>
      <w:marBottom w:val="0"/>
      <w:divBdr>
        <w:top w:val="none" w:sz="0" w:space="0" w:color="auto"/>
        <w:left w:val="none" w:sz="0" w:space="0" w:color="auto"/>
        <w:bottom w:val="none" w:sz="0" w:space="0" w:color="auto"/>
        <w:right w:val="none" w:sz="0" w:space="0" w:color="auto"/>
      </w:divBdr>
    </w:div>
    <w:div w:id="254479328">
      <w:bodyDiv w:val="1"/>
      <w:marLeft w:val="0"/>
      <w:marRight w:val="0"/>
      <w:marTop w:val="0"/>
      <w:marBottom w:val="0"/>
      <w:divBdr>
        <w:top w:val="none" w:sz="0" w:space="0" w:color="auto"/>
        <w:left w:val="none" w:sz="0" w:space="0" w:color="auto"/>
        <w:bottom w:val="none" w:sz="0" w:space="0" w:color="auto"/>
        <w:right w:val="none" w:sz="0" w:space="0" w:color="auto"/>
      </w:divBdr>
    </w:div>
    <w:div w:id="271940879">
      <w:bodyDiv w:val="1"/>
      <w:marLeft w:val="0"/>
      <w:marRight w:val="0"/>
      <w:marTop w:val="0"/>
      <w:marBottom w:val="0"/>
      <w:divBdr>
        <w:top w:val="none" w:sz="0" w:space="0" w:color="auto"/>
        <w:left w:val="none" w:sz="0" w:space="0" w:color="auto"/>
        <w:bottom w:val="none" w:sz="0" w:space="0" w:color="auto"/>
        <w:right w:val="none" w:sz="0" w:space="0" w:color="auto"/>
      </w:divBdr>
    </w:div>
    <w:div w:id="311449575">
      <w:bodyDiv w:val="1"/>
      <w:marLeft w:val="0"/>
      <w:marRight w:val="0"/>
      <w:marTop w:val="0"/>
      <w:marBottom w:val="0"/>
      <w:divBdr>
        <w:top w:val="none" w:sz="0" w:space="0" w:color="auto"/>
        <w:left w:val="none" w:sz="0" w:space="0" w:color="auto"/>
        <w:bottom w:val="none" w:sz="0" w:space="0" w:color="auto"/>
        <w:right w:val="none" w:sz="0" w:space="0" w:color="auto"/>
      </w:divBdr>
    </w:div>
    <w:div w:id="327556481">
      <w:bodyDiv w:val="1"/>
      <w:marLeft w:val="0"/>
      <w:marRight w:val="0"/>
      <w:marTop w:val="0"/>
      <w:marBottom w:val="0"/>
      <w:divBdr>
        <w:top w:val="none" w:sz="0" w:space="0" w:color="auto"/>
        <w:left w:val="none" w:sz="0" w:space="0" w:color="auto"/>
        <w:bottom w:val="none" w:sz="0" w:space="0" w:color="auto"/>
        <w:right w:val="none" w:sz="0" w:space="0" w:color="auto"/>
      </w:divBdr>
    </w:div>
    <w:div w:id="349526106">
      <w:bodyDiv w:val="1"/>
      <w:marLeft w:val="0"/>
      <w:marRight w:val="0"/>
      <w:marTop w:val="0"/>
      <w:marBottom w:val="0"/>
      <w:divBdr>
        <w:top w:val="none" w:sz="0" w:space="0" w:color="auto"/>
        <w:left w:val="none" w:sz="0" w:space="0" w:color="auto"/>
        <w:bottom w:val="none" w:sz="0" w:space="0" w:color="auto"/>
        <w:right w:val="none" w:sz="0" w:space="0" w:color="auto"/>
      </w:divBdr>
    </w:div>
    <w:div w:id="355622025">
      <w:bodyDiv w:val="1"/>
      <w:marLeft w:val="0"/>
      <w:marRight w:val="0"/>
      <w:marTop w:val="0"/>
      <w:marBottom w:val="0"/>
      <w:divBdr>
        <w:top w:val="none" w:sz="0" w:space="0" w:color="auto"/>
        <w:left w:val="none" w:sz="0" w:space="0" w:color="auto"/>
        <w:bottom w:val="none" w:sz="0" w:space="0" w:color="auto"/>
        <w:right w:val="none" w:sz="0" w:space="0" w:color="auto"/>
      </w:divBdr>
    </w:div>
    <w:div w:id="357782917">
      <w:bodyDiv w:val="1"/>
      <w:marLeft w:val="0"/>
      <w:marRight w:val="0"/>
      <w:marTop w:val="0"/>
      <w:marBottom w:val="0"/>
      <w:divBdr>
        <w:top w:val="none" w:sz="0" w:space="0" w:color="auto"/>
        <w:left w:val="none" w:sz="0" w:space="0" w:color="auto"/>
        <w:bottom w:val="none" w:sz="0" w:space="0" w:color="auto"/>
        <w:right w:val="none" w:sz="0" w:space="0" w:color="auto"/>
      </w:divBdr>
    </w:div>
    <w:div w:id="375399770">
      <w:bodyDiv w:val="1"/>
      <w:marLeft w:val="0"/>
      <w:marRight w:val="0"/>
      <w:marTop w:val="0"/>
      <w:marBottom w:val="0"/>
      <w:divBdr>
        <w:top w:val="none" w:sz="0" w:space="0" w:color="auto"/>
        <w:left w:val="none" w:sz="0" w:space="0" w:color="auto"/>
        <w:bottom w:val="none" w:sz="0" w:space="0" w:color="auto"/>
        <w:right w:val="none" w:sz="0" w:space="0" w:color="auto"/>
      </w:divBdr>
    </w:div>
    <w:div w:id="386341682">
      <w:bodyDiv w:val="1"/>
      <w:marLeft w:val="0"/>
      <w:marRight w:val="0"/>
      <w:marTop w:val="0"/>
      <w:marBottom w:val="0"/>
      <w:divBdr>
        <w:top w:val="none" w:sz="0" w:space="0" w:color="auto"/>
        <w:left w:val="none" w:sz="0" w:space="0" w:color="auto"/>
        <w:bottom w:val="none" w:sz="0" w:space="0" w:color="auto"/>
        <w:right w:val="none" w:sz="0" w:space="0" w:color="auto"/>
      </w:divBdr>
    </w:div>
    <w:div w:id="389960068">
      <w:bodyDiv w:val="1"/>
      <w:marLeft w:val="0"/>
      <w:marRight w:val="0"/>
      <w:marTop w:val="0"/>
      <w:marBottom w:val="0"/>
      <w:divBdr>
        <w:top w:val="none" w:sz="0" w:space="0" w:color="auto"/>
        <w:left w:val="none" w:sz="0" w:space="0" w:color="auto"/>
        <w:bottom w:val="none" w:sz="0" w:space="0" w:color="auto"/>
        <w:right w:val="none" w:sz="0" w:space="0" w:color="auto"/>
      </w:divBdr>
    </w:div>
    <w:div w:id="398134113">
      <w:bodyDiv w:val="1"/>
      <w:marLeft w:val="0"/>
      <w:marRight w:val="0"/>
      <w:marTop w:val="0"/>
      <w:marBottom w:val="0"/>
      <w:divBdr>
        <w:top w:val="none" w:sz="0" w:space="0" w:color="auto"/>
        <w:left w:val="none" w:sz="0" w:space="0" w:color="auto"/>
        <w:bottom w:val="none" w:sz="0" w:space="0" w:color="auto"/>
        <w:right w:val="none" w:sz="0" w:space="0" w:color="auto"/>
      </w:divBdr>
    </w:div>
    <w:div w:id="461731123">
      <w:bodyDiv w:val="1"/>
      <w:marLeft w:val="0"/>
      <w:marRight w:val="0"/>
      <w:marTop w:val="0"/>
      <w:marBottom w:val="0"/>
      <w:divBdr>
        <w:top w:val="none" w:sz="0" w:space="0" w:color="auto"/>
        <w:left w:val="none" w:sz="0" w:space="0" w:color="auto"/>
        <w:bottom w:val="none" w:sz="0" w:space="0" w:color="auto"/>
        <w:right w:val="none" w:sz="0" w:space="0" w:color="auto"/>
      </w:divBdr>
    </w:div>
    <w:div w:id="558128674">
      <w:bodyDiv w:val="1"/>
      <w:marLeft w:val="0"/>
      <w:marRight w:val="0"/>
      <w:marTop w:val="0"/>
      <w:marBottom w:val="0"/>
      <w:divBdr>
        <w:top w:val="none" w:sz="0" w:space="0" w:color="auto"/>
        <w:left w:val="none" w:sz="0" w:space="0" w:color="auto"/>
        <w:bottom w:val="none" w:sz="0" w:space="0" w:color="auto"/>
        <w:right w:val="none" w:sz="0" w:space="0" w:color="auto"/>
      </w:divBdr>
    </w:div>
    <w:div w:id="693531056">
      <w:bodyDiv w:val="1"/>
      <w:marLeft w:val="0"/>
      <w:marRight w:val="0"/>
      <w:marTop w:val="0"/>
      <w:marBottom w:val="0"/>
      <w:divBdr>
        <w:top w:val="none" w:sz="0" w:space="0" w:color="auto"/>
        <w:left w:val="none" w:sz="0" w:space="0" w:color="auto"/>
        <w:bottom w:val="none" w:sz="0" w:space="0" w:color="auto"/>
        <w:right w:val="none" w:sz="0" w:space="0" w:color="auto"/>
      </w:divBdr>
    </w:div>
    <w:div w:id="757215853">
      <w:bodyDiv w:val="1"/>
      <w:marLeft w:val="0"/>
      <w:marRight w:val="0"/>
      <w:marTop w:val="0"/>
      <w:marBottom w:val="0"/>
      <w:divBdr>
        <w:top w:val="none" w:sz="0" w:space="0" w:color="auto"/>
        <w:left w:val="none" w:sz="0" w:space="0" w:color="auto"/>
        <w:bottom w:val="none" w:sz="0" w:space="0" w:color="auto"/>
        <w:right w:val="none" w:sz="0" w:space="0" w:color="auto"/>
      </w:divBdr>
    </w:div>
    <w:div w:id="805470094">
      <w:bodyDiv w:val="1"/>
      <w:marLeft w:val="0"/>
      <w:marRight w:val="0"/>
      <w:marTop w:val="0"/>
      <w:marBottom w:val="0"/>
      <w:divBdr>
        <w:top w:val="none" w:sz="0" w:space="0" w:color="auto"/>
        <w:left w:val="none" w:sz="0" w:space="0" w:color="auto"/>
        <w:bottom w:val="none" w:sz="0" w:space="0" w:color="auto"/>
        <w:right w:val="none" w:sz="0" w:space="0" w:color="auto"/>
      </w:divBdr>
    </w:div>
    <w:div w:id="900098391">
      <w:bodyDiv w:val="1"/>
      <w:marLeft w:val="0"/>
      <w:marRight w:val="0"/>
      <w:marTop w:val="0"/>
      <w:marBottom w:val="0"/>
      <w:divBdr>
        <w:top w:val="none" w:sz="0" w:space="0" w:color="auto"/>
        <w:left w:val="none" w:sz="0" w:space="0" w:color="auto"/>
        <w:bottom w:val="none" w:sz="0" w:space="0" w:color="auto"/>
        <w:right w:val="none" w:sz="0" w:space="0" w:color="auto"/>
      </w:divBdr>
    </w:div>
    <w:div w:id="1016804819">
      <w:bodyDiv w:val="1"/>
      <w:marLeft w:val="0"/>
      <w:marRight w:val="0"/>
      <w:marTop w:val="0"/>
      <w:marBottom w:val="0"/>
      <w:divBdr>
        <w:top w:val="none" w:sz="0" w:space="0" w:color="auto"/>
        <w:left w:val="none" w:sz="0" w:space="0" w:color="auto"/>
        <w:bottom w:val="none" w:sz="0" w:space="0" w:color="auto"/>
        <w:right w:val="none" w:sz="0" w:space="0" w:color="auto"/>
      </w:divBdr>
    </w:div>
    <w:div w:id="1021709304">
      <w:bodyDiv w:val="1"/>
      <w:marLeft w:val="0"/>
      <w:marRight w:val="0"/>
      <w:marTop w:val="0"/>
      <w:marBottom w:val="0"/>
      <w:divBdr>
        <w:top w:val="none" w:sz="0" w:space="0" w:color="auto"/>
        <w:left w:val="none" w:sz="0" w:space="0" w:color="auto"/>
        <w:bottom w:val="none" w:sz="0" w:space="0" w:color="auto"/>
        <w:right w:val="none" w:sz="0" w:space="0" w:color="auto"/>
      </w:divBdr>
    </w:div>
    <w:div w:id="1030842118">
      <w:bodyDiv w:val="1"/>
      <w:marLeft w:val="0"/>
      <w:marRight w:val="0"/>
      <w:marTop w:val="0"/>
      <w:marBottom w:val="0"/>
      <w:divBdr>
        <w:top w:val="none" w:sz="0" w:space="0" w:color="auto"/>
        <w:left w:val="none" w:sz="0" w:space="0" w:color="auto"/>
        <w:bottom w:val="none" w:sz="0" w:space="0" w:color="auto"/>
        <w:right w:val="none" w:sz="0" w:space="0" w:color="auto"/>
      </w:divBdr>
    </w:div>
    <w:div w:id="1037240296">
      <w:bodyDiv w:val="1"/>
      <w:marLeft w:val="0"/>
      <w:marRight w:val="0"/>
      <w:marTop w:val="0"/>
      <w:marBottom w:val="0"/>
      <w:divBdr>
        <w:top w:val="none" w:sz="0" w:space="0" w:color="auto"/>
        <w:left w:val="none" w:sz="0" w:space="0" w:color="auto"/>
        <w:bottom w:val="none" w:sz="0" w:space="0" w:color="auto"/>
        <w:right w:val="none" w:sz="0" w:space="0" w:color="auto"/>
      </w:divBdr>
    </w:div>
    <w:div w:id="1037437428">
      <w:bodyDiv w:val="1"/>
      <w:marLeft w:val="0"/>
      <w:marRight w:val="0"/>
      <w:marTop w:val="0"/>
      <w:marBottom w:val="0"/>
      <w:divBdr>
        <w:top w:val="none" w:sz="0" w:space="0" w:color="auto"/>
        <w:left w:val="none" w:sz="0" w:space="0" w:color="auto"/>
        <w:bottom w:val="none" w:sz="0" w:space="0" w:color="auto"/>
        <w:right w:val="none" w:sz="0" w:space="0" w:color="auto"/>
      </w:divBdr>
    </w:div>
    <w:div w:id="1105808465">
      <w:bodyDiv w:val="1"/>
      <w:marLeft w:val="0"/>
      <w:marRight w:val="0"/>
      <w:marTop w:val="0"/>
      <w:marBottom w:val="0"/>
      <w:divBdr>
        <w:top w:val="none" w:sz="0" w:space="0" w:color="auto"/>
        <w:left w:val="none" w:sz="0" w:space="0" w:color="auto"/>
        <w:bottom w:val="none" w:sz="0" w:space="0" w:color="auto"/>
        <w:right w:val="none" w:sz="0" w:space="0" w:color="auto"/>
      </w:divBdr>
    </w:div>
    <w:div w:id="1115490223">
      <w:bodyDiv w:val="1"/>
      <w:marLeft w:val="0"/>
      <w:marRight w:val="0"/>
      <w:marTop w:val="0"/>
      <w:marBottom w:val="0"/>
      <w:divBdr>
        <w:top w:val="none" w:sz="0" w:space="0" w:color="auto"/>
        <w:left w:val="none" w:sz="0" w:space="0" w:color="auto"/>
        <w:bottom w:val="none" w:sz="0" w:space="0" w:color="auto"/>
        <w:right w:val="none" w:sz="0" w:space="0" w:color="auto"/>
      </w:divBdr>
    </w:div>
    <w:div w:id="1147623586">
      <w:bodyDiv w:val="1"/>
      <w:marLeft w:val="0"/>
      <w:marRight w:val="0"/>
      <w:marTop w:val="0"/>
      <w:marBottom w:val="0"/>
      <w:divBdr>
        <w:top w:val="none" w:sz="0" w:space="0" w:color="auto"/>
        <w:left w:val="none" w:sz="0" w:space="0" w:color="auto"/>
        <w:bottom w:val="none" w:sz="0" w:space="0" w:color="auto"/>
        <w:right w:val="none" w:sz="0" w:space="0" w:color="auto"/>
      </w:divBdr>
    </w:div>
    <w:div w:id="1203058817">
      <w:bodyDiv w:val="1"/>
      <w:marLeft w:val="0"/>
      <w:marRight w:val="0"/>
      <w:marTop w:val="0"/>
      <w:marBottom w:val="0"/>
      <w:divBdr>
        <w:top w:val="none" w:sz="0" w:space="0" w:color="auto"/>
        <w:left w:val="none" w:sz="0" w:space="0" w:color="auto"/>
        <w:bottom w:val="none" w:sz="0" w:space="0" w:color="auto"/>
        <w:right w:val="none" w:sz="0" w:space="0" w:color="auto"/>
      </w:divBdr>
    </w:div>
    <w:div w:id="1239288233">
      <w:bodyDiv w:val="1"/>
      <w:marLeft w:val="0"/>
      <w:marRight w:val="0"/>
      <w:marTop w:val="0"/>
      <w:marBottom w:val="0"/>
      <w:divBdr>
        <w:top w:val="none" w:sz="0" w:space="0" w:color="auto"/>
        <w:left w:val="none" w:sz="0" w:space="0" w:color="auto"/>
        <w:bottom w:val="none" w:sz="0" w:space="0" w:color="auto"/>
        <w:right w:val="none" w:sz="0" w:space="0" w:color="auto"/>
      </w:divBdr>
    </w:div>
    <w:div w:id="1264652596">
      <w:bodyDiv w:val="1"/>
      <w:marLeft w:val="0"/>
      <w:marRight w:val="0"/>
      <w:marTop w:val="0"/>
      <w:marBottom w:val="0"/>
      <w:divBdr>
        <w:top w:val="none" w:sz="0" w:space="0" w:color="auto"/>
        <w:left w:val="none" w:sz="0" w:space="0" w:color="auto"/>
        <w:bottom w:val="none" w:sz="0" w:space="0" w:color="auto"/>
        <w:right w:val="none" w:sz="0" w:space="0" w:color="auto"/>
      </w:divBdr>
    </w:div>
    <w:div w:id="1269775123">
      <w:bodyDiv w:val="1"/>
      <w:marLeft w:val="0"/>
      <w:marRight w:val="0"/>
      <w:marTop w:val="0"/>
      <w:marBottom w:val="0"/>
      <w:divBdr>
        <w:top w:val="none" w:sz="0" w:space="0" w:color="auto"/>
        <w:left w:val="none" w:sz="0" w:space="0" w:color="auto"/>
        <w:bottom w:val="none" w:sz="0" w:space="0" w:color="auto"/>
        <w:right w:val="none" w:sz="0" w:space="0" w:color="auto"/>
      </w:divBdr>
    </w:div>
    <w:div w:id="1279410270">
      <w:bodyDiv w:val="1"/>
      <w:marLeft w:val="0"/>
      <w:marRight w:val="0"/>
      <w:marTop w:val="0"/>
      <w:marBottom w:val="0"/>
      <w:divBdr>
        <w:top w:val="none" w:sz="0" w:space="0" w:color="auto"/>
        <w:left w:val="none" w:sz="0" w:space="0" w:color="auto"/>
        <w:bottom w:val="none" w:sz="0" w:space="0" w:color="auto"/>
        <w:right w:val="none" w:sz="0" w:space="0" w:color="auto"/>
      </w:divBdr>
    </w:div>
    <w:div w:id="1387221817">
      <w:bodyDiv w:val="1"/>
      <w:marLeft w:val="0"/>
      <w:marRight w:val="0"/>
      <w:marTop w:val="0"/>
      <w:marBottom w:val="0"/>
      <w:divBdr>
        <w:top w:val="none" w:sz="0" w:space="0" w:color="auto"/>
        <w:left w:val="none" w:sz="0" w:space="0" w:color="auto"/>
        <w:bottom w:val="none" w:sz="0" w:space="0" w:color="auto"/>
        <w:right w:val="none" w:sz="0" w:space="0" w:color="auto"/>
      </w:divBdr>
    </w:div>
    <w:div w:id="1388994121">
      <w:bodyDiv w:val="1"/>
      <w:marLeft w:val="0"/>
      <w:marRight w:val="0"/>
      <w:marTop w:val="0"/>
      <w:marBottom w:val="0"/>
      <w:divBdr>
        <w:top w:val="none" w:sz="0" w:space="0" w:color="auto"/>
        <w:left w:val="none" w:sz="0" w:space="0" w:color="auto"/>
        <w:bottom w:val="none" w:sz="0" w:space="0" w:color="auto"/>
        <w:right w:val="none" w:sz="0" w:space="0" w:color="auto"/>
      </w:divBdr>
    </w:div>
    <w:div w:id="1389649322">
      <w:bodyDiv w:val="1"/>
      <w:marLeft w:val="0"/>
      <w:marRight w:val="0"/>
      <w:marTop w:val="0"/>
      <w:marBottom w:val="0"/>
      <w:divBdr>
        <w:top w:val="none" w:sz="0" w:space="0" w:color="auto"/>
        <w:left w:val="none" w:sz="0" w:space="0" w:color="auto"/>
        <w:bottom w:val="none" w:sz="0" w:space="0" w:color="auto"/>
        <w:right w:val="none" w:sz="0" w:space="0" w:color="auto"/>
      </w:divBdr>
    </w:div>
    <w:div w:id="1404909216">
      <w:bodyDiv w:val="1"/>
      <w:marLeft w:val="0"/>
      <w:marRight w:val="0"/>
      <w:marTop w:val="0"/>
      <w:marBottom w:val="0"/>
      <w:divBdr>
        <w:top w:val="none" w:sz="0" w:space="0" w:color="auto"/>
        <w:left w:val="none" w:sz="0" w:space="0" w:color="auto"/>
        <w:bottom w:val="none" w:sz="0" w:space="0" w:color="auto"/>
        <w:right w:val="none" w:sz="0" w:space="0" w:color="auto"/>
      </w:divBdr>
    </w:div>
    <w:div w:id="1414544037">
      <w:bodyDiv w:val="1"/>
      <w:marLeft w:val="0"/>
      <w:marRight w:val="0"/>
      <w:marTop w:val="0"/>
      <w:marBottom w:val="0"/>
      <w:divBdr>
        <w:top w:val="none" w:sz="0" w:space="0" w:color="auto"/>
        <w:left w:val="none" w:sz="0" w:space="0" w:color="auto"/>
        <w:bottom w:val="none" w:sz="0" w:space="0" w:color="auto"/>
        <w:right w:val="none" w:sz="0" w:space="0" w:color="auto"/>
      </w:divBdr>
    </w:div>
    <w:div w:id="1494562485">
      <w:bodyDiv w:val="1"/>
      <w:marLeft w:val="0"/>
      <w:marRight w:val="0"/>
      <w:marTop w:val="0"/>
      <w:marBottom w:val="0"/>
      <w:divBdr>
        <w:top w:val="none" w:sz="0" w:space="0" w:color="auto"/>
        <w:left w:val="none" w:sz="0" w:space="0" w:color="auto"/>
        <w:bottom w:val="none" w:sz="0" w:space="0" w:color="auto"/>
        <w:right w:val="none" w:sz="0" w:space="0" w:color="auto"/>
      </w:divBdr>
    </w:div>
    <w:div w:id="1512796530">
      <w:bodyDiv w:val="1"/>
      <w:marLeft w:val="0"/>
      <w:marRight w:val="0"/>
      <w:marTop w:val="0"/>
      <w:marBottom w:val="0"/>
      <w:divBdr>
        <w:top w:val="none" w:sz="0" w:space="0" w:color="auto"/>
        <w:left w:val="none" w:sz="0" w:space="0" w:color="auto"/>
        <w:bottom w:val="none" w:sz="0" w:space="0" w:color="auto"/>
        <w:right w:val="none" w:sz="0" w:space="0" w:color="auto"/>
      </w:divBdr>
    </w:div>
    <w:div w:id="1516117815">
      <w:bodyDiv w:val="1"/>
      <w:marLeft w:val="0"/>
      <w:marRight w:val="0"/>
      <w:marTop w:val="0"/>
      <w:marBottom w:val="0"/>
      <w:divBdr>
        <w:top w:val="none" w:sz="0" w:space="0" w:color="auto"/>
        <w:left w:val="none" w:sz="0" w:space="0" w:color="auto"/>
        <w:bottom w:val="none" w:sz="0" w:space="0" w:color="auto"/>
        <w:right w:val="none" w:sz="0" w:space="0" w:color="auto"/>
      </w:divBdr>
    </w:div>
    <w:div w:id="1539320435">
      <w:bodyDiv w:val="1"/>
      <w:marLeft w:val="0"/>
      <w:marRight w:val="0"/>
      <w:marTop w:val="0"/>
      <w:marBottom w:val="0"/>
      <w:divBdr>
        <w:top w:val="none" w:sz="0" w:space="0" w:color="auto"/>
        <w:left w:val="none" w:sz="0" w:space="0" w:color="auto"/>
        <w:bottom w:val="none" w:sz="0" w:space="0" w:color="auto"/>
        <w:right w:val="none" w:sz="0" w:space="0" w:color="auto"/>
      </w:divBdr>
    </w:div>
    <w:div w:id="1577284129">
      <w:bodyDiv w:val="1"/>
      <w:marLeft w:val="0"/>
      <w:marRight w:val="0"/>
      <w:marTop w:val="0"/>
      <w:marBottom w:val="0"/>
      <w:divBdr>
        <w:top w:val="none" w:sz="0" w:space="0" w:color="auto"/>
        <w:left w:val="none" w:sz="0" w:space="0" w:color="auto"/>
        <w:bottom w:val="none" w:sz="0" w:space="0" w:color="auto"/>
        <w:right w:val="none" w:sz="0" w:space="0" w:color="auto"/>
      </w:divBdr>
    </w:div>
    <w:div w:id="1739084820">
      <w:bodyDiv w:val="1"/>
      <w:marLeft w:val="0"/>
      <w:marRight w:val="0"/>
      <w:marTop w:val="0"/>
      <w:marBottom w:val="0"/>
      <w:divBdr>
        <w:top w:val="none" w:sz="0" w:space="0" w:color="auto"/>
        <w:left w:val="none" w:sz="0" w:space="0" w:color="auto"/>
        <w:bottom w:val="none" w:sz="0" w:space="0" w:color="auto"/>
        <w:right w:val="none" w:sz="0" w:space="0" w:color="auto"/>
      </w:divBdr>
    </w:div>
    <w:div w:id="1769426533">
      <w:bodyDiv w:val="1"/>
      <w:marLeft w:val="0"/>
      <w:marRight w:val="0"/>
      <w:marTop w:val="0"/>
      <w:marBottom w:val="0"/>
      <w:divBdr>
        <w:top w:val="none" w:sz="0" w:space="0" w:color="auto"/>
        <w:left w:val="none" w:sz="0" w:space="0" w:color="auto"/>
        <w:bottom w:val="none" w:sz="0" w:space="0" w:color="auto"/>
        <w:right w:val="none" w:sz="0" w:space="0" w:color="auto"/>
      </w:divBdr>
    </w:div>
    <w:div w:id="1836071401">
      <w:bodyDiv w:val="1"/>
      <w:marLeft w:val="0"/>
      <w:marRight w:val="0"/>
      <w:marTop w:val="0"/>
      <w:marBottom w:val="0"/>
      <w:divBdr>
        <w:top w:val="none" w:sz="0" w:space="0" w:color="auto"/>
        <w:left w:val="none" w:sz="0" w:space="0" w:color="auto"/>
        <w:bottom w:val="none" w:sz="0" w:space="0" w:color="auto"/>
        <w:right w:val="none" w:sz="0" w:space="0" w:color="auto"/>
      </w:divBdr>
    </w:div>
    <w:div w:id="1925456831">
      <w:bodyDiv w:val="1"/>
      <w:marLeft w:val="0"/>
      <w:marRight w:val="0"/>
      <w:marTop w:val="0"/>
      <w:marBottom w:val="0"/>
      <w:divBdr>
        <w:top w:val="none" w:sz="0" w:space="0" w:color="auto"/>
        <w:left w:val="none" w:sz="0" w:space="0" w:color="auto"/>
        <w:bottom w:val="none" w:sz="0" w:space="0" w:color="auto"/>
        <w:right w:val="none" w:sz="0" w:space="0" w:color="auto"/>
      </w:divBdr>
    </w:div>
    <w:div w:id="1928418421">
      <w:bodyDiv w:val="1"/>
      <w:marLeft w:val="0"/>
      <w:marRight w:val="0"/>
      <w:marTop w:val="0"/>
      <w:marBottom w:val="0"/>
      <w:divBdr>
        <w:top w:val="none" w:sz="0" w:space="0" w:color="auto"/>
        <w:left w:val="none" w:sz="0" w:space="0" w:color="auto"/>
        <w:bottom w:val="none" w:sz="0" w:space="0" w:color="auto"/>
        <w:right w:val="none" w:sz="0" w:space="0" w:color="auto"/>
      </w:divBdr>
    </w:div>
    <w:div w:id="2024093167">
      <w:bodyDiv w:val="1"/>
      <w:marLeft w:val="0"/>
      <w:marRight w:val="0"/>
      <w:marTop w:val="0"/>
      <w:marBottom w:val="0"/>
      <w:divBdr>
        <w:top w:val="none" w:sz="0" w:space="0" w:color="auto"/>
        <w:left w:val="none" w:sz="0" w:space="0" w:color="auto"/>
        <w:bottom w:val="none" w:sz="0" w:space="0" w:color="auto"/>
        <w:right w:val="none" w:sz="0" w:space="0" w:color="auto"/>
      </w:divBdr>
    </w:div>
    <w:div w:id="2028630705">
      <w:bodyDiv w:val="1"/>
      <w:marLeft w:val="0"/>
      <w:marRight w:val="0"/>
      <w:marTop w:val="0"/>
      <w:marBottom w:val="0"/>
      <w:divBdr>
        <w:top w:val="none" w:sz="0" w:space="0" w:color="auto"/>
        <w:left w:val="none" w:sz="0" w:space="0" w:color="auto"/>
        <w:bottom w:val="none" w:sz="0" w:space="0" w:color="auto"/>
        <w:right w:val="none" w:sz="0" w:space="0" w:color="auto"/>
      </w:divBdr>
    </w:div>
    <w:div w:id="207874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9A5B4-26BC-4A10-B088-D063F264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4705</TotalTime>
  <Pages>5</Pages>
  <Words>2025</Words>
  <Characters>11142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Binaria</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CGE</dc:creator>
  <cp:lastModifiedBy>CGE</cp:lastModifiedBy>
  <cp:revision>284</cp:revision>
  <cp:lastPrinted>2013-05-31T20:49:00Z</cp:lastPrinted>
  <dcterms:created xsi:type="dcterms:W3CDTF">2016-11-23T19:40:00Z</dcterms:created>
  <dcterms:modified xsi:type="dcterms:W3CDTF">2020-10-28T21:10:00Z</dcterms:modified>
</cp:coreProperties>
</file>