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4A364" w14:textId="294DF15B" w:rsidR="00852402" w:rsidRDefault="00C1418F" w:rsidP="00852402">
      <w:pPr>
        <w:spacing w:after="0"/>
        <w:jc w:val="right"/>
        <w:rPr>
          <w:b/>
          <w:lang w:val="es-ES"/>
        </w:rPr>
      </w:pPr>
      <w:r>
        <w:rPr>
          <w:b/>
          <w:lang w:val="es-ES"/>
        </w:rPr>
        <w:t xml:space="preserve">Valparaíso, </w:t>
      </w:r>
      <w:r w:rsidR="00DC2204">
        <w:rPr>
          <w:b/>
          <w:lang w:val="es-ES"/>
        </w:rPr>
        <w:t>04</w:t>
      </w:r>
      <w:r w:rsidR="00852402">
        <w:rPr>
          <w:b/>
          <w:lang w:val="es-ES"/>
        </w:rPr>
        <w:t xml:space="preserve"> </w:t>
      </w:r>
      <w:r>
        <w:rPr>
          <w:b/>
          <w:lang w:val="es-ES"/>
        </w:rPr>
        <w:t>de</w:t>
      </w:r>
      <w:r w:rsidR="00F118A6">
        <w:rPr>
          <w:b/>
          <w:lang w:val="es-ES"/>
        </w:rPr>
        <w:t xml:space="preserve"> </w:t>
      </w:r>
      <w:r w:rsidR="00DC2204">
        <w:rPr>
          <w:b/>
          <w:lang w:val="es-ES"/>
        </w:rPr>
        <w:t xml:space="preserve">noviembre </w:t>
      </w:r>
      <w:r w:rsidR="00852402">
        <w:rPr>
          <w:b/>
          <w:lang w:val="es-ES"/>
        </w:rPr>
        <w:t>2020</w:t>
      </w:r>
    </w:p>
    <w:p w14:paraId="0F0CE515" w14:textId="77777777" w:rsidR="00F12415" w:rsidRDefault="00F12415" w:rsidP="009D0D3E">
      <w:pPr>
        <w:spacing w:after="0"/>
        <w:rPr>
          <w:b/>
          <w:lang w:val="es-ES"/>
        </w:rPr>
      </w:pPr>
    </w:p>
    <w:p w14:paraId="7CBD217B" w14:textId="256A86E0" w:rsidR="00C1418F" w:rsidRDefault="00C1418F" w:rsidP="009D0D3E">
      <w:pPr>
        <w:spacing w:after="0"/>
        <w:rPr>
          <w:lang w:val="es-ES"/>
        </w:rPr>
      </w:pPr>
      <w:r>
        <w:rPr>
          <w:b/>
          <w:lang w:val="es-ES"/>
        </w:rPr>
        <w:t xml:space="preserve">Asunto: </w:t>
      </w:r>
      <w:r w:rsidRPr="00C1418F">
        <w:rPr>
          <w:lang w:val="es-ES"/>
        </w:rPr>
        <w:t xml:space="preserve">Observaciones </w:t>
      </w:r>
      <w:r w:rsidR="00F6222A">
        <w:rPr>
          <w:lang w:val="es-ES"/>
        </w:rPr>
        <w:t>–</w:t>
      </w:r>
      <w:r w:rsidRPr="00C1418F">
        <w:rPr>
          <w:lang w:val="es-ES"/>
        </w:rPr>
        <w:t xml:space="preserve"> </w:t>
      </w:r>
      <w:r w:rsidR="00F6222A">
        <w:rPr>
          <w:lang w:val="es-ES"/>
        </w:rPr>
        <w:t xml:space="preserve">CNE OF. ORD. </w:t>
      </w:r>
      <w:r w:rsidR="00DC2204">
        <w:rPr>
          <w:lang w:val="es-ES"/>
        </w:rPr>
        <w:t>802 -</w:t>
      </w:r>
      <w:r w:rsidR="00852402">
        <w:rPr>
          <w:lang w:val="es-ES"/>
        </w:rPr>
        <w:t xml:space="preserve"> ITP PNP </w:t>
      </w:r>
      <w:r w:rsidR="00DC2204">
        <w:rPr>
          <w:lang w:val="es-ES"/>
        </w:rPr>
        <w:t>enero</w:t>
      </w:r>
      <w:r w:rsidR="00852402">
        <w:rPr>
          <w:lang w:val="es-ES"/>
        </w:rPr>
        <w:t xml:space="preserve"> 202</w:t>
      </w:r>
      <w:r w:rsidR="00F118A6">
        <w:rPr>
          <w:lang w:val="es-ES"/>
        </w:rPr>
        <w:t>1</w:t>
      </w:r>
    </w:p>
    <w:p w14:paraId="7EBA5721" w14:textId="77777777" w:rsidR="00852402" w:rsidRDefault="00852402" w:rsidP="009D0D3E">
      <w:pPr>
        <w:spacing w:after="0"/>
        <w:rPr>
          <w:b/>
          <w:lang w:val="es-ES"/>
        </w:rPr>
      </w:pPr>
    </w:p>
    <w:p w14:paraId="4DAD791C" w14:textId="77777777" w:rsidR="00C1418F" w:rsidRDefault="000E5BE9" w:rsidP="009D0D3E">
      <w:pPr>
        <w:spacing w:after="0"/>
        <w:rPr>
          <w:b/>
          <w:lang w:val="es-ES"/>
        </w:rPr>
      </w:pPr>
      <w:r>
        <w:rPr>
          <w:b/>
          <w:lang w:val="es-ES"/>
        </w:rPr>
        <w:t>Comisión Nacional de Energía</w:t>
      </w:r>
    </w:p>
    <w:p w14:paraId="130C0536" w14:textId="77777777" w:rsidR="00EE02C6" w:rsidRPr="006A28CE" w:rsidRDefault="00EE02C6" w:rsidP="009D0D3E">
      <w:pPr>
        <w:spacing w:after="0"/>
        <w:rPr>
          <w:lang w:val="es-ES"/>
        </w:rPr>
      </w:pPr>
    </w:p>
    <w:p w14:paraId="4F309A85" w14:textId="77777777" w:rsidR="00C1418F" w:rsidRDefault="00C1418F" w:rsidP="00C1418F">
      <w:pPr>
        <w:spacing w:after="0"/>
        <w:jc w:val="both"/>
        <w:rPr>
          <w:lang w:val="es-ES"/>
        </w:rPr>
      </w:pPr>
      <w:r>
        <w:rPr>
          <w:lang w:val="es-ES"/>
        </w:rPr>
        <w:t xml:space="preserve">Señores </w:t>
      </w:r>
      <w:r w:rsidR="00F6222A">
        <w:rPr>
          <w:lang w:val="es-ES"/>
        </w:rPr>
        <w:t>Comisión Nacional de Energía</w:t>
      </w:r>
      <w:r>
        <w:rPr>
          <w:lang w:val="es-ES"/>
        </w:rPr>
        <w:t>, mediante la presente</w:t>
      </w:r>
      <w:r w:rsidR="00F12415">
        <w:rPr>
          <w:lang w:val="es-ES"/>
        </w:rPr>
        <w:t>,</w:t>
      </w:r>
      <w:r>
        <w:rPr>
          <w:lang w:val="es-ES"/>
        </w:rPr>
        <w:t xml:space="preserve"> </w:t>
      </w:r>
      <w:r w:rsidR="009078F6">
        <w:rPr>
          <w:lang w:val="es-ES"/>
        </w:rPr>
        <w:t xml:space="preserve">el </w:t>
      </w:r>
      <w:r>
        <w:rPr>
          <w:lang w:val="es-ES"/>
        </w:rPr>
        <w:t xml:space="preserve">grupo de empresas Chilquinta </w:t>
      </w:r>
      <w:r w:rsidR="00150437">
        <w:rPr>
          <w:lang w:val="es-ES"/>
        </w:rPr>
        <w:t>envía</w:t>
      </w:r>
      <w:r w:rsidR="00F6222A">
        <w:rPr>
          <w:lang w:val="es-ES"/>
        </w:rPr>
        <w:t xml:space="preserve"> sus observaciones al </w:t>
      </w:r>
      <w:r w:rsidR="00F6222A" w:rsidRPr="00F6222A">
        <w:rPr>
          <w:lang w:val="es-ES"/>
        </w:rPr>
        <w:t xml:space="preserve">Informe Técnico </w:t>
      </w:r>
      <w:r w:rsidR="00F6222A">
        <w:rPr>
          <w:lang w:val="es-ES"/>
        </w:rPr>
        <w:t xml:space="preserve">Preliminar </w:t>
      </w:r>
      <w:r w:rsidR="00F6222A" w:rsidRPr="00F6222A">
        <w:rPr>
          <w:lang w:val="es-ES"/>
        </w:rPr>
        <w:t xml:space="preserve">para la Fijación de Precios de Nudo Promedio del Sistema Eléctrico Nacional y </w:t>
      </w:r>
      <w:r w:rsidR="00852402">
        <w:rPr>
          <w:lang w:val="es-ES"/>
        </w:rPr>
        <w:t>del factor de ajuste a que se refiere el numeral 3. del artículo 1° de la Ley N°21.185</w:t>
      </w:r>
    </w:p>
    <w:p w14:paraId="16A4B91C" w14:textId="77777777" w:rsidR="00EE02C6" w:rsidRPr="00C1418F" w:rsidRDefault="00EE02C6" w:rsidP="00C1418F">
      <w:pPr>
        <w:spacing w:after="0"/>
        <w:jc w:val="both"/>
        <w:rPr>
          <w:lang w:val="es-ES"/>
        </w:rPr>
      </w:pPr>
    </w:p>
    <w:p w14:paraId="485E2403" w14:textId="1378B3DE" w:rsidR="00F12415" w:rsidRDefault="00DC2204" w:rsidP="00852402">
      <w:pPr>
        <w:pStyle w:val="Prrafodelista"/>
        <w:numPr>
          <w:ilvl w:val="0"/>
          <w:numId w:val="3"/>
        </w:numPr>
        <w:spacing w:after="0"/>
        <w:rPr>
          <w:b/>
          <w:lang w:val="es-ES"/>
        </w:rPr>
      </w:pPr>
      <w:r>
        <w:rPr>
          <w:b/>
          <w:lang w:val="es-ES"/>
        </w:rPr>
        <w:t>041_EfactTablas_2101_V1</w:t>
      </w:r>
    </w:p>
    <w:p w14:paraId="1899014D" w14:textId="77777777" w:rsidR="009C604F" w:rsidRDefault="009C604F" w:rsidP="009C604F">
      <w:pPr>
        <w:pStyle w:val="Prrafodelista"/>
        <w:spacing w:after="0"/>
        <w:ind w:left="360"/>
        <w:rPr>
          <w:b/>
          <w:lang w:val="es-ES"/>
        </w:rPr>
      </w:pPr>
    </w:p>
    <w:p w14:paraId="7DCBF1C5" w14:textId="2169C69D" w:rsidR="00DC2204" w:rsidRDefault="00DC2204" w:rsidP="00E9085C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 xml:space="preserve">2_Perdida </w:t>
      </w:r>
    </w:p>
    <w:p w14:paraId="71F543DB" w14:textId="551CD73F" w:rsidR="00E9085C" w:rsidRPr="009C604F" w:rsidRDefault="00E9085C" w:rsidP="00E9085C">
      <w:pPr>
        <w:pStyle w:val="Prrafodelista"/>
        <w:spacing w:after="0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Descripción:</w:t>
      </w:r>
    </w:p>
    <w:p w14:paraId="7113B9E7" w14:textId="3647C85B" w:rsidR="00E9085C" w:rsidRDefault="00E9085C" w:rsidP="00E9085C">
      <w:pPr>
        <w:pStyle w:val="Prrafodelista"/>
        <w:spacing w:after="0"/>
        <w:jc w:val="both"/>
        <w:rPr>
          <w:lang w:val="es-ES"/>
        </w:rPr>
      </w:pPr>
      <w:r w:rsidRPr="00E9085C">
        <w:rPr>
          <w:lang w:val="es-ES"/>
        </w:rPr>
        <w:t>El Coordinador informa</w:t>
      </w:r>
      <w:r w:rsidR="001912A0" w:rsidRPr="00E9085C">
        <w:rPr>
          <w:lang w:val="es-ES"/>
        </w:rPr>
        <w:t xml:space="preserve"> las Pérdidas de Energía y Potencia en sistemas de</w:t>
      </w:r>
      <w:r w:rsidRPr="00E9085C">
        <w:rPr>
          <w:lang w:val="es-ES"/>
        </w:rPr>
        <w:t xml:space="preserve"> transmisión zonales a través de una carta. Este documento es enviado mensualmente a las empresas de Generación, Transmisión y Distribución</w:t>
      </w:r>
      <w:r w:rsidR="00844472">
        <w:rPr>
          <w:lang w:val="es-ES"/>
        </w:rPr>
        <w:t xml:space="preserve">, el cual </w:t>
      </w:r>
      <w:r>
        <w:rPr>
          <w:lang w:val="es-ES"/>
        </w:rPr>
        <w:t xml:space="preserve">detalla los factores por sistema, </w:t>
      </w:r>
      <w:r w:rsidR="000A3561">
        <w:rPr>
          <w:lang w:val="es-ES"/>
        </w:rPr>
        <w:t xml:space="preserve">cuyos valores </w:t>
      </w:r>
      <w:r>
        <w:rPr>
          <w:lang w:val="es-ES"/>
        </w:rPr>
        <w:t>poseen 5 decimales. Además, se indica la ubicación de los antecedentes y cálculos que permiten reproducir los factores.</w:t>
      </w:r>
    </w:p>
    <w:p w14:paraId="4BD93CFF" w14:textId="16F4309C" w:rsidR="00E9085C" w:rsidRPr="009C604F" w:rsidRDefault="00E9085C" w:rsidP="00E9085C">
      <w:pPr>
        <w:pStyle w:val="Prrafodelista"/>
        <w:spacing w:after="0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2A198997" w14:textId="00360380" w:rsidR="00E9085C" w:rsidRDefault="00E825C7" w:rsidP="00E9085C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Se solicita que se utilicen</w:t>
      </w:r>
      <w:r w:rsidR="00E9085C">
        <w:rPr>
          <w:lang w:val="es-ES"/>
        </w:rPr>
        <w:t xml:space="preserve"> los valores oficiales </w:t>
      </w:r>
      <w:r w:rsidR="00AB3D74">
        <w:rPr>
          <w:lang w:val="es-ES"/>
        </w:rPr>
        <w:t xml:space="preserve">contenidos </w:t>
      </w:r>
      <w:r w:rsidR="00E9085C">
        <w:rPr>
          <w:lang w:val="es-ES"/>
        </w:rPr>
        <w:t xml:space="preserve">en la carta </w:t>
      </w:r>
      <w:r>
        <w:rPr>
          <w:lang w:val="es-ES"/>
        </w:rPr>
        <w:t>mencionada, por tanto</w:t>
      </w:r>
      <w:r w:rsidR="00556CFB">
        <w:rPr>
          <w:lang w:val="es-ES"/>
        </w:rPr>
        <w:t>,</w:t>
      </w:r>
      <w:r>
        <w:rPr>
          <w:lang w:val="es-ES"/>
        </w:rPr>
        <w:t xml:space="preserve"> </w:t>
      </w:r>
      <w:r w:rsidR="00556CFB">
        <w:rPr>
          <w:lang w:val="es-ES"/>
        </w:rPr>
        <w:t xml:space="preserve">cifras con </w:t>
      </w:r>
      <w:r>
        <w:rPr>
          <w:lang w:val="es-ES"/>
        </w:rPr>
        <w:t>5 decimales.</w:t>
      </w:r>
    </w:p>
    <w:p w14:paraId="5127DD29" w14:textId="38C5B2AB" w:rsidR="009C604F" w:rsidRDefault="009C604F" w:rsidP="009C604F">
      <w:pPr>
        <w:pStyle w:val="Prrafodelista"/>
        <w:spacing w:after="0"/>
        <w:ind w:left="1080"/>
        <w:jc w:val="both"/>
        <w:rPr>
          <w:b/>
          <w:lang w:val="es-ES"/>
        </w:rPr>
      </w:pPr>
    </w:p>
    <w:p w14:paraId="038528E3" w14:textId="430AB989" w:rsidR="009C604F" w:rsidRDefault="009C604F" w:rsidP="009C604F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>6_FactorReferenciación</w:t>
      </w:r>
    </w:p>
    <w:p w14:paraId="267E4D6E" w14:textId="77777777" w:rsidR="009C604F" w:rsidRPr="009C604F" w:rsidRDefault="009C604F" w:rsidP="009C604F">
      <w:pPr>
        <w:pStyle w:val="Prrafodelista"/>
        <w:spacing w:after="0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Descripción:</w:t>
      </w:r>
    </w:p>
    <w:p w14:paraId="66EE1A9C" w14:textId="33D0848B" w:rsidR="000A3561" w:rsidRDefault="009C604F" w:rsidP="009C604F">
      <w:pPr>
        <w:pStyle w:val="Prrafodelista"/>
        <w:spacing w:after="0"/>
        <w:jc w:val="both"/>
        <w:rPr>
          <w:lang w:val="es-ES"/>
        </w:rPr>
      </w:pPr>
      <w:r w:rsidRPr="00E9085C">
        <w:rPr>
          <w:lang w:val="es-ES"/>
        </w:rPr>
        <w:t xml:space="preserve">El Coordinador </w:t>
      </w:r>
      <w:r w:rsidR="000A3561">
        <w:rPr>
          <w:lang w:val="es-ES"/>
        </w:rPr>
        <w:t xml:space="preserve">emite </w:t>
      </w:r>
      <w:r>
        <w:rPr>
          <w:lang w:val="es-ES"/>
        </w:rPr>
        <w:t xml:space="preserve">semestralmente el Informe con la Metodología y Determinación de Factores de la Demanda y Factores esperados de pérdida de energía y potencia por armonización tarifaria. </w:t>
      </w:r>
    </w:p>
    <w:p w14:paraId="7E9FC6EF" w14:textId="3330F156" w:rsidR="00E037D1" w:rsidRDefault="000A3561" w:rsidP="009C604F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 xml:space="preserve">En </w:t>
      </w:r>
      <w:r w:rsidR="00983740">
        <w:rPr>
          <w:lang w:val="es-ES"/>
        </w:rPr>
        <w:t>este</w:t>
      </w:r>
      <w:r>
        <w:rPr>
          <w:lang w:val="es-ES"/>
        </w:rPr>
        <w:t xml:space="preserve"> documento</w:t>
      </w:r>
      <w:r w:rsidR="00B61989">
        <w:rPr>
          <w:lang w:val="es-ES"/>
        </w:rPr>
        <w:t xml:space="preserve">, </w:t>
      </w:r>
      <w:r w:rsidR="00E037D1">
        <w:rPr>
          <w:lang w:val="es-ES"/>
        </w:rPr>
        <w:t xml:space="preserve">se muestran los resultados por sistema de transmisión zonal, </w:t>
      </w:r>
      <w:r>
        <w:rPr>
          <w:lang w:val="es-ES"/>
        </w:rPr>
        <w:t>presentados a través de</w:t>
      </w:r>
      <w:r w:rsidR="00E037D1">
        <w:rPr>
          <w:lang w:val="es-ES"/>
        </w:rPr>
        <w:t xml:space="preserve"> tablas matriciales</w:t>
      </w:r>
      <w:r>
        <w:rPr>
          <w:lang w:val="es-ES"/>
        </w:rPr>
        <w:t>, las cuales</w:t>
      </w:r>
      <w:r w:rsidR="00E037D1">
        <w:rPr>
          <w:lang w:val="es-ES"/>
        </w:rPr>
        <w:t xml:space="preserve"> </w:t>
      </w:r>
      <w:r w:rsidR="00556CFB">
        <w:rPr>
          <w:lang w:val="es-ES"/>
        </w:rPr>
        <w:t xml:space="preserve">se presentan con </w:t>
      </w:r>
      <w:r w:rsidR="00E037D1">
        <w:rPr>
          <w:lang w:val="es-ES"/>
        </w:rPr>
        <w:t>5 decimales.</w:t>
      </w:r>
    </w:p>
    <w:p w14:paraId="09E427CF" w14:textId="4D02C72C" w:rsidR="009C604F" w:rsidRPr="009C604F" w:rsidRDefault="009C604F" w:rsidP="009C604F">
      <w:pPr>
        <w:pStyle w:val="Prrafodelista"/>
        <w:spacing w:after="0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5817EED5" w14:textId="3C78A40A" w:rsidR="00E037D1" w:rsidRPr="00E037D1" w:rsidRDefault="009C604F" w:rsidP="00E037D1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 xml:space="preserve">Entendiendo </w:t>
      </w:r>
      <w:r w:rsidR="000A3561">
        <w:rPr>
          <w:lang w:val="es-ES"/>
        </w:rPr>
        <w:t>que</w:t>
      </w:r>
      <w:r>
        <w:rPr>
          <w:lang w:val="es-ES"/>
        </w:rPr>
        <w:t xml:space="preserve"> los valores oficiales </w:t>
      </w:r>
      <w:r w:rsidR="00E037D1">
        <w:rPr>
          <w:lang w:val="es-ES"/>
        </w:rPr>
        <w:t xml:space="preserve">vienen en el informe </w:t>
      </w:r>
      <w:r>
        <w:rPr>
          <w:lang w:val="es-ES"/>
        </w:rPr>
        <w:t xml:space="preserve">y </w:t>
      </w:r>
      <w:r w:rsidR="00983740">
        <w:rPr>
          <w:lang w:val="es-ES"/>
        </w:rPr>
        <w:t xml:space="preserve">que </w:t>
      </w:r>
      <w:r w:rsidR="00556CFB">
        <w:rPr>
          <w:lang w:val="es-ES"/>
        </w:rPr>
        <w:t xml:space="preserve">estos </w:t>
      </w:r>
      <w:r>
        <w:rPr>
          <w:lang w:val="es-ES"/>
        </w:rPr>
        <w:t xml:space="preserve">factores </w:t>
      </w:r>
      <w:r w:rsidR="00556CFB">
        <w:rPr>
          <w:lang w:val="es-ES"/>
        </w:rPr>
        <w:t xml:space="preserve">tienen </w:t>
      </w:r>
      <w:r>
        <w:rPr>
          <w:lang w:val="es-ES"/>
        </w:rPr>
        <w:t xml:space="preserve">5 decimales, se solicita que se utilicen </w:t>
      </w:r>
      <w:r w:rsidR="00556CFB">
        <w:rPr>
          <w:lang w:val="es-ES"/>
        </w:rPr>
        <w:t xml:space="preserve">los </w:t>
      </w:r>
      <w:r>
        <w:rPr>
          <w:lang w:val="es-ES"/>
        </w:rPr>
        <w:t>valores</w:t>
      </w:r>
      <w:r w:rsidR="00556CFB">
        <w:rPr>
          <w:lang w:val="es-ES"/>
        </w:rPr>
        <w:t xml:space="preserve"> con la misma precisión (5 decimales)</w:t>
      </w:r>
      <w:r>
        <w:rPr>
          <w:lang w:val="es-ES"/>
        </w:rPr>
        <w:t xml:space="preserve"> para los cálculos dentro del PNP.</w:t>
      </w:r>
    </w:p>
    <w:p w14:paraId="092D4CF7" w14:textId="77777777" w:rsidR="00E037D1" w:rsidRDefault="00E037D1" w:rsidP="00E037D1">
      <w:pPr>
        <w:pStyle w:val="Prrafodelista"/>
        <w:spacing w:after="0"/>
        <w:ind w:left="1080"/>
        <w:jc w:val="both"/>
        <w:rPr>
          <w:lang w:val="es-ES"/>
        </w:rPr>
      </w:pPr>
    </w:p>
    <w:p w14:paraId="204EB827" w14:textId="6FEB18A0" w:rsidR="00E037D1" w:rsidRDefault="00E037D1" w:rsidP="00E037D1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>8_Estabilización</w:t>
      </w:r>
    </w:p>
    <w:p w14:paraId="06FB76D4" w14:textId="291C970E" w:rsidR="00E037D1" w:rsidRDefault="00E037D1" w:rsidP="00E037D1">
      <w:pPr>
        <w:pStyle w:val="Prrafodelista"/>
        <w:spacing w:after="0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Descripción:</w:t>
      </w:r>
    </w:p>
    <w:p w14:paraId="662460B4" w14:textId="77777777" w:rsidR="008048FF" w:rsidRDefault="00E037D1" w:rsidP="008048FF">
      <w:pPr>
        <w:pStyle w:val="Prrafodelista"/>
        <w:spacing w:after="0"/>
        <w:jc w:val="both"/>
        <w:rPr>
          <w:lang w:val="es-ES"/>
        </w:rPr>
      </w:pPr>
      <w:r w:rsidRPr="008048FF">
        <w:rPr>
          <w:lang w:val="es-ES"/>
        </w:rPr>
        <w:t xml:space="preserve">En este punto se observa respecto al Dólar Estabilización y </w:t>
      </w:r>
      <w:r w:rsidR="008048FF">
        <w:rPr>
          <w:lang w:val="es-ES"/>
        </w:rPr>
        <w:t>al factor de ajuste.</w:t>
      </w:r>
    </w:p>
    <w:p w14:paraId="54F56F98" w14:textId="3FFC1939" w:rsidR="00BC45BE" w:rsidRDefault="008048FF" w:rsidP="008048FF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Primeramente, respecto al “Dólar</w:t>
      </w:r>
      <w:r w:rsidR="00E037D1" w:rsidRPr="008048FF">
        <w:rPr>
          <w:lang w:val="es-ES"/>
        </w:rPr>
        <w:t>Estabilización</w:t>
      </w:r>
      <w:r>
        <w:rPr>
          <w:lang w:val="es-ES"/>
        </w:rPr>
        <w:t>”</w:t>
      </w:r>
      <w:r w:rsidR="00E037D1" w:rsidRPr="008048FF">
        <w:rPr>
          <w:lang w:val="es-ES"/>
        </w:rPr>
        <w:t>, se observa que corresponde al Dólar pro</w:t>
      </w:r>
      <w:r w:rsidR="00BC45BE">
        <w:rPr>
          <w:lang w:val="es-ES"/>
        </w:rPr>
        <w:t>medio del mes (definitivo).</w:t>
      </w:r>
    </w:p>
    <w:p w14:paraId="3781A3E1" w14:textId="7B39F4D0" w:rsidR="00E037D1" w:rsidRDefault="00E037D1" w:rsidP="008048FF">
      <w:pPr>
        <w:pStyle w:val="Prrafodelista"/>
        <w:spacing w:after="0"/>
        <w:jc w:val="both"/>
        <w:rPr>
          <w:lang w:val="es-ES"/>
        </w:rPr>
      </w:pPr>
      <w:r w:rsidRPr="008048FF">
        <w:rPr>
          <w:lang w:val="es-ES"/>
        </w:rPr>
        <w:t xml:space="preserve">Estimamos </w:t>
      </w:r>
      <w:r w:rsidR="000A3561" w:rsidRPr="008048FF">
        <w:rPr>
          <w:lang w:val="es-ES"/>
        </w:rPr>
        <w:t>qu</w:t>
      </w:r>
      <w:r w:rsidR="000A3561">
        <w:rPr>
          <w:lang w:val="es-ES"/>
        </w:rPr>
        <w:t>e</w:t>
      </w:r>
      <w:r w:rsidR="000A3561" w:rsidRPr="008048FF">
        <w:rPr>
          <w:lang w:val="es-ES"/>
        </w:rPr>
        <w:t xml:space="preserve"> </w:t>
      </w:r>
      <w:r w:rsidRPr="008048FF">
        <w:rPr>
          <w:lang w:val="es-ES"/>
        </w:rPr>
        <w:t xml:space="preserve">la definición de “Dólar Estabilización” debería </w:t>
      </w:r>
      <w:r w:rsidR="00BC45BE">
        <w:rPr>
          <w:lang w:val="es-ES"/>
        </w:rPr>
        <w:t>ser “Dólar</w:t>
      </w:r>
      <w:r w:rsidRPr="008048FF">
        <w:rPr>
          <w:lang w:val="es-ES"/>
        </w:rPr>
        <w:t>Definitivo</w:t>
      </w:r>
      <w:r w:rsidR="00E825C7">
        <w:rPr>
          <w:lang w:val="es-ES"/>
        </w:rPr>
        <w:t xml:space="preserve"> P</w:t>
      </w:r>
      <w:r w:rsidR="00BC45BE">
        <w:rPr>
          <w:lang w:val="es-ES"/>
        </w:rPr>
        <w:t>romedio</w:t>
      </w:r>
      <w:r w:rsidR="00FD23A1">
        <w:rPr>
          <w:lang w:val="es-ES"/>
        </w:rPr>
        <w:t>M</w:t>
      </w:r>
      <w:r w:rsidR="008048FF">
        <w:rPr>
          <w:lang w:val="es-ES"/>
        </w:rPr>
        <w:t>es</w:t>
      </w:r>
      <w:r w:rsidRPr="008048FF">
        <w:rPr>
          <w:lang w:val="es-ES"/>
        </w:rPr>
        <w:t>”</w:t>
      </w:r>
      <w:r w:rsidR="008048FF">
        <w:rPr>
          <w:lang w:val="es-ES"/>
        </w:rPr>
        <w:t xml:space="preserve">, ya que la denominación actual podría confundir. </w:t>
      </w:r>
      <w:r w:rsidR="008048FF" w:rsidRPr="008048FF">
        <w:rPr>
          <w:lang w:val="es-ES"/>
        </w:rPr>
        <w:t>Además,</w:t>
      </w:r>
      <w:r w:rsidRPr="008048FF">
        <w:rPr>
          <w:lang w:val="es-ES"/>
        </w:rPr>
        <w:t xml:space="preserve"> en este mismo punto, </w:t>
      </w:r>
      <w:r w:rsidR="008048FF">
        <w:rPr>
          <w:lang w:val="es-ES"/>
        </w:rPr>
        <w:t xml:space="preserve">indicar que </w:t>
      </w:r>
      <w:r w:rsidRPr="008048FF">
        <w:rPr>
          <w:lang w:val="es-ES"/>
        </w:rPr>
        <w:t xml:space="preserve">el dólar </w:t>
      </w:r>
      <w:r w:rsidR="00556CFB">
        <w:rPr>
          <w:lang w:val="es-ES"/>
        </w:rPr>
        <w:t xml:space="preserve">promedio </w:t>
      </w:r>
      <w:r w:rsidRPr="008048FF">
        <w:rPr>
          <w:lang w:val="es-ES"/>
        </w:rPr>
        <w:t xml:space="preserve">oficialmente </w:t>
      </w:r>
      <w:r w:rsidR="00556CFB">
        <w:rPr>
          <w:lang w:val="es-ES"/>
        </w:rPr>
        <w:t>se presenta con</w:t>
      </w:r>
      <w:r w:rsidR="00556CFB" w:rsidRPr="008048FF">
        <w:rPr>
          <w:lang w:val="es-ES"/>
        </w:rPr>
        <w:t xml:space="preserve"> </w:t>
      </w:r>
      <w:r w:rsidRPr="008048FF">
        <w:rPr>
          <w:lang w:val="es-ES"/>
        </w:rPr>
        <w:t xml:space="preserve">2 decimales y </w:t>
      </w:r>
      <w:r w:rsidRPr="008048FF">
        <w:rPr>
          <w:lang w:val="es-ES"/>
        </w:rPr>
        <w:lastRenderedPageBreak/>
        <w:t>es así como es fijado diariamente, por cuanto para ser consistente con su propia fijación es que debería utilizarse</w:t>
      </w:r>
      <w:r w:rsidR="00556CFB">
        <w:rPr>
          <w:lang w:val="es-ES"/>
        </w:rPr>
        <w:t xml:space="preserve"> con</w:t>
      </w:r>
      <w:r w:rsidRPr="008048FF">
        <w:rPr>
          <w:lang w:val="es-ES"/>
        </w:rPr>
        <w:t xml:space="preserve"> 2 decimales.</w:t>
      </w:r>
    </w:p>
    <w:p w14:paraId="5291C05A" w14:textId="10BCE05B" w:rsidR="008048FF" w:rsidRPr="008048FF" w:rsidRDefault="008048FF" w:rsidP="008048FF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Finalmente, respecto al “FactorAjusteE” y “FactorAjusteP” este debería tener 3 decimales en razón de su publicación en el Diario Oficial.</w:t>
      </w:r>
    </w:p>
    <w:p w14:paraId="48DBC156" w14:textId="6779676D" w:rsidR="00E037D1" w:rsidRPr="00E037D1" w:rsidRDefault="00E037D1" w:rsidP="00E037D1">
      <w:pPr>
        <w:pStyle w:val="Prrafodelista"/>
        <w:spacing w:after="0"/>
        <w:rPr>
          <w:b/>
          <w:lang w:val="es-ES"/>
        </w:rPr>
      </w:pPr>
      <w:r>
        <w:rPr>
          <w:b/>
          <w:lang w:val="es-ES"/>
        </w:rPr>
        <w:t xml:space="preserve"> </w:t>
      </w:r>
    </w:p>
    <w:p w14:paraId="083E49CF" w14:textId="77777777" w:rsidR="00E037D1" w:rsidRPr="009C604F" w:rsidRDefault="00E037D1" w:rsidP="00E037D1">
      <w:pPr>
        <w:pStyle w:val="Prrafodelista"/>
        <w:spacing w:after="0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58A249BD" w14:textId="4263C6B9" w:rsidR="00E037D1" w:rsidRDefault="008048FF" w:rsidP="00E037D1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Por cuanto se solicita:</w:t>
      </w:r>
    </w:p>
    <w:p w14:paraId="035CEE61" w14:textId="4F512BA6" w:rsidR="00E037D1" w:rsidRDefault="008048FF" w:rsidP="004143A5">
      <w:pPr>
        <w:pStyle w:val="Prrafodelista"/>
        <w:numPr>
          <w:ilvl w:val="0"/>
          <w:numId w:val="5"/>
        </w:numPr>
        <w:spacing w:after="0"/>
        <w:jc w:val="both"/>
        <w:rPr>
          <w:lang w:val="es-ES"/>
        </w:rPr>
      </w:pPr>
      <w:r w:rsidRPr="008048FF">
        <w:rPr>
          <w:lang w:val="es-ES"/>
        </w:rPr>
        <w:t>Cambiar la denominación de “DólarEstabilizacion” a “</w:t>
      </w:r>
      <w:r>
        <w:rPr>
          <w:lang w:val="es-ES"/>
        </w:rPr>
        <w:t>Dólar DefinitivoPromedioMes”.</w:t>
      </w:r>
    </w:p>
    <w:p w14:paraId="641CE65C" w14:textId="5F14F316" w:rsidR="008048FF" w:rsidRDefault="008048FF" w:rsidP="004143A5">
      <w:pPr>
        <w:pStyle w:val="Prrafodelista"/>
        <w:numPr>
          <w:ilvl w:val="0"/>
          <w:numId w:val="5"/>
        </w:numPr>
        <w:spacing w:after="0"/>
        <w:jc w:val="both"/>
        <w:rPr>
          <w:lang w:val="es-ES"/>
        </w:rPr>
      </w:pPr>
      <w:r>
        <w:rPr>
          <w:lang w:val="es-ES"/>
        </w:rPr>
        <w:t>Utilizar 2 decimales para el dólar</w:t>
      </w:r>
      <w:r w:rsidR="00556CFB">
        <w:rPr>
          <w:lang w:val="es-ES"/>
        </w:rPr>
        <w:t xml:space="preserve"> promedio mensual</w:t>
      </w:r>
      <w:r w:rsidR="000A3561">
        <w:rPr>
          <w:lang w:val="es-ES"/>
        </w:rPr>
        <w:t>.</w:t>
      </w:r>
    </w:p>
    <w:p w14:paraId="6C335689" w14:textId="4C790A34" w:rsidR="008048FF" w:rsidRDefault="008048FF" w:rsidP="004143A5">
      <w:pPr>
        <w:pStyle w:val="Prrafodelista"/>
        <w:numPr>
          <w:ilvl w:val="0"/>
          <w:numId w:val="5"/>
        </w:numPr>
        <w:spacing w:after="0"/>
        <w:jc w:val="both"/>
        <w:rPr>
          <w:lang w:val="es-ES"/>
        </w:rPr>
      </w:pPr>
      <w:r>
        <w:rPr>
          <w:lang w:val="es-ES"/>
        </w:rPr>
        <w:t xml:space="preserve">Utilizar </w:t>
      </w:r>
      <w:r w:rsidR="00030EE1">
        <w:rPr>
          <w:lang w:val="es-ES"/>
        </w:rPr>
        <w:t>3 decimales para los factores de ajuste de Energía y Potencia.</w:t>
      </w:r>
    </w:p>
    <w:p w14:paraId="5A8941DC" w14:textId="77777777" w:rsidR="00030EE1" w:rsidRPr="00030EE1" w:rsidRDefault="00030EE1" w:rsidP="00030EE1">
      <w:pPr>
        <w:spacing w:after="0"/>
        <w:jc w:val="both"/>
        <w:rPr>
          <w:lang w:val="es-ES"/>
        </w:rPr>
      </w:pPr>
    </w:p>
    <w:p w14:paraId="458CB52E" w14:textId="59441C04" w:rsidR="00030EE1" w:rsidRDefault="00030EE1" w:rsidP="00030EE1">
      <w:pPr>
        <w:pStyle w:val="Prrafodelista"/>
        <w:numPr>
          <w:ilvl w:val="0"/>
          <w:numId w:val="3"/>
        </w:numPr>
        <w:spacing w:after="0"/>
        <w:rPr>
          <w:b/>
          <w:lang w:val="es-ES"/>
        </w:rPr>
      </w:pPr>
      <w:r>
        <w:rPr>
          <w:b/>
          <w:lang w:val="es-ES"/>
        </w:rPr>
        <w:t>042_RecaudaciónDetalle_2101_V1</w:t>
      </w:r>
    </w:p>
    <w:p w14:paraId="420F7DFA" w14:textId="77777777" w:rsidR="00030EE1" w:rsidRDefault="00030EE1" w:rsidP="00030EE1">
      <w:pPr>
        <w:pStyle w:val="Prrafodelista"/>
        <w:spacing w:after="0"/>
        <w:ind w:left="360"/>
        <w:rPr>
          <w:b/>
          <w:lang w:val="es-ES"/>
        </w:rPr>
      </w:pPr>
    </w:p>
    <w:p w14:paraId="6760B89C" w14:textId="5F8D9825" w:rsidR="00030EE1" w:rsidRDefault="00030EE1" w:rsidP="00030EE1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 xml:space="preserve">EfactPNP </w:t>
      </w:r>
    </w:p>
    <w:p w14:paraId="04971BE2" w14:textId="77777777" w:rsidR="00030EE1" w:rsidRPr="009C604F" w:rsidRDefault="00030EE1" w:rsidP="00030EE1">
      <w:pPr>
        <w:pStyle w:val="Prrafodelista"/>
        <w:spacing w:after="0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Descripción:</w:t>
      </w:r>
    </w:p>
    <w:p w14:paraId="433C70C4" w14:textId="61BE3A93" w:rsidR="00BC45BE" w:rsidRDefault="000A3561" w:rsidP="00BC45BE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Estimamos que l</w:t>
      </w:r>
      <w:r w:rsidR="00BC45BE">
        <w:rPr>
          <w:lang w:val="es-ES"/>
        </w:rPr>
        <w:t>a denominación de “Versión No Estabilizada” y “Versión Estabilizada” podría ser más precisa.  Si ponemos como ejemplo el filtro “Versión</w:t>
      </w:r>
      <w:r w:rsidR="00881719">
        <w:rPr>
          <w:lang w:val="es-ES"/>
        </w:rPr>
        <w:t xml:space="preserve"> No</w:t>
      </w:r>
      <w:r w:rsidR="00BC45BE">
        <w:rPr>
          <w:lang w:val="es-ES"/>
        </w:rPr>
        <w:t xml:space="preserve"> Estabilizada” (columna AP), el dólar que aparece en la columna AK es el “DólarEstabilización</w:t>
      </w:r>
      <w:r w:rsidR="00881719">
        <w:rPr>
          <w:lang w:val="es-ES"/>
        </w:rPr>
        <w:t xml:space="preserve">”, </w:t>
      </w:r>
      <w:r w:rsidR="007D5668">
        <w:rPr>
          <w:lang w:val="es-ES"/>
        </w:rPr>
        <w:t xml:space="preserve">lo cual genera inconsistencias al </w:t>
      </w:r>
      <w:r w:rsidR="00881719">
        <w:rPr>
          <w:lang w:val="es-ES"/>
        </w:rPr>
        <w:t>tener el dólar estabilizado en la versión no estabilizada.</w:t>
      </w:r>
    </w:p>
    <w:p w14:paraId="7991BB64" w14:textId="7454E28D" w:rsidR="00BC45BE" w:rsidRDefault="00BC45BE" w:rsidP="00BC45BE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En el formato anterior</w:t>
      </w:r>
      <w:r w:rsidR="00881719">
        <w:rPr>
          <w:lang w:val="es-ES"/>
        </w:rPr>
        <w:t xml:space="preserve"> de EfactDx, </w:t>
      </w:r>
      <w:r>
        <w:rPr>
          <w:lang w:val="es-ES"/>
        </w:rPr>
        <w:t xml:space="preserve">la “Versión Estabilizada” se indicaba como “Contratos PNP”, entendiendo que los parámetros </w:t>
      </w:r>
      <w:r w:rsidR="00CD264E">
        <w:rPr>
          <w:lang w:val="es-ES"/>
        </w:rPr>
        <w:t xml:space="preserve">utilizados en su cálculo </w:t>
      </w:r>
      <w:r w:rsidR="00D56C15">
        <w:rPr>
          <w:lang w:val="es-ES"/>
        </w:rPr>
        <w:t xml:space="preserve">son </w:t>
      </w:r>
      <w:r w:rsidR="00CD264E">
        <w:rPr>
          <w:lang w:val="es-ES"/>
        </w:rPr>
        <w:t xml:space="preserve">a los </w:t>
      </w:r>
      <w:r>
        <w:rPr>
          <w:lang w:val="es-ES"/>
        </w:rPr>
        <w:t xml:space="preserve">del PNP </w:t>
      </w:r>
      <w:r w:rsidR="00D56C15">
        <w:rPr>
          <w:lang w:val="es-ES"/>
        </w:rPr>
        <w:t>del periodo correspondiente.</w:t>
      </w:r>
      <w:bookmarkStart w:id="0" w:name="_GoBack"/>
      <w:bookmarkEnd w:id="0"/>
    </w:p>
    <w:p w14:paraId="04BBE8BA" w14:textId="77777777" w:rsidR="00BC45BE" w:rsidRPr="00BC45BE" w:rsidRDefault="00BC45BE" w:rsidP="00BC45BE">
      <w:pPr>
        <w:pStyle w:val="Prrafodelista"/>
        <w:spacing w:after="0"/>
        <w:jc w:val="both"/>
        <w:rPr>
          <w:lang w:val="es-ES"/>
        </w:rPr>
      </w:pPr>
    </w:p>
    <w:p w14:paraId="75D31980" w14:textId="77777777" w:rsidR="00030EE1" w:rsidRPr="009C604F" w:rsidRDefault="00030EE1" w:rsidP="00030EE1">
      <w:pPr>
        <w:pStyle w:val="Prrafodelista"/>
        <w:spacing w:after="0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40C8F796" w14:textId="5DFC3F3F" w:rsidR="00030EE1" w:rsidRDefault="00BC45BE" w:rsidP="00BC45BE">
      <w:pPr>
        <w:spacing w:after="0"/>
        <w:jc w:val="both"/>
        <w:rPr>
          <w:lang w:val="es-ES"/>
        </w:rPr>
      </w:pPr>
      <w:r>
        <w:rPr>
          <w:b/>
          <w:lang w:val="es-ES"/>
        </w:rPr>
        <w:tab/>
      </w:r>
      <w:r w:rsidRPr="00881719">
        <w:rPr>
          <w:lang w:val="es-ES"/>
        </w:rPr>
        <w:t xml:space="preserve">Se solicita </w:t>
      </w:r>
      <w:r w:rsidR="00881719" w:rsidRPr="00881719">
        <w:rPr>
          <w:lang w:val="es-ES"/>
        </w:rPr>
        <w:t>utilizar las siguientes denominaciones:</w:t>
      </w:r>
    </w:p>
    <w:p w14:paraId="311345C7" w14:textId="70C41E32" w:rsidR="00881719" w:rsidRDefault="00881719" w:rsidP="00881719">
      <w:pPr>
        <w:pStyle w:val="Prrafodelista"/>
        <w:numPr>
          <w:ilvl w:val="2"/>
          <w:numId w:val="3"/>
        </w:numPr>
        <w:spacing w:after="0"/>
        <w:jc w:val="both"/>
        <w:rPr>
          <w:lang w:val="es-ES"/>
        </w:rPr>
      </w:pPr>
      <w:r>
        <w:rPr>
          <w:lang w:val="es-ES"/>
        </w:rPr>
        <w:t xml:space="preserve">“Versión No Estabilizada” como “Versión </w:t>
      </w:r>
      <w:r w:rsidR="00152800">
        <w:rPr>
          <w:lang w:val="es-ES"/>
        </w:rPr>
        <w:t xml:space="preserve">Contratos </w:t>
      </w:r>
      <w:r>
        <w:rPr>
          <w:lang w:val="es-ES"/>
        </w:rPr>
        <w:t>Definitiva”</w:t>
      </w:r>
    </w:p>
    <w:p w14:paraId="5BD47452" w14:textId="378758E4" w:rsidR="00881719" w:rsidRPr="00881719" w:rsidRDefault="00881719" w:rsidP="00881719">
      <w:pPr>
        <w:pStyle w:val="Prrafodelista"/>
        <w:numPr>
          <w:ilvl w:val="2"/>
          <w:numId w:val="3"/>
        </w:numPr>
        <w:spacing w:after="0"/>
        <w:jc w:val="both"/>
        <w:rPr>
          <w:lang w:val="es-ES"/>
        </w:rPr>
      </w:pPr>
      <w:r>
        <w:rPr>
          <w:lang w:val="es-ES"/>
        </w:rPr>
        <w:t xml:space="preserve">“Versión Estabilizada” como “Versión </w:t>
      </w:r>
      <w:r w:rsidR="00152800">
        <w:rPr>
          <w:lang w:val="es-ES"/>
        </w:rPr>
        <w:t>Contratos</w:t>
      </w:r>
      <w:r>
        <w:rPr>
          <w:lang w:val="es-ES"/>
        </w:rPr>
        <w:t xml:space="preserve"> PNP”</w:t>
      </w:r>
    </w:p>
    <w:p w14:paraId="5E9873CF" w14:textId="77777777" w:rsidR="00852402" w:rsidRPr="00852402" w:rsidRDefault="00852402" w:rsidP="00852402">
      <w:pPr>
        <w:pStyle w:val="Prrafodelista"/>
        <w:spacing w:after="0"/>
        <w:rPr>
          <w:b/>
          <w:lang w:val="es-ES"/>
        </w:rPr>
      </w:pPr>
    </w:p>
    <w:p w14:paraId="771AA8FA" w14:textId="19890A5D" w:rsidR="00881719" w:rsidRDefault="00881719" w:rsidP="00881719">
      <w:pPr>
        <w:pStyle w:val="Prrafodelista"/>
        <w:numPr>
          <w:ilvl w:val="0"/>
          <w:numId w:val="3"/>
        </w:numPr>
        <w:spacing w:after="0"/>
        <w:rPr>
          <w:b/>
          <w:lang w:val="es-ES"/>
        </w:rPr>
      </w:pPr>
      <w:r>
        <w:rPr>
          <w:b/>
          <w:lang w:val="es-ES"/>
        </w:rPr>
        <w:t>043_SaldoEfact_2101_V1</w:t>
      </w:r>
    </w:p>
    <w:p w14:paraId="54D17176" w14:textId="77777777" w:rsidR="00881719" w:rsidRDefault="00881719" w:rsidP="00881719">
      <w:pPr>
        <w:pStyle w:val="Prrafodelista"/>
        <w:spacing w:after="0"/>
        <w:ind w:left="360"/>
        <w:rPr>
          <w:b/>
          <w:lang w:val="es-ES"/>
        </w:rPr>
      </w:pPr>
    </w:p>
    <w:p w14:paraId="01FA926A" w14:textId="49A55D3D" w:rsidR="00881719" w:rsidRDefault="00881719" w:rsidP="00881719">
      <w:pPr>
        <w:pStyle w:val="Prrafodelista"/>
        <w:numPr>
          <w:ilvl w:val="1"/>
          <w:numId w:val="3"/>
        </w:numPr>
        <w:spacing w:after="0"/>
        <w:ind w:left="720"/>
        <w:rPr>
          <w:b/>
          <w:lang w:val="es-ES"/>
        </w:rPr>
      </w:pPr>
      <w:r>
        <w:rPr>
          <w:b/>
          <w:lang w:val="es-ES"/>
        </w:rPr>
        <w:t>Resultado Estabilización</w:t>
      </w:r>
    </w:p>
    <w:p w14:paraId="04CF981F" w14:textId="77777777" w:rsidR="00881719" w:rsidRPr="009C604F" w:rsidRDefault="00881719" w:rsidP="00881719">
      <w:pPr>
        <w:pStyle w:val="Prrafodelista"/>
        <w:spacing w:after="0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Descripción:</w:t>
      </w:r>
    </w:p>
    <w:p w14:paraId="7911728D" w14:textId="0F9F0783" w:rsidR="00881719" w:rsidRDefault="00E5670A" w:rsidP="00881719">
      <w:pPr>
        <w:pStyle w:val="Prrafodelista"/>
        <w:spacing w:after="0"/>
        <w:jc w:val="both"/>
        <w:rPr>
          <w:lang w:val="es-ES"/>
        </w:rPr>
      </w:pPr>
      <w:r>
        <w:rPr>
          <w:lang w:val="es-ES"/>
        </w:rPr>
        <w:t>Durante la vigencia del Mecanismo de Estabilización</w:t>
      </w:r>
      <w:r w:rsidR="007D5668">
        <w:rPr>
          <w:lang w:val="es-ES"/>
        </w:rPr>
        <w:t>,</w:t>
      </w:r>
      <w:r>
        <w:rPr>
          <w:lang w:val="es-ES"/>
        </w:rPr>
        <w:t xml:space="preserve"> las Distribuidoras debe</w:t>
      </w:r>
      <w:r w:rsidR="00152800">
        <w:rPr>
          <w:lang w:val="es-ES"/>
        </w:rPr>
        <w:t xml:space="preserve">n pagar a sus suministradores sus respectivos contratos </w:t>
      </w:r>
      <w:r w:rsidR="007D5668">
        <w:rPr>
          <w:lang w:val="es-ES"/>
        </w:rPr>
        <w:t xml:space="preserve">aplicando </w:t>
      </w:r>
      <w:r w:rsidR="00152800">
        <w:rPr>
          <w:lang w:val="es-ES"/>
        </w:rPr>
        <w:t xml:space="preserve">criterios del PNP vigente </w:t>
      </w:r>
      <w:r w:rsidR="007D5668">
        <w:rPr>
          <w:lang w:val="es-ES"/>
        </w:rPr>
        <w:t>y</w:t>
      </w:r>
      <w:r w:rsidR="00152800">
        <w:rPr>
          <w:lang w:val="es-ES"/>
        </w:rPr>
        <w:t xml:space="preserve"> factor</w:t>
      </w:r>
      <w:r w:rsidR="007D5668">
        <w:rPr>
          <w:lang w:val="es-ES"/>
        </w:rPr>
        <w:t>es</w:t>
      </w:r>
      <w:r w:rsidR="00152800">
        <w:rPr>
          <w:lang w:val="es-ES"/>
        </w:rPr>
        <w:t xml:space="preserve"> de estabilización. Est</w:t>
      </w:r>
      <w:r w:rsidR="007D5668">
        <w:rPr>
          <w:lang w:val="es-ES"/>
        </w:rPr>
        <w:t>a</w:t>
      </w:r>
      <w:r w:rsidR="00152800">
        <w:rPr>
          <w:lang w:val="es-ES"/>
        </w:rPr>
        <w:t xml:space="preserve"> </w:t>
      </w:r>
      <w:r w:rsidR="007D5668">
        <w:rPr>
          <w:lang w:val="es-ES"/>
        </w:rPr>
        <w:t xml:space="preserve">definición </w:t>
      </w:r>
      <w:r w:rsidR="00152800">
        <w:rPr>
          <w:lang w:val="es-ES"/>
        </w:rPr>
        <w:t xml:space="preserve">es muy relevante para las empresas distribuidoras, por tanto, sería positivo poder </w:t>
      </w:r>
      <w:r w:rsidR="007D5668">
        <w:rPr>
          <w:lang w:val="es-ES"/>
        </w:rPr>
        <w:t>identificarlo</w:t>
      </w:r>
      <w:r w:rsidR="00152800">
        <w:rPr>
          <w:lang w:val="es-ES"/>
        </w:rPr>
        <w:t xml:space="preserve"> en una columna, ya que en estos momentos solo se ve el diferencial que va al Saldo Suministradora (Contratos Definitivos – Contratos PNP *Factor de Estabilización).</w:t>
      </w:r>
    </w:p>
    <w:p w14:paraId="1001AA75" w14:textId="77777777" w:rsidR="00152800" w:rsidRPr="00152800" w:rsidRDefault="00152800" w:rsidP="00152800">
      <w:pPr>
        <w:spacing w:after="0"/>
        <w:jc w:val="both"/>
        <w:rPr>
          <w:lang w:val="es-ES"/>
        </w:rPr>
      </w:pPr>
    </w:p>
    <w:p w14:paraId="2D6484FC" w14:textId="77777777" w:rsidR="00881719" w:rsidRPr="009C604F" w:rsidRDefault="00881719" w:rsidP="00881719">
      <w:pPr>
        <w:pStyle w:val="Prrafodelista"/>
        <w:spacing w:after="0"/>
        <w:jc w:val="both"/>
        <w:rPr>
          <w:b/>
          <w:u w:val="single"/>
          <w:lang w:val="es-ES"/>
        </w:rPr>
      </w:pPr>
      <w:r w:rsidRPr="009C604F">
        <w:rPr>
          <w:b/>
          <w:u w:val="single"/>
          <w:lang w:val="es-ES"/>
        </w:rPr>
        <w:t>Solicitud:</w:t>
      </w:r>
    </w:p>
    <w:p w14:paraId="1F8B952F" w14:textId="607F8164" w:rsidR="00881719" w:rsidRPr="00881719" w:rsidRDefault="00152800" w:rsidP="00152800">
      <w:pPr>
        <w:spacing w:after="0"/>
        <w:ind w:left="708" w:firstLine="2"/>
        <w:jc w:val="both"/>
        <w:rPr>
          <w:lang w:val="es-ES"/>
        </w:rPr>
      </w:pPr>
      <w:r>
        <w:rPr>
          <w:lang w:val="es-ES"/>
        </w:rPr>
        <w:t>Se solicita incorporar una columna con los valores de Contratos PNP * Factor de Estabilización.</w:t>
      </w:r>
    </w:p>
    <w:p w14:paraId="1B8653C9" w14:textId="77777777" w:rsidR="00021C22" w:rsidRDefault="00021C22" w:rsidP="003F08C9">
      <w:pPr>
        <w:spacing w:after="0"/>
        <w:jc w:val="both"/>
        <w:rPr>
          <w:b/>
          <w:u w:val="single"/>
          <w:lang w:val="es-ES"/>
        </w:rPr>
      </w:pPr>
    </w:p>
    <w:sectPr w:rsidR="00021C22" w:rsidSect="00AE3764">
      <w:headerReference w:type="default" r:id="rId8"/>
      <w:pgSz w:w="11906" w:h="16838"/>
      <w:pgMar w:top="929" w:right="1701" w:bottom="1417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DAC859" w16cid:durableId="234BD78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CAD2D" w14:textId="77777777" w:rsidR="00C3789B" w:rsidRDefault="00C3789B" w:rsidP="009D0D3E">
      <w:pPr>
        <w:spacing w:after="0" w:line="240" w:lineRule="auto"/>
      </w:pPr>
      <w:r>
        <w:separator/>
      </w:r>
    </w:p>
  </w:endnote>
  <w:endnote w:type="continuationSeparator" w:id="0">
    <w:p w14:paraId="2FA48362" w14:textId="77777777" w:rsidR="00C3789B" w:rsidRDefault="00C3789B" w:rsidP="009D0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4E5E9" w14:textId="77777777" w:rsidR="00C3789B" w:rsidRDefault="00C3789B" w:rsidP="009D0D3E">
      <w:pPr>
        <w:spacing w:after="0" w:line="240" w:lineRule="auto"/>
      </w:pPr>
      <w:r>
        <w:separator/>
      </w:r>
    </w:p>
  </w:footnote>
  <w:footnote w:type="continuationSeparator" w:id="0">
    <w:p w14:paraId="6D7DB550" w14:textId="77777777" w:rsidR="00C3789B" w:rsidRDefault="00C3789B" w:rsidP="009D0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44"/>
      <w:gridCol w:w="6663"/>
    </w:tblGrid>
    <w:tr w:rsidR="00AE3764" w14:paraId="6B398711" w14:textId="77777777" w:rsidTr="00AE3764">
      <w:trPr>
        <w:trHeight w:val="845"/>
      </w:trPr>
      <w:tc>
        <w:tcPr>
          <w:tcW w:w="3544" w:type="dxa"/>
          <w:vAlign w:val="center"/>
        </w:tcPr>
        <w:p w14:paraId="439F0205" w14:textId="77777777" w:rsidR="00AE3764" w:rsidRPr="00BC5F37" w:rsidRDefault="00AE3764" w:rsidP="00D1698A">
          <w:pPr>
            <w:spacing w:after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es-CL"/>
            </w:rPr>
            <w:drawing>
              <wp:anchor distT="0" distB="0" distL="114300" distR="114300" simplePos="0" relativeHeight="251658240" behindDoc="1" locked="0" layoutInCell="1" allowOverlap="1" wp14:anchorId="401241F5" wp14:editId="17791D10">
                <wp:simplePos x="0" y="0"/>
                <wp:positionH relativeFrom="column">
                  <wp:posOffset>15009</wp:posOffset>
                </wp:positionH>
                <wp:positionV relativeFrom="paragraph">
                  <wp:posOffset>1270</wp:posOffset>
                </wp:positionV>
                <wp:extent cx="2083435" cy="524510"/>
                <wp:effectExtent l="0" t="0" r="0" b="8890"/>
                <wp:wrapNone/>
                <wp:docPr id="1" name="Imagen 1" descr="Chilquin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hilquin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007" t="27187" r="6827" b="3026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343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63" w:type="dxa"/>
          <w:vAlign w:val="center"/>
        </w:tcPr>
        <w:p w14:paraId="461D4053" w14:textId="77777777" w:rsidR="00AE3764" w:rsidRPr="00BC5F37" w:rsidRDefault="00AE3764" w:rsidP="00D1698A">
          <w:pPr>
            <w:spacing w:after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GRUPO DE EMPRESAS CHILQUINTA</w:t>
          </w:r>
        </w:p>
      </w:tc>
    </w:tr>
  </w:tbl>
  <w:p w14:paraId="18FF8BFE" w14:textId="77777777" w:rsidR="009D0D3E" w:rsidRPr="00AE3764" w:rsidRDefault="009D0D3E" w:rsidP="00AE376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551B"/>
    <w:multiLevelType w:val="hybridMultilevel"/>
    <w:tmpl w:val="550ACCA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265631"/>
    <w:multiLevelType w:val="hybridMultilevel"/>
    <w:tmpl w:val="A7A27246"/>
    <w:lvl w:ilvl="0" w:tplc="34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14101CD"/>
    <w:multiLevelType w:val="hybridMultilevel"/>
    <w:tmpl w:val="6CF221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52216E"/>
    <w:multiLevelType w:val="hybridMultilevel"/>
    <w:tmpl w:val="A48878A0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13C00002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340A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B2875A2"/>
    <w:multiLevelType w:val="hybridMultilevel"/>
    <w:tmpl w:val="3C142B7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73"/>
    <w:rsid w:val="00001EE5"/>
    <w:rsid w:val="0000339B"/>
    <w:rsid w:val="00021C22"/>
    <w:rsid w:val="00030EE1"/>
    <w:rsid w:val="00091D0F"/>
    <w:rsid w:val="00096A0B"/>
    <w:rsid w:val="000A1A10"/>
    <w:rsid w:val="000A276F"/>
    <w:rsid w:val="000A3561"/>
    <w:rsid w:val="000A6525"/>
    <w:rsid w:val="000E5BE9"/>
    <w:rsid w:val="000E6F2E"/>
    <w:rsid w:val="0010322F"/>
    <w:rsid w:val="0010367D"/>
    <w:rsid w:val="0011182E"/>
    <w:rsid w:val="0011349E"/>
    <w:rsid w:val="001243D0"/>
    <w:rsid w:val="00131D04"/>
    <w:rsid w:val="00145BD6"/>
    <w:rsid w:val="00150437"/>
    <w:rsid w:val="00152800"/>
    <w:rsid w:val="001535D5"/>
    <w:rsid w:val="0016502C"/>
    <w:rsid w:val="001717C9"/>
    <w:rsid w:val="00176AAA"/>
    <w:rsid w:val="001912A0"/>
    <w:rsid w:val="001C1BF3"/>
    <w:rsid w:val="001C7FDF"/>
    <w:rsid w:val="001E6BBB"/>
    <w:rsid w:val="00217DFD"/>
    <w:rsid w:val="00225C20"/>
    <w:rsid w:val="00231D46"/>
    <w:rsid w:val="00252D57"/>
    <w:rsid w:val="00253F38"/>
    <w:rsid w:val="00262554"/>
    <w:rsid w:val="00271805"/>
    <w:rsid w:val="002937A0"/>
    <w:rsid w:val="002B4DF0"/>
    <w:rsid w:val="0031732D"/>
    <w:rsid w:val="00331225"/>
    <w:rsid w:val="0036539A"/>
    <w:rsid w:val="00376791"/>
    <w:rsid w:val="003A1545"/>
    <w:rsid w:val="003B14B7"/>
    <w:rsid w:val="003B797B"/>
    <w:rsid w:val="003C27CA"/>
    <w:rsid w:val="003F08C9"/>
    <w:rsid w:val="003F15C6"/>
    <w:rsid w:val="00413C20"/>
    <w:rsid w:val="00417610"/>
    <w:rsid w:val="0043640B"/>
    <w:rsid w:val="00437494"/>
    <w:rsid w:val="00455221"/>
    <w:rsid w:val="00491F6F"/>
    <w:rsid w:val="004A2A17"/>
    <w:rsid w:val="004B10FD"/>
    <w:rsid w:val="004B3835"/>
    <w:rsid w:val="00526F45"/>
    <w:rsid w:val="005311C9"/>
    <w:rsid w:val="005357D7"/>
    <w:rsid w:val="00537FC3"/>
    <w:rsid w:val="00550763"/>
    <w:rsid w:val="0055205B"/>
    <w:rsid w:val="00556CFB"/>
    <w:rsid w:val="0057331B"/>
    <w:rsid w:val="0062075D"/>
    <w:rsid w:val="00635EFA"/>
    <w:rsid w:val="0064318E"/>
    <w:rsid w:val="006453B9"/>
    <w:rsid w:val="00654A14"/>
    <w:rsid w:val="00681071"/>
    <w:rsid w:val="00684F86"/>
    <w:rsid w:val="00687181"/>
    <w:rsid w:val="00690873"/>
    <w:rsid w:val="006A28CE"/>
    <w:rsid w:val="006B541A"/>
    <w:rsid w:val="00757C1F"/>
    <w:rsid w:val="007767C7"/>
    <w:rsid w:val="0077689D"/>
    <w:rsid w:val="0079295B"/>
    <w:rsid w:val="007C791C"/>
    <w:rsid w:val="007D5668"/>
    <w:rsid w:val="007D79BF"/>
    <w:rsid w:val="008048FF"/>
    <w:rsid w:val="00823AB8"/>
    <w:rsid w:val="00844472"/>
    <w:rsid w:val="00852402"/>
    <w:rsid w:val="008541EB"/>
    <w:rsid w:val="00876BD6"/>
    <w:rsid w:val="00881719"/>
    <w:rsid w:val="00885495"/>
    <w:rsid w:val="008E22F9"/>
    <w:rsid w:val="009078F6"/>
    <w:rsid w:val="00913C46"/>
    <w:rsid w:val="009602A5"/>
    <w:rsid w:val="00961C71"/>
    <w:rsid w:val="00983740"/>
    <w:rsid w:val="009864FE"/>
    <w:rsid w:val="009C604F"/>
    <w:rsid w:val="009D0D3E"/>
    <w:rsid w:val="009D4C3F"/>
    <w:rsid w:val="009E1B00"/>
    <w:rsid w:val="009F67CF"/>
    <w:rsid w:val="00A11B16"/>
    <w:rsid w:val="00A6315F"/>
    <w:rsid w:val="00A64867"/>
    <w:rsid w:val="00A8499A"/>
    <w:rsid w:val="00A86C05"/>
    <w:rsid w:val="00A93450"/>
    <w:rsid w:val="00AB3D74"/>
    <w:rsid w:val="00AB7FEC"/>
    <w:rsid w:val="00AE002F"/>
    <w:rsid w:val="00AE3764"/>
    <w:rsid w:val="00AE5A55"/>
    <w:rsid w:val="00B24988"/>
    <w:rsid w:val="00B61989"/>
    <w:rsid w:val="00B63165"/>
    <w:rsid w:val="00BA324F"/>
    <w:rsid w:val="00BA51F0"/>
    <w:rsid w:val="00BC45BE"/>
    <w:rsid w:val="00BE0767"/>
    <w:rsid w:val="00C02EF6"/>
    <w:rsid w:val="00C116DB"/>
    <w:rsid w:val="00C1418F"/>
    <w:rsid w:val="00C35BD3"/>
    <w:rsid w:val="00C369B4"/>
    <w:rsid w:val="00C3789B"/>
    <w:rsid w:val="00C601B2"/>
    <w:rsid w:val="00C6639E"/>
    <w:rsid w:val="00C66EB9"/>
    <w:rsid w:val="00C673D7"/>
    <w:rsid w:val="00C849D4"/>
    <w:rsid w:val="00CA298D"/>
    <w:rsid w:val="00CB032E"/>
    <w:rsid w:val="00CC4B74"/>
    <w:rsid w:val="00CD264E"/>
    <w:rsid w:val="00D1698A"/>
    <w:rsid w:val="00D56C15"/>
    <w:rsid w:val="00D64144"/>
    <w:rsid w:val="00D7479E"/>
    <w:rsid w:val="00D779F9"/>
    <w:rsid w:val="00DA60F7"/>
    <w:rsid w:val="00DC2204"/>
    <w:rsid w:val="00E037D1"/>
    <w:rsid w:val="00E05F80"/>
    <w:rsid w:val="00E1192C"/>
    <w:rsid w:val="00E155BA"/>
    <w:rsid w:val="00E22E39"/>
    <w:rsid w:val="00E45E1E"/>
    <w:rsid w:val="00E5670A"/>
    <w:rsid w:val="00E63F1D"/>
    <w:rsid w:val="00E825C7"/>
    <w:rsid w:val="00E85BC4"/>
    <w:rsid w:val="00E9085C"/>
    <w:rsid w:val="00ED4C68"/>
    <w:rsid w:val="00ED7FE0"/>
    <w:rsid w:val="00EE02C6"/>
    <w:rsid w:val="00EE6FF9"/>
    <w:rsid w:val="00EF0F34"/>
    <w:rsid w:val="00EF5219"/>
    <w:rsid w:val="00F05426"/>
    <w:rsid w:val="00F118A6"/>
    <w:rsid w:val="00F12415"/>
    <w:rsid w:val="00F228D2"/>
    <w:rsid w:val="00F6222A"/>
    <w:rsid w:val="00FA7094"/>
    <w:rsid w:val="00FA7337"/>
    <w:rsid w:val="00FA7A70"/>
    <w:rsid w:val="00FC4FD9"/>
    <w:rsid w:val="00FC6AED"/>
    <w:rsid w:val="00FD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CA61D"/>
  <w15:docId w15:val="{4ACD555C-A3EA-4CF1-8267-993FB95E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D0D3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D0D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0D3E"/>
    <w:rPr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9D0D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0D3E"/>
    <w:rPr>
      <w:lang w:val="es-CL"/>
    </w:rPr>
  </w:style>
  <w:style w:type="character" w:styleId="Nmerodepgina">
    <w:name w:val="page number"/>
    <w:basedOn w:val="Fuentedeprrafopredeter"/>
    <w:rsid w:val="009D0D3E"/>
  </w:style>
  <w:style w:type="paragraph" w:styleId="Textodeglobo">
    <w:name w:val="Balloon Text"/>
    <w:basedOn w:val="Normal"/>
    <w:link w:val="TextodegloboCar"/>
    <w:uiPriority w:val="99"/>
    <w:semiHidden/>
    <w:unhideWhenUsed/>
    <w:rsid w:val="009D0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0D3E"/>
    <w:rPr>
      <w:rFonts w:ascii="Tahoma" w:hAnsi="Tahoma" w:cs="Tahoma"/>
      <w:sz w:val="16"/>
      <w:szCs w:val="16"/>
      <w:lang w:val="es-CL"/>
    </w:rPr>
  </w:style>
  <w:style w:type="character" w:styleId="Hipervnculo">
    <w:name w:val="Hyperlink"/>
    <w:basedOn w:val="Fuentedeprrafopredeter"/>
    <w:uiPriority w:val="99"/>
    <w:unhideWhenUsed/>
    <w:rsid w:val="0036539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6539A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3F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medio1-nfasis1">
    <w:name w:val="Medium Shading 1 Accent 1"/>
    <w:basedOn w:val="Tablanormal"/>
    <w:uiPriority w:val="63"/>
    <w:rsid w:val="00252D5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claro-nfasis1">
    <w:name w:val="Light Shading Accent 1"/>
    <w:basedOn w:val="Tablanormal"/>
    <w:uiPriority w:val="60"/>
    <w:rsid w:val="00091D0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913C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13C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3C46"/>
    <w:rPr>
      <w:sz w:val="20"/>
      <w:szCs w:val="20"/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3C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3C46"/>
    <w:rPr>
      <w:b/>
      <w:bCs/>
      <w:sz w:val="20"/>
      <w:szCs w:val="20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4D406-0920-428B-8BAD-D4CA0B739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CHILQUINTA ENERGIA S.A.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 Hernan Garcia Maturana</dc:creator>
  <cp:lastModifiedBy>Connie Elizabeth Nunez Arancibia</cp:lastModifiedBy>
  <cp:revision>2</cp:revision>
  <cp:lastPrinted>2018-07-20T19:38:00Z</cp:lastPrinted>
  <dcterms:created xsi:type="dcterms:W3CDTF">2020-11-05T11:48:00Z</dcterms:created>
  <dcterms:modified xsi:type="dcterms:W3CDTF">2020-11-05T11:48:00Z</dcterms:modified>
</cp:coreProperties>
</file>