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4D69DD" w14:textId="77777777" w:rsidR="00055255" w:rsidRDefault="009A7834" w:rsidP="004853F1">
      <w:pPr>
        <w:jc w:val="center"/>
      </w:pPr>
      <w:r w:rsidRPr="009A7834">
        <w:rPr>
          <w:rFonts w:ascii="Arial Narrow" w:hAnsi="Arial Narrow"/>
          <w:b/>
        </w:rPr>
        <w:t>OBSERVACIONES</w:t>
      </w:r>
      <w:r w:rsidR="004853F1">
        <w:rPr>
          <w:rFonts w:ascii="Arial Narrow" w:hAnsi="Arial Narrow"/>
          <w:b/>
        </w:rPr>
        <w:t xml:space="preserve"> </w:t>
      </w:r>
      <w:r w:rsidRPr="009A7834">
        <w:rPr>
          <w:rFonts w:ascii="Arial Narrow" w:hAnsi="Arial Narrow"/>
          <w:b/>
        </w:rPr>
        <w:t>INFORME</w:t>
      </w:r>
      <w:r w:rsidR="004853F1">
        <w:rPr>
          <w:rFonts w:ascii="Arial Narrow" w:hAnsi="Arial Narrow"/>
          <w:b/>
        </w:rPr>
        <w:t xml:space="preserve"> TÉCNICO PRELIMINAR DE </w:t>
      </w:r>
      <w:r w:rsidR="004853F1" w:rsidRPr="004853F1">
        <w:rPr>
          <w:rFonts w:ascii="Arial Narrow" w:hAnsi="Arial Narrow"/>
          <w:b/>
        </w:rPr>
        <w:t>FIJACIÓN DE PRECIOS DE NUDO PROMEDIO DEL</w:t>
      </w:r>
      <w:r w:rsidR="004853F1">
        <w:rPr>
          <w:rFonts w:ascii="Arial Narrow" w:hAnsi="Arial Narrow"/>
          <w:b/>
        </w:rPr>
        <w:t xml:space="preserve"> </w:t>
      </w:r>
      <w:r w:rsidR="004853F1" w:rsidRPr="004853F1">
        <w:rPr>
          <w:rFonts w:ascii="Arial Narrow" w:hAnsi="Arial Narrow"/>
          <w:b/>
        </w:rPr>
        <w:t xml:space="preserve">SISTEMA ELÉCTRICO NACIONAL Y DEL FACTOR DE AJUSTE A QUE SE REFIERE EL NUMERAL 3. DEL ARTÍCULO 1° DE LA LEY </w:t>
      </w:r>
      <w:proofErr w:type="spellStart"/>
      <w:r w:rsidR="004853F1" w:rsidRPr="004853F1">
        <w:rPr>
          <w:rFonts w:ascii="Arial Narrow" w:hAnsi="Arial Narrow"/>
          <w:b/>
        </w:rPr>
        <w:t>N°</w:t>
      </w:r>
      <w:proofErr w:type="spellEnd"/>
      <w:r w:rsidR="004853F1" w:rsidRPr="004853F1">
        <w:rPr>
          <w:rFonts w:ascii="Arial Narrow" w:hAnsi="Arial Narrow"/>
          <w:b/>
        </w:rPr>
        <w:t xml:space="preserve"> 21.185</w:t>
      </w:r>
    </w:p>
    <w:p w14:paraId="3DE30C6A" w14:textId="77777777" w:rsidR="00956272" w:rsidRPr="00956272" w:rsidRDefault="00956272" w:rsidP="00956272">
      <w:pPr>
        <w:jc w:val="both"/>
        <w:rPr>
          <w:rFonts w:ascii="Arial Narrow" w:hAnsi="Arial Narrow"/>
        </w:rPr>
      </w:pPr>
    </w:p>
    <w:tbl>
      <w:tblPr>
        <w:tblW w:w="1339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346"/>
        <w:gridCol w:w="3119"/>
        <w:gridCol w:w="5103"/>
        <w:gridCol w:w="3827"/>
      </w:tblGrid>
      <w:tr w:rsidR="006D02EF" w14:paraId="4CAD237E" w14:textId="77777777" w:rsidTr="003F668F">
        <w:tc>
          <w:tcPr>
            <w:tcW w:w="1346" w:type="dxa"/>
            <w:tcBorders>
              <w:top w:val="single" w:sz="4" w:space="0" w:color="auto"/>
              <w:left w:val="single" w:sz="4" w:space="0" w:color="auto"/>
              <w:bottom w:val="single" w:sz="4" w:space="0" w:color="auto"/>
              <w:right w:val="single" w:sz="4" w:space="0" w:color="auto"/>
            </w:tcBorders>
            <w:shd w:val="clear" w:color="auto" w:fill="C0C0C0"/>
            <w:vAlign w:val="center"/>
          </w:tcPr>
          <w:p w14:paraId="4A602323" w14:textId="77777777" w:rsidR="00055255" w:rsidRPr="00D00FE0" w:rsidRDefault="00055255" w:rsidP="00875DAD">
            <w:pPr>
              <w:pStyle w:val="Ttulo8"/>
              <w:ind w:right="35"/>
              <w:rPr>
                <w:sz w:val="22"/>
                <w:lang w:val="es-ES"/>
              </w:rPr>
            </w:pPr>
            <w:r w:rsidRPr="00D00FE0">
              <w:rPr>
                <w:bCs/>
                <w:sz w:val="22"/>
                <w:lang w:val="es-ES"/>
              </w:rPr>
              <w:t xml:space="preserve">Identificación </w:t>
            </w:r>
            <w:r w:rsidR="0048077F" w:rsidRPr="00D00FE0">
              <w:rPr>
                <w:bCs/>
                <w:sz w:val="22"/>
                <w:lang w:val="es-ES"/>
              </w:rPr>
              <w:t>Institución o Empresa</w:t>
            </w:r>
          </w:p>
        </w:tc>
        <w:tc>
          <w:tcPr>
            <w:tcW w:w="3119" w:type="dxa"/>
            <w:tcBorders>
              <w:top w:val="single" w:sz="4" w:space="0" w:color="auto"/>
              <w:left w:val="single" w:sz="4" w:space="0" w:color="auto"/>
              <w:bottom w:val="single" w:sz="4" w:space="0" w:color="auto"/>
              <w:right w:val="single" w:sz="4" w:space="0" w:color="auto"/>
            </w:tcBorders>
            <w:shd w:val="clear" w:color="auto" w:fill="C0C0C0"/>
            <w:vAlign w:val="center"/>
          </w:tcPr>
          <w:p w14:paraId="6530CD61" w14:textId="77777777" w:rsidR="00055255" w:rsidRPr="00D00FE0" w:rsidRDefault="00055255" w:rsidP="00956272">
            <w:pPr>
              <w:pStyle w:val="Ttulo1"/>
              <w:numPr>
                <w:ilvl w:val="0"/>
                <w:numId w:val="0"/>
              </w:numPr>
              <w:tabs>
                <w:tab w:val="left" w:pos="708"/>
              </w:tabs>
              <w:jc w:val="center"/>
              <w:rPr>
                <w:bCs/>
                <w:sz w:val="22"/>
                <w:lang w:val="es-CL"/>
              </w:rPr>
            </w:pPr>
            <w:r w:rsidRPr="00D00FE0">
              <w:rPr>
                <w:bCs/>
                <w:sz w:val="22"/>
                <w:lang w:val="es-CL"/>
              </w:rPr>
              <w:t>Identificación del Título, Subtítulo y Número de página observada</w:t>
            </w:r>
          </w:p>
        </w:tc>
        <w:tc>
          <w:tcPr>
            <w:tcW w:w="5103" w:type="dxa"/>
            <w:tcBorders>
              <w:top w:val="single" w:sz="4" w:space="0" w:color="auto"/>
              <w:left w:val="single" w:sz="4" w:space="0" w:color="auto"/>
              <w:bottom w:val="single" w:sz="4" w:space="0" w:color="auto"/>
              <w:right w:val="single" w:sz="4" w:space="0" w:color="auto"/>
            </w:tcBorders>
            <w:shd w:val="clear" w:color="auto" w:fill="C0C0C0"/>
            <w:vAlign w:val="center"/>
          </w:tcPr>
          <w:p w14:paraId="1C43F003" w14:textId="77777777" w:rsidR="00055255" w:rsidRPr="00D00FE0" w:rsidRDefault="00055255" w:rsidP="00956272">
            <w:pPr>
              <w:pStyle w:val="Ttulo1"/>
              <w:numPr>
                <w:ilvl w:val="0"/>
                <w:numId w:val="0"/>
              </w:numPr>
              <w:tabs>
                <w:tab w:val="left" w:pos="708"/>
              </w:tabs>
              <w:jc w:val="center"/>
              <w:rPr>
                <w:bCs/>
                <w:sz w:val="22"/>
                <w:lang w:val="es-CL"/>
              </w:rPr>
            </w:pPr>
            <w:r w:rsidRPr="00D00FE0">
              <w:rPr>
                <w:bCs/>
                <w:sz w:val="22"/>
                <w:lang w:val="es-CL"/>
              </w:rPr>
              <w:t>Observación</w:t>
            </w:r>
          </w:p>
        </w:tc>
        <w:tc>
          <w:tcPr>
            <w:tcW w:w="3827" w:type="dxa"/>
            <w:tcBorders>
              <w:top w:val="single" w:sz="4" w:space="0" w:color="auto"/>
              <w:left w:val="single" w:sz="4" w:space="0" w:color="auto"/>
              <w:bottom w:val="single" w:sz="4" w:space="0" w:color="auto"/>
              <w:right w:val="single" w:sz="4" w:space="0" w:color="auto"/>
            </w:tcBorders>
            <w:shd w:val="clear" w:color="auto" w:fill="C0C0C0"/>
            <w:vAlign w:val="center"/>
          </w:tcPr>
          <w:p w14:paraId="755B5A89" w14:textId="77777777" w:rsidR="00055255" w:rsidRPr="00D00FE0" w:rsidRDefault="00021038" w:rsidP="00956272">
            <w:pPr>
              <w:jc w:val="center"/>
              <w:rPr>
                <w:rFonts w:ascii="Arial Narrow" w:hAnsi="Arial Narrow"/>
                <w:b/>
                <w:sz w:val="22"/>
                <w:lang w:val="es-CL"/>
              </w:rPr>
            </w:pPr>
            <w:r>
              <w:rPr>
                <w:rFonts w:ascii="Arial Narrow" w:hAnsi="Arial Narrow"/>
                <w:b/>
                <w:sz w:val="22"/>
                <w:lang w:val="es-CL"/>
              </w:rPr>
              <w:t>Solicitud</w:t>
            </w:r>
          </w:p>
        </w:tc>
      </w:tr>
      <w:tr w:rsidR="00434011" w14:paraId="694DF9AC" w14:textId="77777777" w:rsidTr="00434011">
        <w:tc>
          <w:tcPr>
            <w:tcW w:w="1346" w:type="dxa"/>
            <w:tcBorders>
              <w:top w:val="single" w:sz="4" w:space="0" w:color="auto"/>
              <w:left w:val="single" w:sz="4" w:space="0" w:color="auto"/>
              <w:bottom w:val="single" w:sz="4" w:space="0" w:color="auto"/>
              <w:right w:val="single" w:sz="4" w:space="0" w:color="auto"/>
            </w:tcBorders>
            <w:shd w:val="clear" w:color="auto" w:fill="auto"/>
          </w:tcPr>
          <w:p w14:paraId="2D380295" w14:textId="440BBE63" w:rsidR="00434011" w:rsidRPr="00434011" w:rsidRDefault="00434011" w:rsidP="00434011">
            <w:pPr>
              <w:ind w:right="140"/>
              <w:rPr>
                <w:rFonts w:ascii="Calibri" w:hAnsi="Calibri" w:cs="Calibri"/>
                <w:bCs/>
                <w:sz w:val="22"/>
                <w:szCs w:val="22"/>
                <w:lang w:val="es-CL"/>
              </w:rPr>
            </w:pPr>
            <w:r>
              <w:rPr>
                <w:rFonts w:ascii="Calibri" w:hAnsi="Calibri" w:cs="Calibri"/>
                <w:bCs/>
                <w:sz w:val="22"/>
                <w:szCs w:val="22"/>
                <w:lang w:val="es-CL"/>
              </w:rPr>
              <w:t>EDELMAG</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8C9C77E" w14:textId="7E83B215" w:rsidR="00434011" w:rsidRDefault="00434011" w:rsidP="00646D7C">
            <w:pPr>
              <w:ind w:right="140"/>
              <w:jc w:val="both"/>
              <w:rPr>
                <w:rFonts w:ascii="Calibri" w:hAnsi="Calibri" w:cs="Calibri"/>
                <w:bCs/>
                <w:sz w:val="22"/>
                <w:szCs w:val="22"/>
                <w:lang w:val="es-CL"/>
              </w:rPr>
            </w:pPr>
            <w:r w:rsidRPr="00434011">
              <w:rPr>
                <w:rFonts w:ascii="Calibri" w:hAnsi="Calibri" w:cs="Calibri"/>
                <w:bCs/>
                <w:sz w:val="22"/>
                <w:szCs w:val="22"/>
                <w:lang w:val="es-CL"/>
              </w:rPr>
              <w:t>5.1 Factores de ajuste de</w:t>
            </w:r>
            <w:r>
              <w:rPr>
                <w:rFonts w:ascii="Calibri" w:hAnsi="Calibri" w:cs="Calibri"/>
                <w:bCs/>
                <w:sz w:val="22"/>
                <w:szCs w:val="22"/>
                <w:lang w:val="es-CL"/>
              </w:rPr>
              <w:t xml:space="preserve"> </w:t>
            </w:r>
            <w:r w:rsidRPr="00434011">
              <w:rPr>
                <w:rFonts w:ascii="Calibri" w:hAnsi="Calibri" w:cs="Calibri"/>
                <w:bCs/>
                <w:sz w:val="22"/>
                <w:szCs w:val="22"/>
                <w:lang w:val="es-CL"/>
              </w:rPr>
              <w:t>energía y potencia aplicables a</w:t>
            </w:r>
            <w:r>
              <w:rPr>
                <w:rFonts w:ascii="Calibri" w:hAnsi="Calibri" w:cs="Calibri"/>
                <w:bCs/>
                <w:sz w:val="22"/>
                <w:szCs w:val="22"/>
                <w:lang w:val="es-CL"/>
              </w:rPr>
              <w:t xml:space="preserve"> </w:t>
            </w:r>
            <w:r w:rsidRPr="00434011">
              <w:rPr>
                <w:rFonts w:ascii="Calibri" w:hAnsi="Calibri" w:cs="Calibri"/>
                <w:bCs/>
                <w:sz w:val="22"/>
                <w:szCs w:val="22"/>
                <w:lang w:val="es-CL"/>
              </w:rPr>
              <w:t>los PNLP de</w:t>
            </w:r>
            <w:r>
              <w:rPr>
                <w:rFonts w:ascii="Calibri" w:hAnsi="Calibri" w:cs="Calibri"/>
                <w:bCs/>
                <w:sz w:val="22"/>
                <w:szCs w:val="22"/>
                <w:lang w:val="es-CL"/>
              </w:rPr>
              <w:t xml:space="preserve"> </w:t>
            </w:r>
            <w:r w:rsidRPr="00434011">
              <w:rPr>
                <w:rFonts w:ascii="Calibri" w:hAnsi="Calibri" w:cs="Calibri"/>
                <w:bCs/>
                <w:sz w:val="22"/>
                <w:szCs w:val="22"/>
                <w:lang w:val="es-CL"/>
              </w:rPr>
              <w:t>energía y potencia</w:t>
            </w:r>
          </w:p>
          <w:p w14:paraId="1D53D2E8" w14:textId="77777777" w:rsidR="00646D7C" w:rsidRDefault="00646D7C" w:rsidP="00646D7C">
            <w:pPr>
              <w:ind w:right="140"/>
              <w:jc w:val="both"/>
              <w:rPr>
                <w:rFonts w:ascii="Calibri" w:hAnsi="Calibri" w:cs="Calibri"/>
                <w:bCs/>
                <w:sz w:val="22"/>
                <w:szCs w:val="22"/>
                <w:lang w:val="es-CL"/>
              </w:rPr>
            </w:pPr>
          </w:p>
          <w:p w14:paraId="1F44F1A2" w14:textId="77777777" w:rsidR="00434011" w:rsidRDefault="00434011" w:rsidP="00434011">
            <w:pPr>
              <w:ind w:right="140"/>
              <w:rPr>
                <w:rFonts w:ascii="Calibri" w:hAnsi="Calibri" w:cs="Calibri"/>
                <w:bCs/>
                <w:sz w:val="22"/>
                <w:szCs w:val="22"/>
                <w:lang w:val="es-CL"/>
              </w:rPr>
            </w:pPr>
            <w:r w:rsidRPr="00434011">
              <w:rPr>
                <w:rFonts w:ascii="Calibri" w:hAnsi="Calibri" w:cs="Calibri"/>
                <w:bCs/>
                <w:sz w:val="22"/>
                <w:szCs w:val="22"/>
                <w:lang w:val="es-CL"/>
              </w:rPr>
              <w:t>Tabla 6: Precios de nudo de largo plazo ajustados de los Sistemas Medianos</w:t>
            </w:r>
            <w:r>
              <w:rPr>
                <w:rFonts w:ascii="Calibri" w:hAnsi="Calibri" w:cs="Calibri"/>
                <w:bCs/>
                <w:sz w:val="22"/>
                <w:szCs w:val="22"/>
                <w:lang w:val="es-CL"/>
              </w:rPr>
              <w:t xml:space="preserve"> (página 94)</w:t>
            </w:r>
          </w:p>
          <w:p w14:paraId="37422CB9" w14:textId="77777777" w:rsidR="00646D7C" w:rsidRDefault="00646D7C" w:rsidP="00434011">
            <w:pPr>
              <w:ind w:right="140"/>
              <w:rPr>
                <w:rFonts w:ascii="Calibri" w:hAnsi="Calibri" w:cs="Calibri"/>
                <w:bCs/>
                <w:sz w:val="22"/>
                <w:szCs w:val="22"/>
                <w:lang w:val="es-CL"/>
              </w:rPr>
            </w:pPr>
          </w:p>
          <w:p w14:paraId="58C7D888" w14:textId="6E54FC25" w:rsidR="00646D7C" w:rsidRPr="00434011" w:rsidRDefault="00646D7C" w:rsidP="00434011">
            <w:pPr>
              <w:ind w:right="140"/>
              <w:rPr>
                <w:rFonts w:ascii="Calibri" w:hAnsi="Calibri" w:cs="Calibri"/>
                <w:bCs/>
                <w:sz w:val="22"/>
                <w:szCs w:val="22"/>
                <w:lang w:val="es-CL"/>
              </w:rPr>
            </w:pPr>
            <w:r>
              <w:rPr>
                <w:rFonts w:ascii="Calibri" w:hAnsi="Calibri" w:cs="Calibri"/>
                <w:bCs/>
                <w:sz w:val="22"/>
                <w:szCs w:val="22"/>
                <w:lang w:val="es-CL"/>
              </w:rPr>
              <w:t>Anexo “</w:t>
            </w:r>
            <w:r w:rsidRPr="00646D7C">
              <w:rPr>
                <w:rFonts w:ascii="Calibri" w:hAnsi="Calibri" w:cs="Calibri"/>
                <w:bCs/>
                <w:sz w:val="22"/>
                <w:szCs w:val="22"/>
                <w:lang w:val="es-CL"/>
              </w:rPr>
              <w:t>Precios SSMM_PNP enero 2021</w:t>
            </w:r>
            <w:r>
              <w:rPr>
                <w:rFonts w:ascii="Calibri" w:hAnsi="Calibri" w:cs="Calibri"/>
                <w:bCs/>
                <w:sz w:val="22"/>
                <w:szCs w:val="22"/>
                <w:lang w:val="es-CL"/>
              </w:rPr>
              <w:t>”</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08D96154" w14:textId="137C8C95" w:rsidR="00434011" w:rsidRDefault="001A0DE0" w:rsidP="00646D7C">
            <w:pPr>
              <w:ind w:right="140"/>
              <w:jc w:val="both"/>
              <w:rPr>
                <w:rFonts w:ascii="Calibri" w:hAnsi="Calibri" w:cs="Calibri"/>
                <w:bCs/>
                <w:sz w:val="22"/>
                <w:szCs w:val="22"/>
                <w:lang w:val="es-CL"/>
              </w:rPr>
            </w:pPr>
            <w:r>
              <w:rPr>
                <w:rFonts w:ascii="Calibri" w:hAnsi="Calibri" w:cs="Calibri"/>
                <w:bCs/>
                <w:sz w:val="22"/>
                <w:szCs w:val="22"/>
                <w:lang w:val="es-CL"/>
              </w:rPr>
              <w:t>En el Informe Técnico y en sus Anexos, se establecen los precios de nudo de energía de largo plazo para los Sistema Medianos</w:t>
            </w:r>
            <w:r w:rsidR="00646D7C">
              <w:rPr>
                <w:rFonts w:ascii="Calibri" w:hAnsi="Calibri" w:cs="Calibri"/>
                <w:bCs/>
                <w:sz w:val="22"/>
                <w:szCs w:val="22"/>
                <w:lang w:val="es-CL"/>
              </w:rPr>
              <w:t>.</w:t>
            </w:r>
          </w:p>
          <w:p w14:paraId="4298B625" w14:textId="77777777" w:rsidR="00646D7C" w:rsidRDefault="00646D7C" w:rsidP="00646D7C">
            <w:pPr>
              <w:ind w:right="140"/>
              <w:jc w:val="both"/>
              <w:rPr>
                <w:rFonts w:ascii="Calibri" w:hAnsi="Calibri" w:cs="Calibri"/>
                <w:bCs/>
                <w:sz w:val="22"/>
                <w:szCs w:val="22"/>
                <w:lang w:val="es-CL"/>
              </w:rPr>
            </w:pPr>
          </w:p>
          <w:p w14:paraId="6A3426ED" w14:textId="5631766A" w:rsidR="00646D7C" w:rsidRDefault="00646D7C" w:rsidP="00646D7C">
            <w:pPr>
              <w:ind w:right="140"/>
              <w:jc w:val="both"/>
              <w:rPr>
                <w:rFonts w:ascii="Calibri" w:hAnsi="Calibri" w:cs="Calibri"/>
                <w:bCs/>
                <w:sz w:val="22"/>
                <w:szCs w:val="22"/>
                <w:lang w:val="es-CL"/>
              </w:rPr>
            </w:pPr>
            <w:r>
              <w:rPr>
                <w:rFonts w:ascii="Calibri" w:hAnsi="Calibri" w:cs="Calibri"/>
                <w:bCs/>
                <w:sz w:val="22"/>
                <w:szCs w:val="22"/>
                <w:lang w:val="es-CL"/>
              </w:rPr>
              <w:t xml:space="preserve">El Decreto N°10T-2019 del Ministerio de Energía, que </w:t>
            </w:r>
            <w:r w:rsidRPr="00646D7C">
              <w:rPr>
                <w:rFonts w:ascii="Calibri" w:hAnsi="Calibri" w:cs="Calibri"/>
                <w:bCs/>
                <w:sz w:val="22"/>
                <w:szCs w:val="22"/>
                <w:lang w:val="es-CL"/>
              </w:rPr>
              <w:t>fija precios a nivel de generación y transmisión en sistemas</w:t>
            </w:r>
            <w:r>
              <w:rPr>
                <w:rFonts w:ascii="Calibri" w:hAnsi="Calibri" w:cs="Calibri"/>
                <w:bCs/>
                <w:sz w:val="22"/>
                <w:szCs w:val="22"/>
                <w:lang w:val="es-CL"/>
              </w:rPr>
              <w:t xml:space="preserve"> </w:t>
            </w:r>
            <w:r w:rsidRPr="00646D7C">
              <w:rPr>
                <w:rFonts w:ascii="Calibri" w:hAnsi="Calibri" w:cs="Calibri"/>
                <w:bCs/>
                <w:sz w:val="22"/>
                <w:szCs w:val="22"/>
                <w:lang w:val="es-CL"/>
              </w:rPr>
              <w:t xml:space="preserve">medianos de </w:t>
            </w:r>
            <w:r>
              <w:rPr>
                <w:rFonts w:ascii="Calibri" w:hAnsi="Calibri" w:cs="Calibri"/>
                <w:bCs/>
                <w:sz w:val="22"/>
                <w:szCs w:val="22"/>
                <w:lang w:val="es-CL"/>
              </w:rPr>
              <w:t>P</w:t>
            </w:r>
            <w:r w:rsidRPr="00646D7C">
              <w:rPr>
                <w:rFonts w:ascii="Calibri" w:hAnsi="Calibri" w:cs="Calibri"/>
                <w:bCs/>
                <w:sz w:val="22"/>
                <w:szCs w:val="22"/>
                <w:lang w:val="es-CL"/>
              </w:rPr>
              <w:t xml:space="preserve">unta </w:t>
            </w:r>
            <w:r>
              <w:rPr>
                <w:rFonts w:ascii="Calibri" w:hAnsi="Calibri" w:cs="Calibri"/>
                <w:bCs/>
                <w:sz w:val="22"/>
                <w:szCs w:val="22"/>
                <w:lang w:val="es-CL"/>
              </w:rPr>
              <w:t>A</w:t>
            </w:r>
            <w:r w:rsidRPr="00646D7C">
              <w:rPr>
                <w:rFonts w:ascii="Calibri" w:hAnsi="Calibri" w:cs="Calibri"/>
                <w:bCs/>
                <w:sz w:val="22"/>
                <w:szCs w:val="22"/>
                <w:lang w:val="es-CL"/>
              </w:rPr>
              <w:t xml:space="preserve">renas, </w:t>
            </w:r>
            <w:r>
              <w:rPr>
                <w:rFonts w:ascii="Calibri" w:hAnsi="Calibri" w:cs="Calibri"/>
                <w:bCs/>
                <w:sz w:val="22"/>
                <w:szCs w:val="22"/>
                <w:lang w:val="es-CL"/>
              </w:rPr>
              <w:t>P</w:t>
            </w:r>
            <w:r w:rsidRPr="00646D7C">
              <w:rPr>
                <w:rFonts w:ascii="Calibri" w:hAnsi="Calibri" w:cs="Calibri"/>
                <w:bCs/>
                <w:sz w:val="22"/>
                <w:szCs w:val="22"/>
                <w:lang w:val="es-CL"/>
              </w:rPr>
              <w:t xml:space="preserve">uerto </w:t>
            </w:r>
            <w:r>
              <w:rPr>
                <w:rFonts w:ascii="Calibri" w:hAnsi="Calibri" w:cs="Calibri"/>
                <w:bCs/>
                <w:sz w:val="22"/>
                <w:szCs w:val="22"/>
                <w:lang w:val="es-CL"/>
              </w:rPr>
              <w:t>N</w:t>
            </w:r>
            <w:r w:rsidRPr="00646D7C">
              <w:rPr>
                <w:rFonts w:ascii="Calibri" w:hAnsi="Calibri" w:cs="Calibri"/>
                <w:bCs/>
                <w:sz w:val="22"/>
                <w:szCs w:val="22"/>
                <w:lang w:val="es-CL"/>
              </w:rPr>
              <w:t xml:space="preserve">atales, </w:t>
            </w:r>
            <w:r>
              <w:rPr>
                <w:rFonts w:ascii="Calibri" w:hAnsi="Calibri" w:cs="Calibri"/>
                <w:bCs/>
                <w:sz w:val="22"/>
                <w:szCs w:val="22"/>
                <w:lang w:val="es-CL"/>
              </w:rPr>
              <w:t>P</w:t>
            </w:r>
            <w:r w:rsidRPr="00646D7C">
              <w:rPr>
                <w:rFonts w:ascii="Calibri" w:hAnsi="Calibri" w:cs="Calibri"/>
                <w:bCs/>
                <w:sz w:val="22"/>
                <w:szCs w:val="22"/>
                <w:lang w:val="es-CL"/>
              </w:rPr>
              <w:t xml:space="preserve">orvenir y </w:t>
            </w:r>
            <w:r>
              <w:rPr>
                <w:rFonts w:ascii="Calibri" w:hAnsi="Calibri" w:cs="Calibri"/>
                <w:bCs/>
                <w:sz w:val="22"/>
                <w:szCs w:val="22"/>
                <w:lang w:val="es-CL"/>
              </w:rPr>
              <w:t>P</w:t>
            </w:r>
            <w:r w:rsidRPr="00646D7C">
              <w:rPr>
                <w:rFonts w:ascii="Calibri" w:hAnsi="Calibri" w:cs="Calibri"/>
                <w:bCs/>
                <w:sz w:val="22"/>
                <w:szCs w:val="22"/>
                <w:lang w:val="es-CL"/>
              </w:rPr>
              <w:t>uerto</w:t>
            </w:r>
            <w:r>
              <w:rPr>
                <w:rFonts w:ascii="Calibri" w:hAnsi="Calibri" w:cs="Calibri"/>
                <w:bCs/>
                <w:sz w:val="22"/>
                <w:szCs w:val="22"/>
                <w:lang w:val="es-CL"/>
              </w:rPr>
              <w:t xml:space="preserve"> W</w:t>
            </w:r>
            <w:r w:rsidRPr="00646D7C">
              <w:rPr>
                <w:rFonts w:ascii="Calibri" w:hAnsi="Calibri" w:cs="Calibri"/>
                <w:bCs/>
                <w:sz w:val="22"/>
                <w:szCs w:val="22"/>
                <w:lang w:val="es-CL"/>
              </w:rPr>
              <w:t>illiams, y</w:t>
            </w:r>
            <w:r>
              <w:rPr>
                <w:rFonts w:ascii="Calibri" w:hAnsi="Calibri" w:cs="Calibri"/>
                <w:bCs/>
                <w:sz w:val="22"/>
                <w:szCs w:val="22"/>
                <w:lang w:val="es-CL"/>
              </w:rPr>
              <w:t xml:space="preserve"> </w:t>
            </w:r>
            <w:r w:rsidRPr="00646D7C">
              <w:rPr>
                <w:rFonts w:ascii="Calibri" w:hAnsi="Calibri" w:cs="Calibri"/>
                <w:bCs/>
                <w:sz w:val="22"/>
                <w:szCs w:val="22"/>
                <w:lang w:val="es-CL"/>
              </w:rPr>
              <w:t>establece su plan de expansión</w:t>
            </w:r>
            <w:r>
              <w:rPr>
                <w:rFonts w:ascii="Calibri" w:hAnsi="Calibri" w:cs="Calibri"/>
                <w:bCs/>
                <w:sz w:val="22"/>
                <w:szCs w:val="22"/>
                <w:lang w:val="es-CL"/>
              </w:rPr>
              <w:t xml:space="preserve">, contiene las fórmulas de indexación de los precios de nudo de energía y potencia, siendo el precio del combustible gas natural una de las variables consideradas en dichas fórmulas. </w:t>
            </w:r>
          </w:p>
          <w:p w14:paraId="6A0B7FC4" w14:textId="77777777" w:rsidR="00646D7C" w:rsidRDefault="00646D7C" w:rsidP="00646D7C">
            <w:pPr>
              <w:ind w:right="140"/>
              <w:jc w:val="both"/>
              <w:rPr>
                <w:rFonts w:ascii="Calibri" w:hAnsi="Calibri" w:cs="Calibri"/>
                <w:bCs/>
                <w:sz w:val="22"/>
                <w:szCs w:val="22"/>
                <w:lang w:val="es-CL"/>
              </w:rPr>
            </w:pPr>
          </w:p>
          <w:p w14:paraId="4FBC3E54" w14:textId="77777777" w:rsidR="00646D7C" w:rsidRDefault="00646D7C" w:rsidP="00646D7C">
            <w:pPr>
              <w:ind w:right="140"/>
              <w:jc w:val="both"/>
              <w:rPr>
                <w:rFonts w:ascii="Calibri" w:hAnsi="Calibri" w:cs="Calibri"/>
                <w:bCs/>
                <w:sz w:val="22"/>
                <w:szCs w:val="22"/>
                <w:lang w:val="es-CL"/>
              </w:rPr>
            </w:pPr>
            <w:r>
              <w:rPr>
                <w:rFonts w:ascii="Calibri" w:hAnsi="Calibri" w:cs="Calibri"/>
                <w:bCs/>
                <w:sz w:val="22"/>
                <w:szCs w:val="22"/>
                <w:lang w:val="es-CL"/>
              </w:rPr>
              <w:t>En efecto, este parámetro en considerado en el Anexo “</w:t>
            </w:r>
            <w:r w:rsidRPr="00646D7C">
              <w:rPr>
                <w:rFonts w:ascii="Calibri" w:hAnsi="Calibri" w:cs="Calibri"/>
                <w:bCs/>
                <w:sz w:val="22"/>
                <w:szCs w:val="22"/>
                <w:lang w:val="es-CL"/>
              </w:rPr>
              <w:t>Precios SSMM_PNP enero 2021</w:t>
            </w:r>
            <w:r>
              <w:rPr>
                <w:rFonts w:ascii="Calibri" w:hAnsi="Calibri" w:cs="Calibri"/>
                <w:bCs/>
                <w:sz w:val="22"/>
                <w:szCs w:val="22"/>
                <w:lang w:val="es-CL"/>
              </w:rPr>
              <w:t>” para la determinación de los Precios de Nudo utilizados para el cálculo de saldos.</w:t>
            </w:r>
          </w:p>
          <w:p w14:paraId="13B84E22" w14:textId="77777777" w:rsidR="00646D7C" w:rsidRDefault="00646D7C" w:rsidP="00646D7C">
            <w:pPr>
              <w:ind w:right="140"/>
              <w:jc w:val="both"/>
              <w:rPr>
                <w:rFonts w:ascii="Calibri" w:hAnsi="Calibri" w:cs="Calibri"/>
                <w:bCs/>
                <w:sz w:val="22"/>
                <w:szCs w:val="22"/>
                <w:lang w:val="es-CL"/>
              </w:rPr>
            </w:pPr>
          </w:p>
          <w:p w14:paraId="62FD90D2" w14:textId="4850B442" w:rsidR="00646D7C" w:rsidRDefault="00646D7C" w:rsidP="00646D7C">
            <w:pPr>
              <w:ind w:right="140"/>
              <w:jc w:val="both"/>
              <w:rPr>
                <w:rFonts w:ascii="Calibri" w:hAnsi="Calibri" w:cs="Calibri"/>
                <w:bCs/>
                <w:sz w:val="22"/>
                <w:szCs w:val="22"/>
                <w:lang w:val="es-CL"/>
              </w:rPr>
            </w:pPr>
            <w:r>
              <w:rPr>
                <w:rFonts w:ascii="Calibri" w:hAnsi="Calibri" w:cs="Calibri"/>
                <w:bCs/>
                <w:sz w:val="22"/>
                <w:szCs w:val="22"/>
                <w:lang w:val="es-CL"/>
              </w:rPr>
              <w:t xml:space="preserve">Al respecto, </w:t>
            </w:r>
            <w:r w:rsidR="00773EFE">
              <w:rPr>
                <w:rFonts w:ascii="Calibri" w:hAnsi="Calibri" w:cs="Calibri"/>
                <w:bCs/>
                <w:sz w:val="22"/>
                <w:szCs w:val="22"/>
                <w:lang w:val="es-CL"/>
              </w:rPr>
              <w:t>mediante carta N°436 del 22 de octubre</w:t>
            </w:r>
            <w:r w:rsidR="00773EFE" w:rsidDel="00773EFE">
              <w:rPr>
                <w:rFonts w:ascii="Calibri" w:hAnsi="Calibri" w:cs="Calibri"/>
                <w:bCs/>
                <w:sz w:val="22"/>
                <w:szCs w:val="22"/>
                <w:lang w:val="es-CL"/>
              </w:rPr>
              <w:t xml:space="preserve"> </w:t>
            </w:r>
            <w:r w:rsidR="00773EFE">
              <w:rPr>
                <w:rFonts w:ascii="Calibri" w:hAnsi="Calibri" w:cs="Calibri"/>
                <w:bCs/>
                <w:sz w:val="22"/>
                <w:szCs w:val="22"/>
                <w:lang w:val="es-CL"/>
              </w:rPr>
              <w:t xml:space="preserve">el proveedor Gasco Magallanes comunicó rectificación de los precios </w:t>
            </w:r>
            <w:r>
              <w:rPr>
                <w:rFonts w:ascii="Calibri" w:hAnsi="Calibri" w:cs="Calibri"/>
                <w:bCs/>
                <w:sz w:val="22"/>
                <w:szCs w:val="22"/>
                <w:lang w:val="es-CL"/>
              </w:rPr>
              <w:t>de</w:t>
            </w:r>
            <w:r w:rsidR="00773EFE">
              <w:rPr>
                <w:rFonts w:ascii="Calibri" w:hAnsi="Calibri" w:cs="Calibri"/>
                <w:bCs/>
                <w:sz w:val="22"/>
                <w:szCs w:val="22"/>
                <w:lang w:val="es-CL"/>
              </w:rPr>
              <w:t>l</w:t>
            </w:r>
            <w:r>
              <w:rPr>
                <w:rFonts w:ascii="Calibri" w:hAnsi="Calibri" w:cs="Calibri"/>
                <w:bCs/>
                <w:sz w:val="22"/>
                <w:szCs w:val="22"/>
                <w:lang w:val="es-CL"/>
              </w:rPr>
              <w:t xml:space="preserve"> gas natural </w:t>
            </w:r>
            <w:r w:rsidR="00773EFE">
              <w:rPr>
                <w:rFonts w:ascii="Calibri" w:hAnsi="Calibri" w:cs="Calibri"/>
                <w:bCs/>
                <w:sz w:val="22"/>
                <w:szCs w:val="22"/>
                <w:lang w:val="es-CL"/>
              </w:rPr>
              <w:t xml:space="preserve">para el período </w:t>
            </w:r>
            <w:r>
              <w:rPr>
                <w:rFonts w:ascii="Calibri" w:hAnsi="Calibri" w:cs="Calibri"/>
                <w:bCs/>
                <w:sz w:val="22"/>
                <w:szCs w:val="22"/>
                <w:lang w:val="es-CL"/>
              </w:rPr>
              <w:t xml:space="preserve">23 de marzo </w:t>
            </w:r>
            <w:r w:rsidR="00773EFE">
              <w:rPr>
                <w:rFonts w:ascii="Calibri" w:hAnsi="Calibri" w:cs="Calibri"/>
                <w:bCs/>
                <w:sz w:val="22"/>
                <w:szCs w:val="22"/>
                <w:lang w:val="es-CL"/>
              </w:rPr>
              <w:t>al</w:t>
            </w:r>
            <w:r>
              <w:rPr>
                <w:rFonts w:ascii="Calibri" w:hAnsi="Calibri" w:cs="Calibri"/>
                <w:bCs/>
                <w:sz w:val="22"/>
                <w:szCs w:val="22"/>
                <w:lang w:val="es-CL"/>
              </w:rPr>
              <w:t xml:space="preserve"> 01 de octubre de</w:t>
            </w:r>
            <w:r w:rsidR="00773EFE">
              <w:rPr>
                <w:rFonts w:ascii="Calibri" w:hAnsi="Calibri" w:cs="Calibri"/>
                <w:bCs/>
                <w:sz w:val="22"/>
                <w:szCs w:val="22"/>
                <w:lang w:val="es-CL"/>
              </w:rPr>
              <w:t xml:space="preserve"> 2020</w:t>
            </w:r>
            <w:r>
              <w:rPr>
                <w:rFonts w:ascii="Calibri" w:hAnsi="Calibri" w:cs="Calibri"/>
                <w:bCs/>
                <w:sz w:val="22"/>
                <w:szCs w:val="22"/>
                <w:lang w:val="es-CL"/>
              </w:rPr>
              <w:t xml:space="preserve">, </w:t>
            </w:r>
            <w:r w:rsidR="00773EFE">
              <w:rPr>
                <w:rFonts w:ascii="Calibri" w:hAnsi="Calibri" w:cs="Calibri"/>
                <w:bCs/>
                <w:sz w:val="22"/>
                <w:szCs w:val="22"/>
                <w:lang w:val="es-CL"/>
              </w:rPr>
              <w:t xml:space="preserve">lo que fue </w:t>
            </w:r>
            <w:r>
              <w:rPr>
                <w:rFonts w:ascii="Calibri" w:hAnsi="Calibri" w:cs="Calibri"/>
                <w:bCs/>
                <w:sz w:val="22"/>
                <w:szCs w:val="22"/>
                <w:lang w:val="es-CL"/>
              </w:rPr>
              <w:t xml:space="preserve">informado a la Comisión Nacional de Energía mediante </w:t>
            </w:r>
            <w:r w:rsidR="00773EFE">
              <w:rPr>
                <w:rFonts w:ascii="Calibri" w:hAnsi="Calibri" w:cs="Calibri"/>
                <w:bCs/>
                <w:sz w:val="22"/>
                <w:szCs w:val="22"/>
                <w:lang w:val="es-CL"/>
              </w:rPr>
              <w:t xml:space="preserve">carta EDELMAG </w:t>
            </w:r>
            <w:r>
              <w:rPr>
                <w:rFonts w:ascii="Calibri" w:hAnsi="Calibri" w:cs="Calibri"/>
                <w:bCs/>
                <w:sz w:val="22"/>
                <w:szCs w:val="22"/>
                <w:lang w:val="es-CL"/>
              </w:rPr>
              <w:t xml:space="preserve">EEMG N°1529 </w:t>
            </w:r>
            <w:r w:rsidR="00773EFE">
              <w:rPr>
                <w:rFonts w:ascii="Calibri" w:hAnsi="Calibri" w:cs="Calibri"/>
                <w:bCs/>
                <w:sz w:val="22"/>
                <w:szCs w:val="22"/>
                <w:lang w:val="es-CL"/>
              </w:rPr>
              <w:t xml:space="preserve">con fecha </w:t>
            </w:r>
            <w:r>
              <w:rPr>
                <w:rFonts w:ascii="Calibri" w:hAnsi="Calibri" w:cs="Calibri"/>
                <w:bCs/>
                <w:sz w:val="22"/>
                <w:szCs w:val="22"/>
                <w:lang w:val="es-CL"/>
              </w:rPr>
              <w:t>26 de octubre</w:t>
            </w:r>
            <w:r w:rsidR="00773EFE">
              <w:rPr>
                <w:rFonts w:ascii="Calibri" w:hAnsi="Calibri" w:cs="Calibri"/>
                <w:bCs/>
                <w:sz w:val="22"/>
                <w:szCs w:val="22"/>
                <w:lang w:val="es-CL"/>
              </w:rPr>
              <w:t xml:space="preserve"> que se adjunta</w:t>
            </w:r>
            <w:r w:rsidR="00937727">
              <w:rPr>
                <w:rFonts w:ascii="Calibri" w:hAnsi="Calibri" w:cs="Calibri"/>
                <w:bCs/>
                <w:sz w:val="22"/>
                <w:szCs w:val="22"/>
                <w:lang w:val="es-CL"/>
              </w:rPr>
              <w:t>.</w:t>
            </w:r>
          </w:p>
          <w:p w14:paraId="6BFCAF4D" w14:textId="77777777" w:rsidR="00937727" w:rsidRDefault="00937727" w:rsidP="00646D7C">
            <w:pPr>
              <w:ind w:right="140"/>
              <w:jc w:val="both"/>
              <w:rPr>
                <w:rFonts w:ascii="Calibri" w:hAnsi="Calibri" w:cs="Calibri"/>
                <w:bCs/>
                <w:sz w:val="22"/>
                <w:szCs w:val="22"/>
                <w:lang w:val="es-CL"/>
              </w:rPr>
            </w:pPr>
          </w:p>
          <w:p w14:paraId="2133D93C" w14:textId="77777777" w:rsidR="00937727" w:rsidRDefault="00937727" w:rsidP="00646D7C">
            <w:pPr>
              <w:ind w:right="140"/>
              <w:jc w:val="both"/>
              <w:rPr>
                <w:rFonts w:ascii="Calibri" w:hAnsi="Calibri" w:cs="Calibri"/>
                <w:bCs/>
                <w:sz w:val="22"/>
                <w:szCs w:val="22"/>
                <w:lang w:val="es-CL"/>
              </w:rPr>
            </w:pPr>
            <w:r>
              <w:rPr>
                <w:rFonts w:ascii="Calibri" w:hAnsi="Calibri" w:cs="Calibri"/>
                <w:bCs/>
                <w:sz w:val="22"/>
                <w:szCs w:val="22"/>
                <w:lang w:val="es-CL"/>
              </w:rPr>
              <w:lastRenderedPageBreak/>
              <w:t>Por tanto, corresponde corregir los precios de gas utilizados en la indexación de precios de nudo del Informe Técnico, considerando la rectificación de precios indicada.</w:t>
            </w:r>
          </w:p>
          <w:p w14:paraId="05CAC169" w14:textId="6C129D92" w:rsidR="00937727" w:rsidRPr="00434011" w:rsidRDefault="00937727" w:rsidP="00646D7C">
            <w:pPr>
              <w:ind w:right="140"/>
              <w:jc w:val="both"/>
              <w:rPr>
                <w:rFonts w:ascii="Calibri" w:hAnsi="Calibri" w:cs="Calibri"/>
                <w:bCs/>
                <w:sz w:val="22"/>
                <w:szCs w:val="22"/>
                <w:lang w:val="es-CL"/>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17A020C9" w14:textId="51BBAF63" w:rsidR="00937727" w:rsidRPr="00CE1634" w:rsidRDefault="00937727" w:rsidP="00937727">
            <w:pPr>
              <w:jc w:val="both"/>
              <w:rPr>
                <w:rFonts w:ascii="Calibri" w:hAnsi="Calibri" w:cs="Calibri"/>
                <w:bCs/>
                <w:sz w:val="22"/>
                <w:szCs w:val="22"/>
                <w:lang w:val="es-CL"/>
              </w:rPr>
            </w:pPr>
            <w:r>
              <w:rPr>
                <w:rFonts w:ascii="Calibri" w:hAnsi="Calibri" w:cs="Calibri"/>
                <w:bCs/>
                <w:sz w:val="22"/>
                <w:szCs w:val="22"/>
                <w:lang w:val="es-CL"/>
              </w:rPr>
              <w:lastRenderedPageBreak/>
              <w:t>Se solicita corregir los precios de gas natural utilizados en la indexación de los precios de nudo de energía de los Sistemas Medianos, así como también su correspondiente aplicación en el cálculo de los Saldos del Mecanismo de Estabilización para Sistemas Medianos.</w:t>
            </w:r>
          </w:p>
          <w:p w14:paraId="4E6A911E" w14:textId="77777777" w:rsidR="00434011" w:rsidRPr="00434011" w:rsidRDefault="00434011" w:rsidP="00434011">
            <w:pPr>
              <w:ind w:right="140"/>
              <w:rPr>
                <w:rFonts w:ascii="Calibri" w:hAnsi="Calibri" w:cs="Calibri"/>
                <w:bCs/>
                <w:sz w:val="22"/>
                <w:szCs w:val="22"/>
                <w:lang w:val="es-CL"/>
              </w:rPr>
            </w:pPr>
          </w:p>
        </w:tc>
      </w:tr>
      <w:tr w:rsidR="001A0DE0" w14:paraId="59317DA4" w14:textId="77777777" w:rsidTr="00434011">
        <w:tc>
          <w:tcPr>
            <w:tcW w:w="1346" w:type="dxa"/>
            <w:tcBorders>
              <w:top w:val="single" w:sz="4" w:space="0" w:color="auto"/>
              <w:left w:val="single" w:sz="4" w:space="0" w:color="auto"/>
              <w:bottom w:val="single" w:sz="4" w:space="0" w:color="auto"/>
              <w:right w:val="single" w:sz="4" w:space="0" w:color="auto"/>
            </w:tcBorders>
            <w:shd w:val="clear" w:color="auto" w:fill="auto"/>
          </w:tcPr>
          <w:p w14:paraId="0C33DC5B" w14:textId="2F6AAB07" w:rsidR="001A0DE0" w:rsidRPr="00A44179" w:rsidRDefault="001A0DE0" w:rsidP="00434011">
            <w:pPr>
              <w:ind w:right="140"/>
              <w:rPr>
                <w:rFonts w:ascii="Calibri" w:hAnsi="Calibri" w:cs="Calibri"/>
                <w:bCs/>
                <w:sz w:val="22"/>
                <w:szCs w:val="22"/>
                <w:lang w:val="es-CL"/>
              </w:rPr>
            </w:pPr>
            <w:r w:rsidRPr="00A44179">
              <w:rPr>
                <w:rFonts w:ascii="Calibri" w:hAnsi="Calibri" w:cs="Calibri"/>
                <w:bCs/>
                <w:sz w:val="22"/>
                <w:szCs w:val="22"/>
                <w:lang w:val="es-CL"/>
              </w:rPr>
              <w:t>EDELMAG</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5AADCFBF" w14:textId="77777777" w:rsidR="001A0DE0" w:rsidRPr="00A44179" w:rsidRDefault="001A0DE0" w:rsidP="001A0DE0">
            <w:pPr>
              <w:ind w:right="140"/>
              <w:jc w:val="both"/>
              <w:rPr>
                <w:rFonts w:ascii="Calibri" w:hAnsi="Calibri" w:cs="Calibri"/>
                <w:bCs/>
                <w:sz w:val="22"/>
                <w:szCs w:val="22"/>
                <w:lang w:val="es-CL"/>
              </w:rPr>
            </w:pPr>
            <w:r w:rsidRPr="00A44179">
              <w:rPr>
                <w:rFonts w:ascii="Calibri" w:hAnsi="Calibri" w:cs="Calibri"/>
                <w:bCs/>
                <w:sz w:val="22"/>
                <w:szCs w:val="22"/>
                <w:lang w:val="es-CL"/>
              </w:rPr>
              <w:t>5.1 Factores de ajuste de energía y potencia aplicables a los PNLP de energía y potencia</w:t>
            </w:r>
          </w:p>
          <w:p w14:paraId="03BF21A6" w14:textId="77777777" w:rsidR="001A0DE0" w:rsidRPr="00A44179" w:rsidRDefault="001A0DE0" w:rsidP="001A0DE0">
            <w:pPr>
              <w:ind w:right="140"/>
              <w:rPr>
                <w:rFonts w:ascii="Calibri" w:hAnsi="Calibri" w:cs="Calibri"/>
                <w:bCs/>
                <w:sz w:val="22"/>
                <w:szCs w:val="22"/>
                <w:lang w:val="es-CL"/>
              </w:rPr>
            </w:pPr>
          </w:p>
          <w:p w14:paraId="3C994190" w14:textId="567A8936" w:rsidR="001A0DE0" w:rsidRPr="00A44179" w:rsidRDefault="001A0DE0" w:rsidP="001A0DE0">
            <w:pPr>
              <w:ind w:right="140"/>
              <w:jc w:val="both"/>
              <w:rPr>
                <w:rFonts w:ascii="Calibri" w:hAnsi="Calibri" w:cs="Calibri"/>
                <w:bCs/>
                <w:sz w:val="22"/>
                <w:szCs w:val="22"/>
                <w:lang w:val="es-CL"/>
              </w:rPr>
            </w:pPr>
            <w:r w:rsidRPr="00A44179">
              <w:rPr>
                <w:rFonts w:ascii="Calibri" w:hAnsi="Calibri" w:cs="Calibri"/>
                <w:bCs/>
                <w:sz w:val="22"/>
                <w:szCs w:val="22"/>
                <w:lang w:val="es-CL"/>
              </w:rPr>
              <w:t>Anexo “Precios SSMM_PNP enero 2021”</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23D46740" w14:textId="23199524" w:rsidR="001A0DE0" w:rsidRPr="00A44179" w:rsidRDefault="001A0DE0" w:rsidP="001A0DE0">
            <w:pPr>
              <w:ind w:right="140"/>
              <w:jc w:val="both"/>
              <w:rPr>
                <w:rFonts w:ascii="Calibri" w:hAnsi="Calibri" w:cs="Calibri"/>
                <w:bCs/>
                <w:sz w:val="22"/>
                <w:szCs w:val="22"/>
                <w:lang w:val="es-CL"/>
              </w:rPr>
            </w:pPr>
            <w:r w:rsidRPr="00A44179">
              <w:rPr>
                <w:rFonts w:ascii="Calibri" w:hAnsi="Calibri" w:cs="Calibri"/>
                <w:bCs/>
                <w:sz w:val="22"/>
                <w:szCs w:val="22"/>
                <w:lang w:val="es-CL"/>
              </w:rPr>
              <w:t xml:space="preserve">En el Informe Técnico y en sus Anexos, se establecen los precios de nudo de energía </w:t>
            </w:r>
            <w:r w:rsidR="008B55CE" w:rsidRPr="00A44179">
              <w:rPr>
                <w:rFonts w:ascii="Calibri" w:hAnsi="Calibri" w:cs="Calibri"/>
                <w:bCs/>
                <w:sz w:val="22"/>
                <w:szCs w:val="22"/>
                <w:lang w:val="es-CL"/>
              </w:rPr>
              <w:t xml:space="preserve">y potencia </w:t>
            </w:r>
            <w:r w:rsidRPr="00A44179">
              <w:rPr>
                <w:rFonts w:ascii="Calibri" w:hAnsi="Calibri" w:cs="Calibri"/>
                <w:bCs/>
                <w:sz w:val="22"/>
                <w:szCs w:val="22"/>
                <w:lang w:val="es-CL"/>
              </w:rPr>
              <w:t>de largo plazo para los Sistema Medianos.</w:t>
            </w:r>
          </w:p>
          <w:p w14:paraId="0E12DAF8" w14:textId="77777777" w:rsidR="001A0DE0" w:rsidRPr="00A44179" w:rsidRDefault="001A0DE0" w:rsidP="00646D7C">
            <w:pPr>
              <w:ind w:right="140"/>
              <w:jc w:val="both"/>
              <w:rPr>
                <w:rFonts w:ascii="Calibri" w:hAnsi="Calibri" w:cs="Calibri"/>
                <w:bCs/>
                <w:sz w:val="22"/>
                <w:szCs w:val="22"/>
                <w:lang w:val="es-CL"/>
              </w:rPr>
            </w:pPr>
          </w:p>
          <w:p w14:paraId="666B83F5" w14:textId="229182B9" w:rsidR="00F7330F" w:rsidRPr="00A44179" w:rsidRDefault="00F7330F" w:rsidP="00A87E2A">
            <w:pPr>
              <w:ind w:right="140"/>
              <w:jc w:val="both"/>
              <w:rPr>
                <w:rFonts w:ascii="Calibri" w:hAnsi="Calibri" w:cs="Calibri"/>
                <w:bCs/>
                <w:sz w:val="22"/>
                <w:szCs w:val="22"/>
                <w:lang w:val="es-CL"/>
              </w:rPr>
            </w:pPr>
            <w:r w:rsidRPr="00A44179">
              <w:rPr>
                <w:rFonts w:ascii="Calibri" w:hAnsi="Calibri" w:cs="Calibri"/>
                <w:bCs/>
                <w:sz w:val="22"/>
                <w:szCs w:val="22"/>
                <w:lang w:val="es-CL"/>
              </w:rPr>
              <w:t>En el A</w:t>
            </w:r>
            <w:r w:rsidR="001A0DE0" w:rsidRPr="00A44179">
              <w:rPr>
                <w:rFonts w:ascii="Calibri" w:hAnsi="Calibri" w:cs="Calibri"/>
                <w:bCs/>
                <w:sz w:val="22"/>
                <w:szCs w:val="22"/>
                <w:lang w:val="es-CL"/>
              </w:rPr>
              <w:t xml:space="preserve">rtículo </w:t>
            </w:r>
            <w:r w:rsidRPr="00A44179">
              <w:rPr>
                <w:rFonts w:ascii="Calibri" w:hAnsi="Calibri" w:cs="Calibri"/>
                <w:bCs/>
                <w:sz w:val="22"/>
                <w:szCs w:val="22"/>
                <w:lang w:val="es-CL"/>
              </w:rPr>
              <w:t>22</w:t>
            </w:r>
            <w:r w:rsidR="00A87E2A" w:rsidRPr="00A44179">
              <w:rPr>
                <w:rFonts w:ascii="Calibri" w:hAnsi="Calibri" w:cs="Calibri"/>
                <w:bCs/>
                <w:sz w:val="22"/>
                <w:szCs w:val="22"/>
                <w:lang w:val="es-CL"/>
              </w:rPr>
              <w:t>°</w:t>
            </w:r>
            <w:r w:rsidR="00AC102D" w:rsidRPr="00A44179">
              <w:rPr>
                <w:rFonts w:ascii="Calibri" w:hAnsi="Calibri" w:cs="Calibri"/>
                <w:bCs/>
                <w:sz w:val="22"/>
                <w:szCs w:val="22"/>
                <w:lang w:val="es-CL"/>
              </w:rPr>
              <w:t xml:space="preserve"> de la Resolución Exenta N°</w:t>
            </w:r>
            <w:r w:rsidRPr="00A44179">
              <w:rPr>
                <w:rFonts w:ascii="Calibri" w:hAnsi="Calibri" w:cs="Calibri"/>
                <w:bCs/>
                <w:sz w:val="22"/>
                <w:szCs w:val="22"/>
                <w:lang w:val="es-CL"/>
              </w:rPr>
              <w:t xml:space="preserve">72-2020 que establece disposiciones técnicas para la implementación de la Ley </w:t>
            </w:r>
            <w:proofErr w:type="spellStart"/>
            <w:r w:rsidRPr="00A44179">
              <w:rPr>
                <w:rFonts w:ascii="Calibri" w:hAnsi="Calibri" w:cs="Calibri"/>
                <w:bCs/>
                <w:sz w:val="22"/>
                <w:szCs w:val="22"/>
                <w:lang w:val="es-CL"/>
              </w:rPr>
              <w:t>N°</w:t>
            </w:r>
            <w:proofErr w:type="spellEnd"/>
            <w:r w:rsidR="00A44179">
              <w:rPr>
                <w:rFonts w:ascii="Calibri" w:hAnsi="Calibri" w:cs="Calibri"/>
                <w:bCs/>
                <w:sz w:val="22"/>
                <w:szCs w:val="22"/>
                <w:lang w:val="es-CL"/>
              </w:rPr>
              <w:t xml:space="preserve"> </w:t>
            </w:r>
            <w:r w:rsidRPr="00A44179">
              <w:rPr>
                <w:rFonts w:ascii="Calibri" w:hAnsi="Calibri" w:cs="Calibri"/>
                <w:bCs/>
                <w:sz w:val="22"/>
                <w:szCs w:val="22"/>
                <w:lang w:val="es-CL"/>
              </w:rPr>
              <w:t xml:space="preserve">21.185, </w:t>
            </w:r>
            <w:r w:rsidR="00A87E2A" w:rsidRPr="00A44179">
              <w:rPr>
                <w:rFonts w:ascii="Calibri" w:hAnsi="Calibri" w:cs="Calibri"/>
                <w:bCs/>
                <w:sz w:val="22"/>
                <w:szCs w:val="22"/>
                <w:lang w:val="es-CL"/>
              </w:rPr>
              <w:t>se indica que</w:t>
            </w:r>
            <w:r w:rsidR="00C3568A" w:rsidRPr="00A44179">
              <w:rPr>
                <w:rFonts w:ascii="Calibri" w:hAnsi="Calibri" w:cs="Calibri"/>
                <w:bCs/>
                <w:sz w:val="22"/>
                <w:szCs w:val="22"/>
                <w:lang w:val="es-CL"/>
              </w:rPr>
              <w:t>,</w:t>
            </w:r>
            <w:r w:rsidR="00A87E2A" w:rsidRPr="00A44179">
              <w:rPr>
                <w:rFonts w:ascii="Calibri" w:hAnsi="Calibri" w:cs="Calibri"/>
                <w:bCs/>
                <w:sz w:val="22"/>
                <w:szCs w:val="22"/>
                <w:lang w:val="es-CL"/>
              </w:rPr>
              <w:t xml:space="preserve"> e</w:t>
            </w:r>
            <w:r w:rsidRPr="00A44179">
              <w:rPr>
                <w:rFonts w:ascii="Calibri" w:hAnsi="Calibri" w:cs="Calibri"/>
                <w:bCs/>
                <w:sz w:val="22"/>
                <w:szCs w:val="22"/>
                <w:lang w:val="es-CL"/>
              </w:rPr>
              <w:t>n caso de existir más de un operador en el</w:t>
            </w:r>
            <w:r w:rsidR="00A87E2A" w:rsidRPr="00A44179">
              <w:rPr>
                <w:rFonts w:ascii="Calibri" w:hAnsi="Calibri" w:cs="Calibri"/>
                <w:bCs/>
                <w:sz w:val="22"/>
                <w:szCs w:val="22"/>
                <w:lang w:val="es-CL"/>
              </w:rPr>
              <w:t xml:space="preserve"> </w:t>
            </w:r>
            <w:r w:rsidRPr="00A44179">
              <w:rPr>
                <w:rFonts w:ascii="Calibri" w:hAnsi="Calibri" w:cs="Calibri"/>
                <w:bCs/>
                <w:sz w:val="22"/>
                <w:szCs w:val="22"/>
                <w:lang w:val="es-CL"/>
              </w:rPr>
              <w:t>sistema mediano, la repartición de la recaudación por ventas de energía y potencia a clientes</w:t>
            </w:r>
            <w:r w:rsidR="00A87E2A" w:rsidRPr="00A44179">
              <w:rPr>
                <w:rFonts w:ascii="Calibri" w:hAnsi="Calibri" w:cs="Calibri"/>
                <w:bCs/>
                <w:sz w:val="22"/>
                <w:szCs w:val="22"/>
                <w:lang w:val="es-CL"/>
              </w:rPr>
              <w:t xml:space="preserve"> </w:t>
            </w:r>
            <w:r w:rsidRPr="00A44179">
              <w:rPr>
                <w:rFonts w:ascii="Calibri" w:hAnsi="Calibri" w:cs="Calibri"/>
                <w:bCs/>
                <w:sz w:val="22"/>
                <w:szCs w:val="22"/>
                <w:lang w:val="es-CL"/>
              </w:rPr>
              <w:t xml:space="preserve">regulados </w:t>
            </w:r>
            <w:r w:rsidR="00A87E2A" w:rsidRPr="00A44179">
              <w:rPr>
                <w:rFonts w:ascii="Calibri" w:hAnsi="Calibri" w:cs="Calibri"/>
                <w:bCs/>
                <w:sz w:val="22"/>
                <w:szCs w:val="22"/>
                <w:lang w:val="es-CL"/>
              </w:rPr>
              <w:t xml:space="preserve">se debe realizar </w:t>
            </w:r>
            <w:r w:rsidRPr="00A44179">
              <w:rPr>
                <w:rFonts w:ascii="Calibri" w:hAnsi="Calibri" w:cs="Calibri"/>
                <w:bCs/>
                <w:sz w:val="22"/>
                <w:szCs w:val="22"/>
                <w:lang w:val="es-CL"/>
              </w:rPr>
              <w:t xml:space="preserve">de conformidad a lo establecido en el Decreto Supremo </w:t>
            </w:r>
            <w:proofErr w:type="spellStart"/>
            <w:r w:rsidRPr="00A44179">
              <w:rPr>
                <w:rFonts w:ascii="Calibri" w:hAnsi="Calibri" w:cs="Calibri"/>
                <w:bCs/>
                <w:sz w:val="22"/>
                <w:szCs w:val="22"/>
                <w:lang w:val="es-CL"/>
              </w:rPr>
              <w:t>N°</w:t>
            </w:r>
            <w:proofErr w:type="spellEnd"/>
            <w:r w:rsidRPr="00A44179">
              <w:rPr>
                <w:rFonts w:ascii="Calibri" w:hAnsi="Calibri" w:cs="Calibri"/>
                <w:bCs/>
                <w:sz w:val="22"/>
                <w:szCs w:val="22"/>
                <w:lang w:val="es-CL"/>
              </w:rPr>
              <w:t xml:space="preserve"> 23, de 2015, del</w:t>
            </w:r>
            <w:r w:rsidR="00A87E2A" w:rsidRPr="00A44179">
              <w:rPr>
                <w:rFonts w:ascii="Calibri" w:hAnsi="Calibri" w:cs="Calibri"/>
                <w:bCs/>
                <w:sz w:val="22"/>
                <w:szCs w:val="22"/>
                <w:lang w:val="es-CL"/>
              </w:rPr>
              <w:t xml:space="preserve"> </w:t>
            </w:r>
            <w:r w:rsidRPr="00A44179">
              <w:rPr>
                <w:rFonts w:ascii="Calibri" w:hAnsi="Calibri" w:cs="Calibri"/>
                <w:bCs/>
                <w:sz w:val="22"/>
                <w:szCs w:val="22"/>
                <w:lang w:val="es-CL"/>
              </w:rPr>
              <w:t>Ministerio de Energía. A su vez, el pago de Saldos se efectuará a la operadora que posea</w:t>
            </w:r>
            <w:r w:rsidR="00A87E2A" w:rsidRPr="00A44179">
              <w:rPr>
                <w:rFonts w:ascii="Calibri" w:hAnsi="Calibri" w:cs="Calibri"/>
                <w:bCs/>
                <w:sz w:val="22"/>
                <w:szCs w:val="22"/>
                <w:lang w:val="es-CL"/>
              </w:rPr>
              <w:t xml:space="preserve"> </w:t>
            </w:r>
            <w:r w:rsidRPr="00A44179">
              <w:rPr>
                <w:rFonts w:ascii="Calibri" w:hAnsi="Calibri" w:cs="Calibri"/>
                <w:bCs/>
                <w:sz w:val="22"/>
                <w:szCs w:val="22"/>
                <w:lang w:val="es-CL"/>
              </w:rPr>
              <w:t>mayor capacidad de generación instalada en el correspondiente sistema mediano, la cual</w:t>
            </w:r>
            <w:r w:rsidR="00A87E2A" w:rsidRPr="00A44179">
              <w:rPr>
                <w:rFonts w:ascii="Calibri" w:hAnsi="Calibri" w:cs="Calibri"/>
                <w:bCs/>
                <w:sz w:val="22"/>
                <w:szCs w:val="22"/>
                <w:lang w:val="es-CL"/>
              </w:rPr>
              <w:t xml:space="preserve"> </w:t>
            </w:r>
            <w:r w:rsidRPr="00A44179">
              <w:rPr>
                <w:rFonts w:ascii="Calibri" w:hAnsi="Calibri" w:cs="Calibri"/>
                <w:bCs/>
                <w:sz w:val="22"/>
                <w:szCs w:val="22"/>
                <w:lang w:val="es-CL"/>
              </w:rPr>
              <w:t>deberá repartir dicho monto entre los distintos operadores del sistema mediano a prorrata</w:t>
            </w:r>
            <w:r w:rsidR="00A87E2A" w:rsidRPr="00A44179">
              <w:rPr>
                <w:rFonts w:ascii="Calibri" w:hAnsi="Calibri" w:cs="Calibri"/>
                <w:bCs/>
                <w:sz w:val="22"/>
                <w:szCs w:val="22"/>
                <w:lang w:val="es-CL"/>
              </w:rPr>
              <w:t xml:space="preserve"> </w:t>
            </w:r>
            <w:r w:rsidRPr="00A44179">
              <w:rPr>
                <w:rFonts w:ascii="Calibri" w:hAnsi="Calibri" w:cs="Calibri"/>
                <w:bCs/>
                <w:sz w:val="22"/>
                <w:szCs w:val="22"/>
                <w:lang w:val="es-CL"/>
              </w:rPr>
              <w:t xml:space="preserve">de los montos totales adeudados a cada uno de </w:t>
            </w:r>
            <w:r w:rsidR="00A87E2A" w:rsidRPr="00A44179">
              <w:rPr>
                <w:rFonts w:ascii="Calibri" w:hAnsi="Calibri" w:cs="Calibri"/>
                <w:bCs/>
                <w:sz w:val="22"/>
                <w:szCs w:val="22"/>
                <w:lang w:val="es-CL"/>
              </w:rPr>
              <w:t>ellos, aplicando en lo que corresponda las reglas fijadas en el mecanismo de estabilización.</w:t>
            </w:r>
          </w:p>
          <w:p w14:paraId="5CA02118" w14:textId="06228358" w:rsidR="00A87E2A" w:rsidRPr="00A44179" w:rsidRDefault="00A87E2A" w:rsidP="00A87E2A">
            <w:pPr>
              <w:ind w:right="140"/>
              <w:jc w:val="both"/>
              <w:rPr>
                <w:rFonts w:ascii="Calibri" w:hAnsi="Calibri" w:cs="Calibri"/>
                <w:bCs/>
                <w:sz w:val="22"/>
                <w:szCs w:val="22"/>
                <w:lang w:val="es-CL"/>
              </w:rPr>
            </w:pPr>
          </w:p>
          <w:p w14:paraId="4A7B01B5" w14:textId="3CF41D55" w:rsidR="00A87E2A" w:rsidRPr="00A44179" w:rsidRDefault="00A87E2A" w:rsidP="00085182">
            <w:pPr>
              <w:ind w:right="140"/>
              <w:jc w:val="both"/>
              <w:rPr>
                <w:rFonts w:ascii="Calibri" w:hAnsi="Calibri" w:cs="Calibri"/>
                <w:bCs/>
                <w:sz w:val="22"/>
                <w:szCs w:val="22"/>
                <w:lang w:val="es-CL"/>
              </w:rPr>
            </w:pPr>
            <w:r w:rsidRPr="00A44179">
              <w:rPr>
                <w:rFonts w:ascii="Calibri" w:hAnsi="Calibri" w:cs="Calibri"/>
                <w:bCs/>
                <w:sz w:val="22"/>
                <w:szCs w:val="22"/>
                <w:lang w:val="es-CL"/>
              </w:rPr>
              <w:t xml:space="preserve">Por lo tanto, para efectos de poder determinar los pagos de saldos por operador, se deben incorporar además de los precios de nudo, los correspondientes costos de transmisión y costos medios de generación por operador, establecidos en el decreto vigente, </w:t>
            </w:r>
            <w:r w:rsidR="00085182" w:rsidRPr="00A44179">
              <w:rPr>
                <w:rFonts w:ascii="Calibri" w:hAnsi="Calibri" w:cs="Calibri"/>
                <w:bCs/>
                <w:sz w:val="22"/>
                <w:szCs w:val="22"/>
                <w:lang w:val="es-CL"/>
              </w:rPr>
              <w:t xml:space="preserve">esto es, </w:t>
            </w:r>
            <w:r w:rsidR="008B55CE" w:rsidRPr="00A44179">
              <w:rPr>
                <w:rFonts w:ascii="Calibri" w:hAnsi="Calibri" w:cs="Calibri"/>
                <w:bCs/>
                <w:sz w:val="22"/>
                <w:szCs w:val="22"/>
                <w:lang w:val="es-CL"/>
              </w:rPr>
              <w:t xml:space="preserve">según </w:t>
            </w:r>
            <w:r w:rsidR="00085182" w:rsidRPr="00A44179">
              <w:rPr>
                <w:rFonts w:ascii="Calibri" w:hAnsi="Calibri" w:cs="Calibri"/>
                <w:bCs/>
                <w:sz w:val="22"/>
                <w:szCs w:val="22"/>
                <w:lang w:val="es-CL"/>
              </w:rPr>
              <w:t xml:space="preserve">el Artículo tercero </w:t>
            </w:r>
            <w:r w:rsidRPr="00A44179">
              <w:rPr>
                <w:rFonts w:ascii="Calibri" w:hAnsi="Calibri" w:cs="Calibri"/>
                <w:bCs/>
                <w:sz w:val="22"/>
                <w:szCs w:val="22"/>
                <w:lang w:val="es-CL"/>
              </w:rPr>
              <w:t xml:space="preserve">Decreto N°10T-2019 del </w:t>
            </w:r>
            <w:r w:rsidRPr="00A44179">
              <w:rPr>
                <w:rFonts w:ascii="Calibri" w:hAnsi="Calibri" w:cs="Calibri"/>
                <w:bCs/>
                <w:sz w:val="22"/>
                <w:szCs w:val="22"/>
                <w:lang w:val="es-CL"/>
              </w:rPr>
              <w:lastRenderedPageBreak/>
              <w:t xml:space="preserve">Ministerio de Energía, </w:t>
            </w:r>
            <w:r w:rsidR="00085182" w:rsidRPr="00A44179">
              <w:rPr>
                <w:rFonts w:ascii="Calibri" w:hAnsi="Calibri" w:cs="Calibri"/>
                <w:bCs/>
                <w:sz w:val="22"/>
                <w:szCs w:val="22"/>
                <w:lang w:val="es-CL"/>
              </w:rPr>
              <w:t>que establece dichos costos y sus fórmulas de indexación.</w:t>
            </w:r>
          </w:p>
          <w:p w14:paraId="5E74F51F" w14:textId="24361972" w:rsidR="00085182" w:rsidRPr="00A44179" w:rsidRDefault="00085182" w:rsidP="00085182">
            <w:pPr>
              <w:ind w:right="140"/>
              <w:jc w:val="both"/>
              <w:rPr>
                <w:rFonts w:ascii="Calibri" w:hAnsi="Calibri" w:cs="Calibri"/>
                <w:bCs/>
                <w:sz w:val="22"/>
                <w:szCs w:val="22"/>
                <w:lang w:val="es-CL"/>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0FFF3EA" w14:textId="2FB7E5B5" w:rsidR="001A0DE0" w:rsidRPr="00A44179" w:rsidRDefault="001A0DE0" w:rsidP="001A0DE0">
            <w:pPr>
              <w:jc w:val="both"/>
              <w:rPr>
                <w:rFonts w:ascii="Calibri" w:hAnsi="Calibri" w:cs="Calibri"/>
                <w:bCs/>
                <w:sz w:val="22"/>
                <w:szCs w:val="22"/>
                <w:lang w:val="es-CL"/>
              </w:rPr>
            </w:pPr>
            <w:r w:rsidRPr="00A44179">
              <w:rPr>
                <w:rFonts w:ascii="Calibri" w:hAnsi="Calibri" w:cs="Calibri"/>
                <w:bCs/>
                <w:sz w:val="22"/>
                <w:szCs w:val="22"/>
                <w:lang w:val="es-CL"/>
              </w:rPr>
              <w:lastRenderedPageBreak/>
              <w:t xml:space="preserve">Se solicita incorporar las indexaciones </w:t>
            </w:r>
            <w:r w:rsidR="00F7330F" w:rsidRPr="00A44179">
              <w:rPr>
                <w:rFonts w:ascii="Calibri" w:hAnsi="Calibri" w:cs="Calibri"/>
                <w:bCs/>
                <w:sz w:val="22"/>
                <w:szCs w:val="22"/>
                <w:lang w:val="es-CL"/>
              </w:rPr>
              <w:t xml:space="preserve">de los </w:t>
            </w:r>
            <w:r w:rsidR="00085182" w:rsidRPr="00A44179">
              <w:rPr>
                <w:rFonts w:ascii="Calibri" w:hAnsi="Calibri" w:cs="Calibri"/>
                <w:bCs/>
                <w:sz w:val="22"/>
                <w:szCs w:val="22"/>
                <w:lang w:val="es-CL"/>
              </w:rPr>
              <w:t xml:space="preserve">siguientes </w:t>
            </w:r>
            <w:r w:rsidR="00F7330F" w:rsidRPr="00A44179">
              <w:rPr>
                <w:rFonts w:ascii="Calibri" w:hAnsi="Calibri" w:cs="Calibri"/>
                <w:bCs/>
                <w:sz w:val="22"/>
                <w:szCs w:val="22"/>
                <w:lang w:val="es-CL"/>
              </w:rPr>
              <w:t>parámetros</w:t>
            </w:r>
            <w:r w:rsidR="008B55CE" w:rsidRPr="00A44179">
              <w:rPr>
                <w:rFonts w:ascii="Calibri" w:hAnsi="Calibri" w:cs="Calibri"/>
                <w:bCs/>
                <w:sz w:val="22"/>
                <w:szCs w:val="22"/>
                <w:lang w:val="es-CL"/>
              </w:rPr>
              <w:t>, según</w:t>
            </w:r>
            <w:r w:rsidR="00A44179">
              <w:rPr>
                <w:rFonts w:ascii="Calibri" w:hAnsi="Calibri" w:cs="Calibri"/>
                <w:bCs/>
                <w:sz w:val="22"/>
                <w:szCs w:val="22"/>
                <w:lang w:val="es-CL"/>
              </w:rPr>
              <w:t xml:space="preserve"> </w:t>
            </w:r>
            <w:r w:rsidR="00F7330F" w:rsidRPr="00A44179">
              <w:rPr>
                <w:rFonts w:ascii="Calibri" w:hAnsi="Calibri" w:cs="Calibri"/>
                <w:bCs/>
                <w:sz w:val="22"/>
                <w:szCs w:val="22"/>
                <w:lang w:val="es-CL"/>
              </w:rPr>
              <w:t xml:space="preserve">el </w:t>
            </w:r>
            <w:r w:rsidR="00085182" w:rsidRPr="00A44179">
              <w:rPr>
                <w:rFonts w:ascii="Calibri" w:hAnsi="Calibri" w:cs="Calibri"/>
                <w:bCs/>
                <w:sz w:val="22"/>
                <w:szCs w:val="22"/>
                <w:lang w:val="es-CL"/>
              </w:rPr>
              <w:t>Artículo tercero del Decreto N°10T-2019</w:t>
            </w:r>
            <w:r w:rsidR="00F7330F" w:rsidRPr="00A44179">
              <w:rPr>
                <w:rFonts w:ascii="Calibri" w:hAnsi="Calibri" w:cs="Calibri"/>
                <w:bCs/>
                <w:sz w:val="22"/>
                <w:szCs w:val="22"/>
                <w:lang w:val="es-CL"/>
              </w:rPr>
              <w:t>, para determinar l</w:t>
            </w:r>
            <w:r w:rsidR="008B55CE" w:rsidRPr="00A44179">
              <w:rPr>
                <w:rFonts w:ascii="Calibri" w:hAnsi="Calibri" w:cs="Calibri"/>
                <w:bCs/>
                <w:sz w:val="22"/>
                <w:szCs w:val="22"/>
                <w:lang w:val="es-CL"/>
              </w:rPr>
              <w:t xml:space="preserve">a remuneración de los </w:t>
            </w:r>
            <w:r w:rsidR="00F7330F" w:rsidRPr="00A44179">
              <w:rPr>
                <w:rFonts w:ascii="Calibri" w:hAnsi="Calibri" w:cs="Calibri"/>
                <w:bCs/>
                <w:sz w:val="22"/>
                <w:szCs w:val="22"/>
                <w:lang w:val="es-CL"/>
              </w:rPr>
              <w:t>operadores del Sistema Mediano de Punta Arenas</w:t>
            </w:r>
            <w:r w:rsidR="00085182" w:rsidRPr="00A44179">
              <w:rPr>
                <w:rFonts w:ascii="Calibri" w:hAnsi="Calibri" w:cs="Calibri"/>
                <w:bCs/>
                <w:sz w:val="22"/>
                <w:szCs w:val="22"/>
                <w:lang w:val="es-CL"/>
              </w:rPr>
              <w:t xml:space="preserve">: </w:t>
            </w:r>
          </w:p>
          <w:p w14:paraId="7F737C4F" w14:textId="5374DFD8" w:rsidR="00A87E2A" w:rsidRPr="00A44179" w:rsidRDefault="00085182" w:rsidP="005B7C4B">
            <w:pPr>
              <w:pStyle w:val="Prrafodelista"/>
              <w:numPr>
                <w:ilvl w:val="0"/>
                <w:numId w:val="8"/>
              </w:numPr>
              <w:ind w:left="421" w:hanging="284"/>
              <w:jc w:val="both"/>
              <w:rPr>
                <w:rFonts w:ascii="Calibri" w:hAnsi="Calibri" w:cs="Calibri"/>
                <w:bCs/>
                <w:sz w:val="22"/>
                <w:szCs w:val="22"/>
                <w:lang w:val="es-CL"/>
              </w:rPr>
            </w:pPr>
            <w:r w:rsidRPr="00A44179">
              <w:rPr>
                <w:rFonts w:ascii="Calibri" w:hAnsi="Calibri" w:cs="Calibri"/>
                <w:bCs/>
                <w:sz w:val="22"/>
                <w:szCs w:val="22"/>
                <w:lang w:val="es-CL"/>
              </w:rPr>
              <w:t>Costos Variables Totales</w:t>
            </w:r>
          </w:p>
          <w:p w14:paraId="45BC43A0" w14:textId="1610F329" w:rsidR="00085182" w:rsidRPr="00A44179" w:rsidRDefault="00085182" w:rsidP="005B7C4B">
            <w:pPr>
              <w:pStyle w:val="Prrafodelista"/>
              <w:numPr>
                <w:ilvl w:val="0"/>
                <w:numId w:val="8"/>
              </w:numPr>
              <w:ind w:left="421" w:hanging="284"/>
              <w:jc w:val="both"/>
              <w:rPr>
                <w:rFonts w:ascii="Calibri" w:hAnsi="Calibri" w:cs="Calibri"/>
                <w:bCs/>
                <w:sz w:val="22"/>
                <w:szCs w:val="22"/>
                <w:lang w:val="es-CL"/>
              </w:rPr>
            </w:pPr>
            <w:r w:rsidRPr="00A44179">
              <w:rPr>
                <w:rFonts w:ascii="Calibri" w:hAnsi="Calibri" w:cs="Calibri"/>
                <w:bCs/>
                <w:sz w:val="22"/>
                <w:szCs w:val="22"/>
                <w:lang w:val="es-CL"/>
              </w:rPr>
              <w:t>Costos de Transmisión</w:t>
            </w:r>
            <w:r w:rsidR="008B55CE" w:rsidRPr="00A44179">
              <w:rPr>
                <w:rFonts w:ascii="Calibri" w:hAnsi="Calibri" w:cs="Calibri"/>
                <w:bCs/>
                <w:sz w:val="22"/>
                <w:szCs w:val="22"/>
                <w:lang w:val="es-CL"/>
              </w:rPr>
              <w:t xml:space="preserve"> mensuales</w:t>
            </w:r>
          </w:p>
          <w:p w14:paraId="7B42C8E3" w14:textId="77777777" w:rsidR="00A87E2A" w:rsidRPr="00A44179" w:rsidRDefault="00A87E2A" w:rsidP="005B7C4B">
            <w:pPr>
              <w:ind w:left="421" w:hanging="284"/>
              <w:jc w:val="both"/>
              <w:rPr>
                <w:rFonts w:ascii="Calibri" w:hAnsi="Calibri" w:cs="Calibri"/>
                <w:bCs/>
                <w:sz w:val="22"/>
                <w:szCs w:val="22"/>
                <w:lang w:val="es-CL"/>
              </w:rPr>
            </w:pPr>
          </w:p>
          <w:p w14:paraId="47EC8EDD" w14:textId="77777777" w:rsidR="001A0DE0" w:rsidRPr="00A44179" w:rsidRDefault="001A0DE0" w:rsidP="00937727">
            <w:pPr>
              <w:jc w:val="both"/>
              <w:rPr>
                <w:rFonts w:ascii="Calibri" w:hAnsi="Calibri" w:cs="Calibri"/>
                <w:bCs/>
                <w:sz w:val="22"/>
                <w:szCs w:val="22"/>
                <w:lang w:val="es-CL"/>
              </w:rPr>
            </w:pPr>
          </w:p>
        </w:tc>
      </w:tr>
      <w:tr w:rsidR="00104BED" w:rsidRPr="0079722A" w14:paraId="2E55C81B" w14:textId="77777777" w:rsidTr="003F668F">
        <w:trPr>
          <w:trHeight w:val="325"/>
        </w:trPr>
        <w:tc>
          <w:tcPr>
            <w:tcW w:w="1346" w:type="dxa"/>
            <w:tcBorders>
              <w:top w:val="single" w:sz="4" w:space="0" w:color="auto"/>
              <w:left w:val="single" w:sz="4" w:space="0" w:color="auto"/>
              <w:bottom w:val="single" w:sz="4" w:space="0" w:color="auto"/>
              <w:right w:val="single" w:sz="4" w:space="0" w:color="auto"/>
            </w:tcBorders>
          </w:tcPr>
          <w:p w14:paraId="29377E01" w14:textId="77777777" w:rsidR="00104BED" w:rsidRDefault="00104BED" w:rsidP="00A71453">
            <w:pPr>
              <w:ind w:right="140"/>
              <w:rPr>
                <w:rFonts w:ascii="Calibri" w:hAnsi="Calibri" w:cs="Calibri"/>
                <w:bCs/>
                <w:sz w:val="22"/>
                <w:szCs w:val="22"/>
                <w:lang w:val="es-CL"/>
              </w:rPr>
            </w:pPr>
            <w:r>
              <w:rPr>
                <w:rFonts w:ascii="Calibri" w:hAnsi="Calibri" w:cs="Calibri"/>
                <w:bCs/>
                <w:sz w:val="22"/>
                <w:szCs w:val="22"/>
                <w:lang w:val="es-CL"/>
              </w:rPr>
              <w:t>EDELMAG</w:t>
            </w:r>
          </w:p>
        </w:tc>
        <w:tc>
          <w:tcPr>
            <w:tcW w:w="3119" w:type="dxa"/>
            <w:tcBorders>
              <w:top w:val="single" w:sz="4" w:space="0" w:color="auto"/>
              <w:left w:val="single" w:sz="4" w:space="0" w:color="auto"/>
              <w:bottom w:val="single" w:sz="4" w:space="0" w:color="auto"/>
              <w:right w:val="single" w:sz="4" w:space="0" w:color="auto"/>
            </w:tcBorders>
          </w:tcPr>
          <w:p w14:paraId="50E9AF0C" w14:textId="77777777" w:rsidR="00104BED" w:rsidRDefault="004853F1" w:rsidP="00A71453">
            <w:pPr>
              <w:autoSpaceDE w:val="0"/>
              <w:autoSpaceDN w:val="0"/>
              <w:adjustRightInd w:val="0"/>
              <w:rPr>
                <w:rFonts w:ascii="Calibri" w:hAnsi="Calibri" w:cs="Calibri"/>
                <w:bCs/>
                <w:sz w:val="22"/>
                <w:szCs w:val="22"/>
              </w:rPr>
            </w:pPr>
            <w:r>
              <w:rPr>
                <w:rFonts w:ascii="Calibri" w:hAnsi="Calibri" w:cs="Calibri"/>
                <w:bCs/>
                <w:sz w:val="22"/>
                <w:szCs w:val="22"/>
                <w:lang w:val="es-CL"/>
              </w:rPr>
              <w:t xml:space="preserve">5.2 Saldos por mecanismo de estabilización </w:t>
            </w:r>
          </w:p>
        </w:tc>
        <w:tc>
          <w:tcPr>
            <w:tcW w:w="5103" w:type="dxa"/>
            <w:tcBorders>
              <w:top w:val="single" w:sz="4" w:space="0" w:color="auto"/>
              <w:left w:val="single" w:sz="4" w:space="0" w:color="auto"/>
              <w:bottom w:val="single" w:sz="4" w:space="0" w:color="auto"/>
              <w:right w:val="single" w:sz="4" w:space="0" w:color="auto"/>
            </w:tcBorders>
          </w:tcPr>
          <w:p w14:paraId="5B30080B" w14:textId="33EE6B92" w:rsidR="004853F1" w:rsidRDefault="009D5CE7" w:rsidP="009D5CE7">
            <w:pPr>
              <w:autoSpaceDE w:val="0"/>
              <w:autoSpaceDN w:val="0"/>
              <w:adjustRightInd w:val="0"/>
              <w:jc w:val="both"/>
              <w:rPr>
                <w:rFonts w:ascii="Calibri" w:hAnsi="Calibri" w:cs="Calibri"/>
                <w:bCs/>
                <w:sz w:val="22"/>
                <w:szCs w:val="22"/>
                <w:lang w:val="es-CL"/>
              </w:rPr>
            </w:pPr>
            <w:r>
              <w:rPr>
                <w:rFonts w:ascii="Calibri" w:hAnsi="Calibri" w:cs="Calibri"/>
                <w:bCs/>
                <w:sz w:val="22"/>
                <w:szCs w:val="22"/>
                <w:lang w:val="es-CL"/>
              </w:rPr>
              <w:t>Los saldos calculados para el Sistema Mediano de Punta Arenas incluyen la totalidad de la compra de energía y potencia del sistema, incluyendo clientes regulados y libres.</w:t>
            </w:r>
          </w:p>
          <w:p w14:paraId="098464FF" w14:textId="77777777" w:rsidR="00201144" w:rsidRDefault="00201144" w:rsidP="009D5CE7">
            <w:pPr>
              <w:autoSpaceDE w:val="0"/>
              <w:autoSpaceDN w:val="0"/>
              <w:adjustRightInd w:val="0"/>
              <w:jc w:val="both"/>
              <w:rPr>
                <w:rFonts w:ascii="Calibri" w:hAnsi="Calibri" w:cs="Calibri"/>
                <w:bCs/>
                <w:sz w:val="22"/>
                <w:szCs w:val="22"/>
                <w:lang w:val="es-CL"/>
              </w:rPr>
            </w:pPr>
          </w:p>
          <w:p w14:paraId="7B007EF9" w14:textId="3F3CF5AC" w:rsidR="009D5CE7" w:rsidRDefault="009D5CE7" w:rsidP="009D5CE7">
            <w:pPr>
              <w:autoSpaceDE w:val="0"/>
              <w:autoSpaceDN w:val="0"/>
              <w:adjustRightInd w:val="0"/>
              <w:jc w:val="both"/>
              <w:rPr>
                <w:rFonts w:ascii="Calibri" w:hAnsi="Calibri" w:cs="Calibri"/>
                <w:bCs/>
                <w:sz w:val="22"/>
                <w:szCs w:val="22"/>
                <w:lang w:val="es-CL"/>
              </w:rPr>
            </w:pPr>
            <w:r>
              <w:rPr>
                <w:rFonts w:ascii="Calibri" w:hAnsi="Calibri" w:cs="Calibri"/>
                <w:bCs/>
                <w:sz w:val="22"/>
                <w:szCs w:val="22"/>
                <w:lang w:val="es-CL"/>
              </w:rPr>
              <w:t xml:space="preserve">La Resolución Exenta N°72 de 2020 de la Comisión Nacional de Energía </w:t>
            </w:r>
            <w:r w:rsidR="00983090">
              <w:rPr>
                <w:rFonts w:ascii="Calibri" w:hAnsi="Calibri" w:cs="Calibri"/>
                <w:bCs/>
                <w:sz w:val="22"/>
                <w:szCs w:val="22"/>
                <w:lang w:val="es-CL"/>
              </w:rPr>
              <w:t xml:space="preserve">que, </w:t>
            </w:r>
            <w:r>
              <w:rPr>
                <w:rFonts w:ascii="Calibri" w:hAnsi="Calibri" w:cs="Calibri"/>
                <w:bCs/>
                <w:sz w:val="22"/>
                <w:szCs w:val="22"/>
                <w:lang w:val="es-CL"/>
              </w:rPr>
              <w:t xml:space="preserve">establece las disposiciones técnicas para la implementación de la Ley N°21.185, señala que los precios de generación que resulten del Mecanismo de Estabilización son los que </w:t>
            </w:r>
            <w:r w:rsidRPr="009D5CE7">
              <w:rPr>
                <w:rFonts w:ascii="Calibri" w:hAnsi="Calibri" w:cs="Calibri"/>
                <w:bCs/>
                <w:sz w:val="22"/>
                <w:szCs w:val="22"/>
                <w:lang w:val="es-CL"/>
              </w:rPr>
              <w:t>las Distribuidoras deberán traspasar mensualmente a todos sus clientes finales</w:t>
            </w:r>
            <w:r>
              <w:rPr>
                <w:rFonts w:ascii="Calibri" w:hAnsi="Calibri" w:cs="Calibri"/>
                <w:bCs/>
                <w:sz w:val="22"/>
                <w:szCs w:val="22"/>
                <w:lang w:val="es-CL"/>
              </w:rPr>
              <w:t xml:space="preserve"> </w:t>
            </w:r>
            <w:r w:rsidRPr="009D5CE7">
              <w:rPr>
                <w:rFonts w:ascii="Calibri" w:hAnsi="Calibri" w:cs="Calibri"/>
                <w:bCs/>
                <w:sz w:val="22"/>
                <w:szCs w:val="22"/>
                <w:lang w:val="es-CL"/>
              </w:rPr>
              <w:t>sujetos a fijación de precios</w:t>
            </w:r>
            <w:r>
              <w:rPr>
                <w:rFonts w:ascii="Calibri" w:hAnsi="Calibri" w:cs="Calibri"/>
                <w:bCs/>
                <w:sz w:val="22"/>
                <w:szCs w:val="22"/>
                <w:lang w:val="es-CL"/>
              </w:rPr>
              <w:t xml:space="preserve"> (Artículo 2°).</w:t>
            </w:r>
          </w:p>
          <w:p w14:paraId="1AE38C8C" w14:textId="77777777" w:rsidR="00201144" w:rsidRDefault="00201144" w:rsidP="009D5CE7">
            <w:pPr>
              <w:autoSpaceDE w:val="0"/>
              <w:autoSpaceDN w:val="0"/>
              <w:adjustRightInd w:val="0"/>
              <w:jc w:val="both"/>
              <w:rPr>
                <w:rFonts w:ascii="Calibri" w:hAnsi="Calibri" w:cs="Calibri"/>
                <w:bCs/>
                <w:sz w:val="22"/>
                <w:szCs w:val="22"/>
                <w:lang w:val="es-CL"/>
              </w:rPr>
            </w:pPr>
          </w:p>
          <w:p w14:paraId="4E24E13A" w14:textId="1ED3C11B" w:rsidR="00201144" w:rsidRDefault="009D5CE7" w:rsidP="009D5CE7">
            <w:pPr>
              <w:autoSpaceDE w:val="0"/>
              <w:autoSpaceDN w:val="0"/>
              <w:adjustRightInd w:val="0"/>
              <w:jc w:val="both"/>
              <w:rPr>
                <w:rFonts w:ascii="Calibri" w:hAnsi="Calibri" w:cs="Calibri"/>
                <w:bCs/>
                <w:sz w:val="22"/>
                <w:szCs w:val="22"/>
                <w:lang w:val="es-CL"/>
              </w:rPr>
            </w:pPr>
            <w:r>
              <w:rPr>
                <w:rFonts w:ascii="Calibri" w:hAnsi="Calibri" w:cs="Calibri"/>
                <w:bCs/>
                <w:sz w:val="22"/>
                <w:szCs w:val="22"/>
                <w:lang w:val="es-CL"/>
              </w:rPr>
              <w:t xml:space="preserve">Por lo tanto, corresponde corregir la información de compras de energía y potencia informadas por EDELMAG en sus cartas EEMG N°403 del 23 de abril de 2020, en respuesta a Oficio Ordinario N°272-2020, y EEMG N°1406 del 28 de septiembre de 2020, en respuesta a Oficio Ordinario N°718-2020, ya que </w:t>
            </w:r>
            <w:r w:rsidR="00983090">
              <w:rPr>
                <w:rFonts w:ascii="Calibri" w:hAnsi="Calibri" w:cs="Calibri"/>
                <w:bCs/>
                <w:sz w:val="22"/>
                <w:szCs w:val="22"/>
                <w:lang w:val="es-CL"/>
              </w:rPr>
              <w:t xml:space="preserve">éstas </w:t>
            </w:r>
            <w:r>
              <w:rPr>
                <w:rFonts w:ascii="Calibri" w:hAnsi="Calibri" w:cs="Calibri"/>
                <w:bCs/>
                <w:sz w:val="22"/>
                <w:szCs w:val="22"/>
                <w:lang w:val="es-CL"/>
              </w:rPr>
              <w:t xml:space="preserve">incluyen </w:t>
            </w:r>
            <w:r w:rsidR="00201144">
              <w:rPr>
                <w:rFonts w:ascii="Calibri" w:hAnsi="Calibri" w:cs="Calibri"/>
                <w:bCs/>
                <w:sz w:val="22"/>
                <w:szCs w:val="22"/>
                <w:lang w:val="es-CL"/>
              </w:rPr>
              <w:t xml:space="preserve">la compra </w:t>
            </w:r>
            <w:r w:rsidR="00983090">
              <w:rPr>
                <w:rFonts w:ascii="Calibri" w:hAnsi="Calibri" w:cs="Calibri"/>
                <w:bCs/>
                <w:sz w:val="22"/>
                <w:szCs w:val="22"/>
                <w:lang w:val="es-CL"/>
              </w:rPr>
              <w:t xml:space="preserve">de energía y potencia </w:t>
            </w:r>
            <w:r w:rsidR="00D3285A">
              <w:rPr>
                <w:rFonts w:ascii="Calibri" w:hAnsi="Calibri" w:cs="Calibri"/>
                <w:bCs/>
                <w:sz w:val="22"/>
                <w:szCs w:val="22"/>
                <w:lang w:val="es-CL"/>
              </w:rPr>
              <w:t xml:space="preserve">para </w:t>
            </w:r>
            <w:r w:rsidR="00983090">
              <w:rPr>
                <w:rFonts w:ascii="Calibri" w:hAnsi="Calibri" w:cs="Calibri"/>
                <w:bCs/>
                <w:sz w:val="22"/>
                <w:szCs w:val="22"/>
                <w:lang w:val="es-CL"/>
              </w:rPr>
              <w:t>cliente libre</w:t>
            </w:r>
            <w:r w:rsidR="00201144">
              <w:rPr>
                <w:rFonts w:ascii="Calibri" w:hAnsi="Calibri" w:cs="Calibri"/>
                <w:bCs/>
                <w:sz w:val="22"/>
                <w:szCs w:val="22"/>
                <w:lang w:val="es-CL"/>
              </w:rPr>
              <w:t xml:space="preserve"> conectado a la Barra Tres Puentes del Sistema Mediano Punta Arenas.</w:t>
            </w:r>
          </w:p>
          <w:p w14:paraId="435FD539" w14:textId="2327EFBD" w:rsidR="009D5CE7" w:rsidRDefault="00201144" w:rsidP="009D5CE7">
            <w:pPr>
              <w:autoSpaceDE w:val="0"/>
              <w:autoSpaceDN w:val="0"/>
              <w:adjustRightInd w:val="0"/>
              <w:jc w:val="both"/>
              <w:rPr>
                <w:rFonts w:ascii="Calibri" w:hAnsi="Calibri" w:cs="Calibri"/>
                <w:bCs/>
                <w:sz w:val="22"/>
                <w:szCs w:val="22"/>
                <w:lang w:val="es-CL"/>
              </w:rPr>
            </w:pPr>
            <w:r>
              <w:rPr>
                <w:rFonts w:ascii="Calibri" w:hAnsi="Calibri" w:cs="Calibri"/>
                <w:bCs/>
                <w:sz w:val="22"/>
                <w:szCs w:val="22"/>
                <w:lang w:val="es-CL"/>
              </w:rPr>
              <w:t xml:space="preserve"> </w:t>
            </w:r>
          </w:p>
          <w:p w14:paraId="0BC18394" w14:textId="38430481" w:rsidR="009D5CE7" w:rsidRDefault="00983090" w:rsidP="009D5CE7">
            <w:pPr>
              <w:autoSpaceDE w:val="0"/>
              <w:autoSpaceDN w:val="0"/>
              <w:adjustRightInd w:val="0"/>
              <w:jc w:val="both"/>
              <w:rPr>
                <w:rFonts w:ascii="Calibri" w:hAnsi="Calibri" w:cs="Calibri"/>
                <w:bCs/>
                <w:sz w:val="22"/>
                <w:szCs w:val="22"/>
                <w:lang w:val="es-CL"/>
              </w:rPr>
            </w:pPr>
            <w:r>
              <w:rPr>
                <w:rFonts w:ascii="Calibri" w:hAnsi="Calibri" w:cs="Calibri"/>
                <w:bCs/>
                <w:sz w:val="22"/>
                <w:szCs w:val="22"/>
                <w:lang w:val="es-CL"/>
              </w:rPr>
              <w:t>S</w:t>
            </w:r>
            <w:r w:rsidR="00201144">
              <w:rPr>
                <w:rFonts w:ascii="Calibri" w:hAnsi="Calibri" w:cs="Calibri"/>
                <w:bCs/>
                <w:sz w:val="22"/>
                <w:szCs w:val="22"/>
                <w:lang w:val="es-CL"/>
              </w:rPr>
              <w:t xml:space="preserve">e </w:t>
            </w:r>
            <w:r>
              <w:rPr>
                <w:rFonts w:ascii="Calibri" w:hAnsi="Calibri" w:cs="Calibri"/>
                <w:bCs/>
                <w:sz w:val="22"/>
                <w:szCs w:val="22"/>
                <w:lang w:val="es-CL"/>
              </w:rPr>
              <w:t xml:space="preserve">adjunta </w:t>
            </w:r>
            <w:r w:rsidR="00201144">
              <w:rPr>
                <w:rFonts w:ascii="Calibri" w:hAnsi="Calibri" w:cs="Calibri"/>
                <w:bCs/>
                <w:sz w:val="22"/>
                <w:szCs w:val="22"/>
                <w:lang w:val="es-CL"/>
              </w:rPr>
              <w:t xml:space="preserve">planilla con la </w:t>
            </w:r>
            <w:r>
              <w:rPr>
                <w:rFonts w:ascii="Calibri" w:hAnsi="Calibri" w:cs="Calibri"/>
                <w:bCs/>
                <w:sz w:val="22"/>
                <w:szCs w:val="22"/>
                <w:lang w:val="es-CL"/>
              </w:rPr>
              <w:t>Compra de Energía y Potencia del sistema mediano Punta Arenas, descontada la compra del cliente libre.</w:t>
            </w:r>
          </w:p>
          <w:p w14:paraId="755EA260" w14:textId="435C16AC" w:rsidR="009D5CE7" w:rsidRDefault="009D5CE7" w:rsidP="009D5CE7">
            <w:pPr>
              <w:autoSpaceDE w:val="0"/>
              <w:autoSpaceDN w:val="0"/>
              <w:adjustRightInd w:val="0"/>
              <w:jc w:val="both"/>
              <w:rPr>
                <w:rFonts w:ascii="Calibri" w:hAnsi="Calibri" w:cs="Calibri"/>
                <w:bCs/>
                <w:sz w:val="22"/>
                <w:szCs w:val="22"/>
                <w:lang w:val="es-CL"/>
              </w:rPr>
            </w:pPr>
          </w:p>
        </w:tc>
        <w:tc>
          <w:tcPr>
            <w:tcW w:w="3827" w:type="dxa"/>
            <w:tcBorders>
              <w:top w:val="single" w:sz="4" w:space="0" w:color="auto"/>
              <w:left w:val="single" w:sz="4" w:space="0" w:color="auto"/>
              <w:bottom w:val="single" w:sz="4" w:space="0" w:color="auto"/>
              <w:right w:val="single" w:sz="4" w:space="0" w:color="auto"/>
            </w:tcBorders>
          </w:tcPr>
          <w:p w14:paraId="4A88355C" w14:textId="484F90AD" w:rsidR="00201144" w:rsidRPr="00CE1634" w:rsidRDefault="00021038" w:rsidP="00201144">
            <w:pPr>
              <w:jc w:val="both"/>
              <w:rPr>
                <w:rFonts w:ascii="Calibri" w:hAnsi="Calibri" w:cs="Calibri"/>
                <w:bCs/>
                <w:sz w:val="22"/>
                <w:szCs w:val="22"/>
                <w:lang w:val="es-CL"/>
              </w:rPr>
            </w:pPr>
            <w:r>
              <w:rPr>
                <w:rFonts w:ascii="Calibri" w:hAnsi="Calibri" w:cs="Calibri"/>
                <w:bCs/>
                <w:sz w:val="22"/>
                <w:szCs w:val="22"/>
                <w:lang w:val="es-CL"/>
              </w:rPr>
              <w:t xml:space="preserve">Se solicita </w:t>
            </w:r>
            <w:r w:rsidR="00201144">
              <w:rPr>
                <w:rFonts w:ascii="Calibri" w:hAnsi="Calibri" w:cs="Calibri"/>
                <w:bCs/>
                <w:sz w:val="22"/>
                <w:szCs w:val="22"/>
                <w:lang w:val="es-CL"/>
              </w:rPr>
              <w:t xml:space="preserve">corregir </w:t>
            </w:r>
            <w:r>
              <w:rPr>
                <w:rFonts w:ascii="Calibri" w:hAnsi="Calibri" w:cs="Calibri"/>
                <w:bCs/>
                <w:sz w:val="22"/>
                <w:szCs w:val="22"/>
                <w:lang w:val="es-CL"/>
              </w:rPr>
              <w:t xml:space="preserve">los Saldos del Mecanismo de Estabilización </w:t>
            </w:r>
            <w:r w:rsidR="00201144">
              <w:rPr>
                <w:rFonts w:ascii="Calibri" w:hAnsi="Calibri" w:cs="Calibri"/>
                <w:bCs/>
                <w:sz w:val="22"/>
                <w:szCs w:val="22"/>
                <w:lang w:val="es-CL"/>
              </w:rPr>
              <w:t>para Sistemas Medianos, descontando la compra de energía y potencia referida a cliente libre.</w:t>
            </w:r>
          </w:p>
          <w:p w14:paraId="595C604A" w14:textId="77777777" w:rsidR="00122664" w:rsidRDefault="00122664" w:rsidP="00513FC1">
            <w:pPr>
              <w:jc w:val="both"/>
              <w:rPr>
                <w:rFonts w:ascii="Calibri" w:hAnsi="Calibri" w:cs="Calibri"/>
                <w:bCs/>
                <w:sz w:val="22"/>
                <w:szCs w:val="22"/>
                <w:lang w:val="es-CL"/>
              </w:rPr>
            </w:pPr>
          </w:p>
          <w:p w14:paraId="077BAAD8" w14:textId="59B38E06" w:rsidR="001A0DE0" w:rsidRPr="00CE1634" w:rsidRDefault="001A0DE0" w:rsidP="00513FC1">
            <w:pPr>
              <w:jc w:val="both"/>
              <w:rPr>
                <w:rFonts w:ascii="Calibri" w:hAnsi="Calibri" w:cs="Calibri"/>
                <w:bCs/>
                <w:sz w:val="22"/>
                <w:szCs w:val="22"/>
                <w:lang w:val="es-CL"/>
              </w:rPr>
            </w:pPr>
            <w:r>
              <w:rPr>
                <w:rFonts w:ascii="Calibri" w:hAnsi="Calibri" w:cs="Calibri"/>
                <w:bCs/>
                <w:sz w:val="22"/>
                <w:szCs w:val="22"/>
                <w:lang w:val="es-CL"/>
              </w:rPr>
              <w:t>Esta corrección se debe aplicar tanto al saldo estimado al mes de agosto de 2020, como a la proyección de saldos futuros.</w:t>
            </w:r>
          </w:p>
        </w:tc>
      </w:tr>
      <w:tr w:rsidR="008E0983" w:rsidRPr="0079722A" w14:paraId="1C4068D5" w14:textId="77777777" w:rsidTr="003F668F">
        <w:trPr>
          <w:trHeight w:val="325"/>
        </w:trPr>
        <w:tc>
          <w:tcPr>
            <w:tcW w:w="1346" w:type="dxa"/>
            <w:tcBorders>
              <w:top w:val="single" w:sz="4" w:space="0" w:color="auto"/>
              <w:left w:val="single" w:sz="4" w:space="0" w:color="auto"/>
              <w:bottom w:val="single" w:sz="4" w:space="0" w:color="auto"/>
              <w:right w:val="single" w:sz="4" w:space="0" w:color="auto"/>
            </w:tcBorders>
          </w:tcPr>
          <w:p w14:paraId="34726986" w14:textId="17C7047F" w:rsidR="008E0983" w:rsidRPr="00B05E1B" w:rsidRDefault="008E0983" w:rsidP="008E0983">
            <w:pPr>
              <w:ind w:right="140"/>
              <w:rPr>
                <w:rFonts w:ascii="Calibri" w:hAnsi="Calibri" w:cs="Calibri"/>
                <w:bCs/>
                <w:sz w:val="22"/>
                <w:szCs w:val="22"/>
                <w:lang w:val="es-CL"/>
              </w:rPr>
            </w:pPr>
            <w:r w:rsidRPr="00B05E1B">
              <w:rPr>
                <w:rFonts w:ascii="Calibri" w:hAnsi="Calibri" w:cs="Calibri"/>
                <w:bCs/>
                <w:sz w:val="22"/>
                <w:szCs w:val="22"/>
                <w:lang w:val="es-CL"/>
              </w:rPr>
              <w:lastRenderedPageBreak/>
              <w:t>EDELMAG</w:t>
            </w:r>
          </w:p>
        </w:tc>
        <w:tc>
          <w:tcPr>
            <w:tcW w:w="3119" w:type="dxa"/>
            <w:tcBorders>
              <w:top w:val="single" w:sz="4" w:space="0" w:color="auto"/>
              <w:left w:val="single" w:sz="4" w:space="0" w:color="auto"/>
              <w:bottom w:val="single" w:sz="4" w:space="0" w:color="auto"/>
              <w:right w:val="single" w:sz="4" w:space="0" w:color="auto"/>
            </w:tcBorders>
          </w:tcPr>
          <w:p w14:paraId="24470EF3" w14:textId="49044C89" w:rsidR="008E0983" w:rsidRPr="00B05E1B" w:rsidRDefault="008E0983" w:rsidP="008E0983">
            <w:pPr>
              <w:autoSpaceDE w:val="0"/>
              <w:autoSpaceDN w:val="0"/>
              <w:adjustRightInd w:val="0"/>
              <w:rPr>
                <w:rFonts w:ascii="Calibri" w:hAnsi="Calibri" w:cs="Calibri"/>
                <w:bCs/>
                <w:sz w:val="22"/>
                <w:szCs w:val="22"/>
                <w:lang w:val="es-CL"/>
              </w:rPr>
            </w:pPr>
            <w:r w:rsidRPr="00B05E1B">
              <w:rPr>
                <w:rFonts w:ascii="Calibri" w:hAnsi="Calibri" w:cs="Calibri"/>
                <w:bCs/>
                <w:sz w:val="22"/>
                <w:szCs w:val="22"/>
                <w:lang w:val="es-CL"/>
              </w:rPr>
              <w:t xml:space="preserve">5.2 Saldos por mecanismo de estabilización </w:t>
            </w:r>
          </w:p>
        </w:tc>
        <w:tc>
          <w:tcPr>
            <w:tcW w:w="5103" w:type="dxa"/>
            <w:tcBorders>
              <w:top w:val="single" w:sz="4" w:space="0" w:color="auto"/>
              <w:left w:val="single" w:sz="4" w:space="0" w:color="auto"/>
              <w:bottom w:val="single" w:sz="4" w:space="0" w:color="auto"/>
              <w:right w:val="single" w:sz="4" w:space="0" w:color="auto"/>
            </w:tcBorders>
          </w:tcPr>
          <w:p w14:paraId="6507C681" w14:textId="4805FDAB" w:rsidR="008E0983" w:rsidRPr="00B05E1B" w:rsidRDefault="008E0983" w:rsidP="008E0983">
            <w:pPr>
              <w:autoSpaceDE w:val="0"/>
              <w:autoSpaceDN w:val="0"/>
              <w:adjustRightInd w:val="0"/>
              <w:jc w:val="both"/>
              <w:rPr>
                <w:rFonts w:ascii="Calibri" w:hAnsi="Calibri" w:cs="Calibri"/>
                <w:bCs/>
                <w:sz w:val="22"/>
                <w:szCs w:val="22"/>
                <w:lang w:val="es-CL"/>
              </w:rPr>
            </w:pPr>
            <w:r w:rsidRPr="00B05E1B">
              <w:rPr>
                <w:rFonts w:ascii="Calibri" w:hAnsi="Calibri" w:cs="Calibri"/>
                <w:bCs/>
                <w:sz w:val="22"/>
                <w:szCs w:val="22"/>
                <w:lang w:val="es-CL"/>
              </w:rPr>
              <w:t xml:space="preserve">En relación a la observación anterior, cabe señalar que el cliente libre existente corresponde a </w:t>
            </w:r>
            <w:r w:rsidR="00AF3E07">
              <w:rPr>
                <w:rFonts w:ascii="Calibri" w:hAnsi="Calibri" w:cs="Calibri"/>
                <w:bCs/>
                <w:sz w:val="22"/>
                <w:szCs w:val="22"/>
                <w:lang w:val="es-CL"/>
              </w:rPr>
              <w:t xml:space="preserve">cliente </w:t>
            </w:r>
            <w:r w:rsidRPr="00B05E1B">
              <w:rPr>
                <w:rFonts w:ascii="Calibri" w:hAnsi="Calibri" w:cs="Calibri"/>
                <w:bCs/>
                <w:sz w:val="22"/>
                <w:szCs w:val="22"/>
                <w:lang w:val="es-CL"/>
              </w:rPr>
              <w:t>con potencia conectada mayor a 5</w:t>
            </w:r>
            <w:r w:rsidR="00AF3E07">
              <w:rPr>
                <w:rFonts w:ascii="Calibri" w:hAnsi="Calibri" w:cs="Calibri"/>
                <w:bCs/>
                <w:sz w:val="22"/>
                <w:szCs w:val="22"/>
                <w:lang w:val="es-CL"/>
              </w:rPr>
              <w:t xml:space="preserve"> M</w:t>
            </w:r>
            <w:r w:rsidRPr="00B05E1B">
              <w:rPr>
                <w:rFonts w:ascii="Calibri" w:hAnsi="Calibri" w:cs="Calibri"/>
                <w:bCs/>
                <w:sz w:val="22"/>
                <w:szCs w:val="22"/>
                <w:lang w:val="es-CL"/>
              </w:rPr>
              <w:t xml:space="preserve">W, </w:t>
            </w:r>
            <w:r w:rsidR="00B05E1B">
              <w:rPr>
                <w:rFonts w:ascii="Calibri" w:hAnsi="Calibri" w:cs="Calibri"/>
                <w:bCs/>
                <w:sz w:val="22"/>
                <w:szCs w:val="22"/>
                <w:lang w:val="es-CL"/>
              </w:rPr>
              <w:t xml:space="preserve">al </w:t>
            </w:r>
            <w:r w:rsidR="00AF3E07">
              <w:rPr>
                <w:rFonts w:ascii="Calibri" w:hAnsi="Calibri" w:cs="Calibri"/>
                <w:bCs/>
                <w:sz w:val="22"/>
                <w:szCs w:val="22"/>
                <w:lang w:val="es-CL"/>
              </w:rPr>
              <w:t xml:space="preserve">que </w:t>
            </w:r>
            <w:r w:rsidR="00B05E1B">
              <w:rPr>
                <w:rFonts w:ascii="Calibri" w:hAnsi="Calibri" w:cs="Calibri"/>
                <w:bCs/>
                <w:sz w:val="22"/>
                <w:szCs w:val="22"/>
                <w:lang w:val="es-CL"/>
              </w:rPr>
              <w:t xml:space="preserve">se aplica </w:t>
            </w:r>
            <w:r w:rsidRPr="00B05E1B">
              <w:rPr>
                <w:rFonts w:ascii="Calibri" w:hAnsi="Calibri" w:cs="Calibri"/>
                <w:bCs/>
                <w:sz w:val="22"/>
                <w:szCs w:val="22"/>
                <w:lang w:val="es-CL"/>
              </w:rPr>
              <w:t>tarifa regulada</w:t>
            </w:r>
            <w:bookmarkStart w:id="0" w:name="_GoBack"/>
            <w:bookmarkEnd w:id="0"/>
            <w:r w:rsidR="00B05E1B">
              <w:rPr>
                <w:rFonts w:ascii="Calibri" w:hAnsi="Calibri" w:cs="Calibri"/>
                <w:bCs/>
                <w:sz w:val="22"/>
                <w:szCs w:val="22"/>
                <w:lang w:val="es-CL"/>
              </w:rPr>
              <w:t>.</w:t>
            </w:r>
            <w:r w:rsidRPr="00B05E1B">
              <w:rPr>
                <w:rFonts w:ascii="Calibri" w:hAnsi="Calibri" w:cs="Calibri"/>
                <w:bCs/>
                <w:sz w:val="22"/>
                <w:szCs w:val="22"/>
                <w:lang w:val="es-CL"/>
              </w:rPr>
              <w:t xml:space="preserve"> </w:t>
            </w:r>
          </w:p>
          <w:p w14:paraId="7A520B86" w14:textId="77777777" w:rsidR="008E0983" w:rsidRPr="00B05E1B" w:rsidRDefault="008E0983" w:rsidP="008E0983">
            <w:pPr>
              <w:autoSpaceDE w:val="0"/>
              <w:autoSpaceDN w:val="0"/>
              <w:adjustRightInd w:val="0"/>
              <w:jc w:val="both"/>
              <w:rPr>
                <w:rFonts w:ascii="Calibri" w:hAnsi="Calibri" w:cs="Calibri"/>
                <w:bCs/>
                <w:sz w:val="22"/>
                <w:szCs w:val="22"/>
                <w:lang w:val="es-CL"/>
              </w:rPr>
            </w:pPr>
          </w:p>
          <w:p w14:paraId="6D7C0C26" w14:textId="1BFE86BC" w:rsidR="00FA0835" w:rsidRPr="00B05E1B" w:rsidRDefault="00B05E1B" w:rsidP="008E0983">
            <w:pPr>
              <w:autoSpaceDE w:val="0"/>
              <w:autoSpaceDN w:val="0"/>
              <w:adjustRightInd w:val="0"/>
              <w:jc w:val="both"/>
              <w:rPr>
                <w:rFonts w:ascii="Calibri" w:hAnsi="Calibri" w:cs="Calibri"/>
                <w:bCs/>
                <w:sz w:val="22"/>
                <w:szCs w:val="22"/>
                <w:lang w:val="es-CL"/>
              </w:rPr>
            </w:pPr>
            <w:r>
              <w:rPr>
                <w:rFonts w:ascii="Calibri" w:hAnsi="Calibri" w:cs="Calibri"/>
                <w:bCs/>
                <w:sz w:val="22"/>
                <w:szCs w:val="22"/>
                <w:lang w:val="es-CL"/>
              </w:rPr>
              <w:t>L</w:t>
            </w:r>
            <w:r w:rsidR="008E0983" w:rsidRPr="00B05E1B">
              <w:rPr>
                <w:rFonts w:ascii="Calibri" w:hAnsi="Calibri" w:cs="Calibri"/>
                <w:bCs/>
                <w:sz w:val="22"/>
                <w:szCs w:val="22"/>
                <w:lang w:val="es-CL"/>
              </w:rPr>
              <w:t xml:space="preserve">a compra de energía y potencia efectuada para cliente libre, conforme al modelo de cálculo dispuesto en el Informe Técnico, </w:t>
            </w:r>
            <w:r>
              <w:rPr>
                <w:rFonts w:ascii="Calibri" w:hAnsi="Calibri" w:cs="Calibri"/>
                <w:bCs/>
                <w:sz w:val="22"/>
                <w:szCs w:val="22"/>
                <w:lang w:val="es-CL"/>
              </w:rPr>
              <w:t xml:space="preserve">se </w:t>
            </w:r>
            <w:r w:rsidR="008E0983" w:rsidRPr="00B05E1B">
              <w:rPr>
                <w:rFonts w:ascii="Calibri" w:hAnsi="Calibri" w:cs="Calibri"/>
                <w:bCs/>
                <w:sz w:val="22"/>
                <w:szCs w:val="22"/>
                <w:lang w:val="es-CL"/>
              </w:rPr>
              <w:t>valoriza</w:t>
            </w:r>
            <w:r>
              <w:rPr>
                <w:rFonts w:ascii="Calibri" w:hAnsi="Calibri" w:cs="Calibri"/>
                <w:bCs/>
                <w:sz w:val="22"/>
                <w:szCs w:val="22"/>
                <w:lang w:val="es-CL"/>
              </w:rPr>
              <w:t xml:space="preserve"> en </w:t>
            </w:r>
            <w:r w:rsidR="008E0983" w:rsidRPr="00B05E1B">
              <w:rPr>
                <w:rFonts w:ascii="Calibri" w:hAnsi="Calibri" w:cs="Calibri"/>
                <w:bCs/>
                <w:sz w:val="22"/>
                <w:szCs w:val="22"/>
                <w:lang w:val="es-CL"/>
              </w:rPr>
              <w:t xml:space="preserve">función de los precios de nudo de la barra </w:t>
            </w:r>
            <w:r>
              <w:rPr>
                <w:rFonts w:ascii="Calibri" w:hAnsi="Calibri" w:cs="Calibri"/>
                <w:bCs/>
                <w:sz w:val="22"/>
                <w:szCs w:val="22"/>
                <w:lang w:val="es-CL"/>
              </w:rPr>
              <w:t xml:space="preserve">a </w:t>
            </w:r>
            <w:r w:rsidR="008E0983" w:rsidRPr="00B05E1B">
              <w:rPr>
                <w:rFonts w:ascii="Calibri" w:hAnsi="Calibri" w:cs="Calibri"/>
                <w:bCs/>
                <w:sz w:val="22"/>
                <w:szCs w:val="22"/>
                <w:lang w:val="es-CL"/>
              </w:rPr>
              <w:t xml:space="preserve">la cual se conecta </w:t>
            </w:r>
            <w:r>
              <w:rPr>
                <w:rFonts w:ascii="Calibri" w:hAnsi="Calibri" w:cs="Calibri"/>
                <w:bCs/>
                <w:sz w:val="22"/>
                <w:szCs w:val="22"/>
                <w:lang w:val="es-CL"/>
              </w:rPr>
              <w:t xml:space="preserve">este </w:t>
            </w:r>
            <w:r w:rsidR="008E0983" w:rsidRPr="00B05E1B">
              <w:rPr>
                <w:rFonts w:ascii="Calibri" w:hAnsi="Calibri" w:cs="Calibri"/>
                <w:bCs/>
                <w:sz w:val="22"/>
                <w:szCs w:val="22"/>
                <w:lang w:val="es-CL"/>
              </w:rPr>
              <w:t>cliente.</w:t>
            </w:r>
            <w:r w:rsidR="00FA0835" w:rsidRPr="00B05E1B">
              <w:rPr>
                <w:rFonts w:ascii="Calibri" w:hAnsi="Calibri" w:cs="Calibri"/>
                <w:bCs/>
                <w:sz w:val="22"/>
                <w:szCs w:val="22"/>
                <w:lang w:val="es-CL"/>
              </w:rPr>
              <w:t xml:space="preserve"> </w:t>
            </w:r>
            <w:r w:rsidR="008E0983" w:rsidRPr="00B05E1B">
              <w:rPr>
                <w:rFonts w:ascii="Calibri" w:hAnsi="Calibri" w:cs="Calibri"/>
                <w:bCs/>
                <w:sz w:val="22"/>
                <w:szCs w:val="22"/>
                <w:lang w:val="es-CL"/>
              </w:rPr>
              <w:t xml:space="preserve">Sin embargo, en la tarifa </w:t>
            </w:r>
            <w:r>
              <w:rPr>
                <w:rFonts w:ascii="Calibri" w:hAnsi="Calibri" w:cs="Calibri"/>
                <w:bCs/>
                <w:sz w:val="22"/>
                <w:szCs w:val="22"/>
                <w:lang w:val="es-CL"/>
              </w:rPr>
              <w:t xml:space="preserve">aplicada </w:t>
            </w:r>
            <w:r w:rsidR="00FA0835" w:rsidRPr="00B05E1B">
              <w:rPr>
                <w:rFonts w:ascii="Calibri" w:hAnsi="Calibri" w:cs="Calibri"/>
                <w:bCs/>
                <w:sz w:val="22"/>
                <w:szCs w:val="22"/>
                <w:lang w:val="es-CL"/>
              </w:rPr>
              <w:t>se considera el precio de nudo equivalente, tal como lo establece el decreto vigente. Por lo tanto, se genera una diferencia entre los ingresos que debiese absorber el cliente y la compra de energía y potencia determinada para el cliente.</w:t>
            </w:r>
          </w:p>
          <w:p w14:paraId="55154EE0" w14:textId="77777777" w:rsidR="008E0983" w:rsidRPr="00B05E1B" w:rsidRDefault="008E0983" w:rsidP="00B05E1B">
            <w:pPr>
              <w:autoSpaceDE w:val="0"/>
              <w:autoSpaceDN w:val="0"/>
              <w:adjustRightInd w:val="0"/>
              <w:jc w:val="both"/>
              <w:rPr>
                <w:rFonts w:ascii="Calibri" w:hAnsi="Calibri" w:cs="Calibri"/>
                <w:bCs/>
                <w:sz w:val="22"/>
                <w:szCs w:val="22"/>
                <w:lang w:val="es-CL"/>
              </w:rPr>
            </w:pPr>
          </w:p>
        </w:tc>
        <w:tc>
          <w:tcPr>
            <w:tcW w:w="3827" w:type="dxa"/>
            <w:tcBorders>
              <w:top w:val="single" w:sz="4" w:space="0" w:color="auto"/>
              <w:left w:val="single" w:sz="4" w:space="0" w:color="auto"/>
              <w:bottom w:val="single" w:sz="4" w:space="0" w:color="auto"/>
              <w:right w:val="single" w:sz="4" w:space="0" w:color="auto"/>
            </w:tcBorders>
          </w:tcPr>
          <w:p w14:paraId="6C522384" w14:textId="77777777" w:rsidR="00B05E1B" w:rsidRDefault="00FA0835" w:rsidP="00B05E1B">
            <w:pPr>
              <w:autoSpaceDE w:val="0"/>
              <w:autoSpaceDN w:val="0"/>
              <w:adjustRightInd w:val="0"/>
              <w:jc w:val="both"/>
              <w:rPr>
                <w:rFonts w:ascii="Calibri" w:hAnsi="Calibri" w:cs="Calibri"/>
                <w:bCs/>
                <w:sz w:val="22"/>
                <w:szCs w:val="22"/>
                <w:lang w:val="es-CL"/>
              </w:rPr>
            </w:pPr>
            <w:r w:rsidRPr="00B05E1B">
              <w:rPr>
                <w:rFonts w:ascii="Calibri" w:hAnsi="Calibri" w:cs="Calibri"/>
                <w:bCs/>
                <w:sz w:val="22"/>
                <w:szCs w:val="22"/>
                <w:lang w:val="es-CL"/>
              </w:rPr>
              <w:t xml:space="preserve">Se solicita aclarar cómo opera el mecanismo para efectos </w:t>
            </w:r>
            <w:r w:rsidR="00DD12F3" w:rsidRPr="00B05E1B">
              <w:rPr>
                <w:rFonts w:ascii="Calibri" w:hAnsi="Calibri" w:cs="Calibri"/>
                <w:bCs/>
                <w:sz w:val="22"/>
                <w:szCs w:val="22"/>
                <w:lang w:val="es-CL"/>
              </w:rPr>
              <w:t>de no generar diferencias por concepto de descuentos de clientes libres en los saldos y los traspasos recaudados a clientes finales.</w:t>
            </w:r>
            <w:r w:rsidR="00B05E1B" w:rsidRPr="00B05E1B">
              <w:rPr>
                <w:rFonts w:ascii="Calibri" w:hAnsi="Calibri" w:cs="Calibri"/>
                <w:bCs/>
                <w:sz w:val="22"/>
                <w:szCs w:val="22"/>
                <w:lang w:val="es-CL"/>
              </w:rPr>
              <w:t xml:space="preserve"> </w:t>
            </w:r>
          </w:p>
          <w:p w14:paraId="1E737090" w14:textId="77777777" w:rsidR="00B05E1B" w:rsidRDefault="00B05E1B" w:rsidP="00B05E1B">
            <w:pPr>
              <w:autoSpaceDE w:val="0"/>
              <w:autoSpaceDN w:val="0"/>
              <w:adjustRightInd w:val="0"/>
              <w:jc w:val="both"/>
              <w:rPr>
                <w:rFonts w:ascii="Calibri" w:hAnsi="Calibri" w:cs="Calibri"/>
                <w:bCs/>
                <w:sz w:val="22"/>
                <w:szCs w:val="22"/>
                <w:lang w:val="es-CL"/>
              </w:rPr>
            </w:pPr>
          </w:p>
          <w:p w14:paraId="2D7FD5F8" w14:textId="062B2077" w:rsidR="008E0983" w:rsidRPr="00B05E1B" w:rsidRDefault="008E0983" w:rsidP="00B05E1B">
            <w:pPr>
              <w:autoSpaceDE w:val="0"/>
              <w:autoSpaceDN w:val="0"/>
              <w:adjustRightInd w:val="0"/>
              <w:jc w:val="both"/>
              <w:rPr>
                <w:rFonts w:ascii="Calibri" w:hAnsi="Calibri" w:cs="Calibri"/>
                <w:bCs/>
                <w:sz w:val="22"/>
                <w:szCs w:val="22"/>
                <w:lang w:val="es-CL"/>
              </w:rPr>
            </w:pPr>
          </w:p>
        </w:tc>
      </w:tr>
      <w:tr w:rsidR="008E0983" w:rsidRPr="0079722A" w14:paraId="1BD598D4" w14:textId="77777777" w:rsidTr="003F668F">
        <w:trPr>
          <w:trHeight w:val="325"/>
        </w:trPr>
        <w:tc>
          <w:tcPr>
            <w:tcW w:w="1346" w:type="dxa"/>
            <w:tcBorders>
              <w:top w:val="single" w:sz="4" w:space="0" w:color="auto"/>
              <w:left w:val="single" w:sz="4" w:space="0" w:color="auto"/>
              <w:bottom w:val="single" w:sz="4" w:space="0" w:color="auto"/>
              <w:right w:val="single" w:sz="4" w:space="0" w:color="auto"/>
            </w:tcBorders>
          </w:tcPr>
          <w:p w14:paraId="2BEA9105" w14:textId="08593E8B" w:rsidR="008E0983" w:rsidRPr="00A44179" w:rsidRDefault="008E0983" w:rsidP="008E0983">
            <w:pPr>
              <w:ind w:right="140"/>
              <w:rPr>
                <w:rFonts w:ascii="Calibri" w:hAnsi="Calibri" w:cs="Calibri"/>
                <w:bCs/>
                <w:sz w:val="22"/>
                <w:szCs w:val="22"/>
                <w:lang w:val="es-CL"/>
              </w:rPr>
            </w:pPr>
            <w:r w:rsidRPr="00A44179">
              <w:rPr>
                <w:rFonts w:ascii="Calibri" w:hAnsi="Calibri" w:cs="Calibri"/>
                <w:bCs/>
                <w:sz w:val="22"/>
                <w:szCs w:val="22"/>
                <w:lang w:val="es-CL"/>
              </w:rPr>
              <w:t>EDELMAG</w:t>
            </w:r>
          </w:p>
        </w:tc>
        <w:tc>
          <w:tcPr>
            <w:tcW w:w="3119" w:type="dxa"/>
            <w:tcBorders>
              <w:top w:val="single" w:sz="4" w:space="0" w:color="auto"/>
              <w:left w:val="single" w:sz="4" w:space="0" w:color="auto"/>
              <w:bottom w:val="single" w:sz="4" w:space="0" w:color="auto"/>
              <w:right w:val="single" w:sz="4" w:space="0" w:color="auto"/>
            </w:tcBorders>
          </w:tcPr>
          <w:p w14:paraId="5F39AA87" w14:textId="763F8C70" w:rsidR="008E0983" w:rsidRPr="00A44179" w:rsidRDefault="008E0983" w:rsidP="008E0983">
            <w:pPr>
              <w:ind w:right="140"/>
              <w:jc w:val="both"/>
              <w:rPr>
                <w:rFonts w:ascii="Calibri" w:hAnsi="Calibri" w:cs="Calibri"/>
                <w:bCs/>
                <w:sz w:val="22"/>
                <w:szCs w:val="22"/>
                <w:lang w:val="es-CL"/>
              </w:rPr>
            </w:pPr>
            <w:r w:rsidRPr="00A44179">
              <w:rPr>
                <w:rFonts w:ascii="Calibri" w:hAnsi="Calibri" w:cs="Calibri"/>
                <w:bCs/>
                <w:sz w:val="22"/>
                <w:szCs w:val="22"/>
                <w:lang w:val="es-CL"/>
              </w:rPr>
              <w:t xml:space="preserve">5.1 Factores de ajuste de energía y potencia aplicables a los PNLP de energía y potencia </w:t>
            </w:r>
          </w:p>
          <w:p w14:paraId="30B3A14B" w14:textId="77777777" w:rsidR="008E0983" w:rsidRPr="00A44179" w:rsidRDefault="008E0983" w:rsidP="008E0983">
            <w:pPr>
              <w:ind w:right="140"/>
              <w:jc w:val="both"/>
              <w:rPr>
                <w:rFonts w:ascii="Calibri" w:hAnsi="Calibri" w:cs="Calibri"/>
                <w:bCs/>
                <w:sz w:val="22"/>
                <w:szCs w:val="22"/>
                <w:lang w:val="es-CL"/>
              </w:rPr>
            </w:pPr>
          </w:p>
          <w:p w14:paraId="60CA4528" w14:textId="6EBBAB9D" w:rsidR="008E0983" w:rsidRPr="00A44179" w:rsidRDefault="008E0983" w:rsidP="008E0983">
            <w:pPr>
              <w:ind w:right="140"/>
              <w:jc w:val="both"/>
              <w:rPr>
                <w:rFonts w:ascii="Calibri" w:hAnsi="Calibri" w:cs="Calibri"/>
                <w:bCs/>
                <w:sz w:val="22"/>
                <w:szCs w:val="22"/>
              </w:rPr>
            </w:pPr>
            <w:r w:rsidRPr="00A44179">
              <w:rPr>
                <w:rFonts w:ascii="Calibri" w:hAnsi="Calibri" w:cs="Calibri"/>
                <w:bCs/>
                <w:sz w:val="22"/>
                <w:szCs w:val="22"/>
                <w:lang w:val="es-CL"/>
              </w:rPr>
              <w:t>5.4 Balance por Distribuidora asociado a compras y retiros de energía y potencia</w:t>
            </w:r>
          </w:p>
        </w:tc>
        <w:tc>
          <w:tcPr>
            <w:tcW w:w="5103" w:type="dxa"/>
            <w:tcBorders>
              <w:top w:val="single" w:sz="4" w:space="0" w:color="auto"/>
              <w:left w:val="single" w:sz="4" w:space="0" w:color="auto"/>
              <w:bottom w:val="single" w:sz="4" w:space="0" w:color="auto"/>
              <w:right w:val="single" w:sz="4" w:space="0" w:color="auto"/>
            </w:tcBorders>
          </w:tcPr>
          <w:p w14:paraId="20BDF81A" w14:textId="73AB31B7" w:rsidR="008E0983" w:rsidRPr="00A44179" w:rsidRDefault="008E0983" w:rsidP="008E0983">
            <w:pPr>
              <w:autoSpaceDE w:val="0"/>
              <w:autoSpaceDN w:val="0"/>
              <w:adjustRightInd w:val="0"/>
              <w:jc w:val="both"/>
              <w:rPr>
                <w:rFonts w:ascii="Calibri" w:hAnsi="Calibri" w:cs="Calibri"/>
                <w:bCs/>
                <w:sz w:val="22"/>
                <w:szCs w:val="22"/>
                <w:lang w:val="es-CL"/>
              </w:rPr>
            </w:pPr>
            <w:r w:rsidRPr="00A44179">
              <w:rPr>
                <w:rFonts w:ascii="Calibri" w:hAnsi="Calibri" w:cs="Calibri"/>
                <w:bCs/>
                <w:sz w:val="22"/>
                <w:szCs w:val="22"/>
                <w:lang w:val="es-CL"/>
              </w:rPr>
              <w:t>En el Informe Técnico se incluyen los Saldos correspondientes a los Sistemas Medianos. Sin embargo, estos sistemas no están incorporados en los factores de ajuste ni los balances determinados para las empresas distribuidoras de la Industria.</w:t>
            </w:r>
          </w:p>
          <w:p w14:paraId="099F302C" w14:textId="77777777" w:rsidR="008E0983" w:rsidRPr="00A44179" w:rsidRDefault="008E0983" w:rsidP="008E0983">
            <w:pPr>
              <w:autoSpaceDE w:val="0"/>
              <w:autoSpaceDN w:val="0"/>
              <w:adjustRightInd w:val="0"/>
              <w:jc w:val="both"/>
              <w:rPr>
                <w:rFonts w:ascii="Calibri" w:hAnsi="Calibri" w:cs="Calibri"/>
                <w:bCs/>
                <w:sz w:val="22"/>
                <w:szCs w:val="22"/>
                <w:lang w:val="es-CL"/>
              </w:rPr>
            </w:pPr>
          </w:p>
          <w:p w14:paraId="32E3B2DF" w14:textId="5DE644B6" w:rsidR="008E0983" w:rsidRPr="00A44179" w:rsidRDefault="008E0983" w:rsidP="008E0983">
            <w:pPr>
              <w:autoSpaceDE w:val="0"/>
              <w:autoSpaceDN w:val="0"/>
              <w:adjustRightInd w:val="0"/>
              <w:jc w:val="both"/>
              <w:rPr>
                <w:rFonts w:ascii="Calibri" w:hAnsi="Calibri" w:cs="Calibri"/>
                <w:bCs/>
                <w:sz w:val="22"/>
                <w:szCs w:val="22"/>
                <w:lang w:val="es-CL"/>
              </w:rPr>
            </w:pPr>
            <w:r w:rsidRPr="00A44179">
              <w:rPr>
                <w:rFonts w:ascii="Calibri" w:hAnsi="Calibri" w:cs="Calibri"/>
                <w:bCs/>
                <w:sz w:val="22"/>
                <w:szCs w:val="22"/>
                <w:lang w:val="es-CL"/>
              </w:rPr>
              <w:t xml:space="preserve">De acuerdo con la Resolución Exenta N°72-2020, el Factor de Ajuste corresponde a un factor que se aplica a los precios de energía y potencia que las Distribuidoras pagarán a sus Suministradores. Dicho factor busca asegurar que la facturación de los contratos de suministro sea coherente con la recaudación esperada </w:t>
            </w:r>
            <w:proofErr w:type="gramStart"/>
            <w:r w:rsidRPr="00A44179">
              <w:rPr>
                <w:rFonts w:ascii="Calibri" w:hAnsi="Calibri" w:cs="Calibri"/>
                <w:bCs/>
                <w:sz w:val="22"/>
                <w:szCs w:val="22"/>
                <w:lang w:val="es-CL"/>
              </w:rPr>
              <w:t>en razón del</w:t>
            </w:r>
            <w:proofErr w:type="gramEnd"/>
            <w:r w:rsidRPr="00A44179">
              <w:rPr>
                <w:rFonts w:ascii="Calibri" w:hAnsi="Calibri" w:cs="Calibri"/>
                <w:bCs/>
                <w:sz w:val="22"/>
                <w:szCs w:val="22"/>
                <w:lang w:val="es-CL"/>
              </w:rPr>
              <w:t xml:space="preserve"> PEC o PEC Ajustado de la correspondiente Distribuidora. También define que el informe técnico debe incluir un balance por cada Distribuidora asociado a las compras y retiros de energía y potencia.</w:t>
            </w:r>
          </w:p>
          <w:p w14:paraId="0DCA4F1A" w14:textId="254947CD" w:rsidR="008E0983" w:rsidRPr="00A44179" w:rsidRDefault="008E0983" w:rsidP="008E0983">
            <w:pPr>
              <w:autoSpaceDE w:val="0"/>
              <w:autoSpaceDN w:val="0"/>
              <w:adjustRightInd w:val="0"/>
              <w:jc w:val="both"/>
              <w:rPr>
                <w:rFonts w:ascii="Calibri" w:hAnsi="Calibri" w:cs="Calibri"/>
                <w:bCs/>
                <w:sz w:val="22"/>
                <w:szCs w:val="22"/>
                <w:lang w:val="es-CL"/>
              </w:rPr>
            </w:pPr>
          </w:p>
          <w:p w14:paraId="539AE2E2" w14:textId="77777777" w:rsidR="008E0983" w:rsidRPr="00A44179" w:rsidRDefault="008E0983" w:rsidP="008E0983">
            <w:pPr>
              <w:autoSpaceDE w:val="0"/>
              <w:autoSpaceDN w:val="0"/>
              <w:adjustRightInd w:val="0"/>
              <w:jc w:val="both"/>
              <w:rPr>
                <w:rFonts w:ascii="Calibri" w:hAnsi="Calibri" w:cs="Calibri"/>
                <w:bCs/>
                <w:sz w:val="22"/>
                <w:szCs w:val="22"/>
                <w:lang w:val="es-CL"/>
              </w:rPr>
            </w:pPr>
            <w:r w:rsidRPr="00A44179">
              <w:rPr>
                <w:rFonts w:ascii="Calibri" w:hAnsi="Calibri" w:cs="Calibri"/>
                <w:bCs/>
                <w:sz w:val="22"/>
                <w:szCs w:val="22"/>
                <w:lang w:val="es-CL"/>
              </w:rPr>
              <w:lastRenderedPageBreak/>
              <w:t>El Artículo 22° de la citada Resolución establece que la empresa operadora del sistema mediano se entenderá para los efectos como un Suministrador que posee un contrato de suministro con la correspondiente concesionaria de distribución que abastece.</w:t>
            </w:r>
          </w:p>
          <w:p w14:paraId="4ACBEF4A" w14:textId="073AA7C2" w:rsidR="008E0983" w:rsidRPr="00A44179" w:rsidRDefault="008E0983" w:rsidP="008E0983">
            <w:pPr>
              <w:autoSpaceDE w:val="0"/>
              <w:autoSpaceDN w:val="0"/>
              <w:adjustRightInd w:val="0"/>
              <w:jc w:val="both"/>
              <w:rPr>
                <w:rFonts w:ascii="Calibri" w:hAnsi="Calibri" w:cs="Calibri"/>
                <w:bCs/>
                <w:sz w:val="22"/>
                <w:szCs w:val="22"/>
                <w:lang w:val="es-CL"/>
              </w:rPr>
            </w:pPr>
          </w:p>
        </w:tc>
        <w:tc>
          <w:tcPr>
            <w:tcW w:w="3827" w:type="dxa"/>
            <w:tcBorders>
              <w:top w:val="single" w:sz="4" w:space="0" w:color="auto"/>
              <w:left w:val="single" w:sz="4" w:space="0" w:color="auto"/>
              <w:bottom w:val="single" w:sz="4" w:space="0" w:color="auto"/>
              <w:right w:val="single" w:sz="4" w:space="0" w:color="auto"/>
            </w:tcBorders>
          </w:tcPr>
          <w:p w14:paraId="0CA7C8F8" w14:textId="5F2062AC" w:rsidR="008E0983" w:rsidRPr="00A44179" w:rsidRDefault="008E0983" w:rsidP="008E0983">
            <w:pPr>
              <w:jc w:val="both"/>
              <w:rPr>
                <w:rFonts w:ascii="Calibri" w:hAnsi="Calibri" w:cs="Calibri"/>
                <w:bCs/>
                <w:sz w:val="22"/>
                <w:szCs w:val="22"/>
                <w:lang w:val="es-CL"/>
              </w:rPr>
            </w:pPr>
            <w:r w:rsidRPr="00A44179">
              <w:rPr>
                <w:rFonts w:ascii="Calibri" w:hAnsi="Calibri" w:cs="Calibri"/>
                <w:bCs/>
                <w:sz w:val="22"/>
                <w:szCs w:val="22"/>
                <w:lang w:val="es-CL"/>
              </w:rPr>
              <w:lastRenderedPageBreak/>
              <w:t>Se solicita revisar la forma en que serán restituidos los saldos determinados para los sistemas medianos y si corresponde aplicar factores de ajuste e incluir a los sistemas medianos en los balances de transferencias determinados entre empresas distribuidoras.</w:t>
            </w:r>
          </w:p>
        </w:tc>
      </w:tr>
      <w:tr w:rsidR="008E0983" w:rsidRPr="0079722A" w14:paraId="5691D40E" w14:textId="77777777" w:rsidTr="003F668F">
        <w:trPr>
          <w:trHeight w:val="325"/>
        </w:trPr>
        <w:tc>
          <w:tcPr>
            <w:tcW w:w="1346" w:type="dxa"/>
            <w:tcBorders>
              <w:top w:val="single" w:sz="4" w:space="0" w:color="auto"/>
              <w:left w:val="single" w:sz="4" w:space="0" w:color="auto"/>
              <w:bottom w:val="single" w:sz="4" w:space="0" w:color="auto"/>
              <w:right w:val="single" w:sz="4" w:space="0" w:color="auto"/>
            </w:tcBorders>
          </w:tcPr>
          <w:p w14:paraId="6C54C279" w14:textId="77777777" w:rsidR="008E0983" w:rsidRDefault="008E0983" w:rsidP="008E0983">
            <w:pPr>
              <w:ind w:right="140"/>
              <w:rPr>
                <w:rFonts w:ascii="Calibri" w:hAnsi="Calibri" w:cs="Calibri"/>
                <w:bCs/>
                <w:sz w:val="22"/>
                <w:szCs w:val="22"/>
                <w:lang w:val="es-CL"/>
              </w:rPr>
            </w:pPr>
          </w:p>
        </w:tc>
        <w:tc>
          <w:tcPr>
            <w:tcW w:w="3119" w:type="dxa"/>
            <w:tcBorders>
              <w:top w:val="single" w:sz="4" w:space="0" w:color="auto"/>
              <w:left w:val="single" w:sz="4" w:space="0" w:color="auto"/>
              <w:bottom w:val="single" w:sz="4" w:space="0" w:color="auto"/>
              <w:right w:val="single" w:sz="4" w:space="0" w:color="auto"/>
            </w:tcBorders>
          </w:tcPr>
          <w:p w14:paraId="0AB58469" w14:textId="77777777" w:rsidR="008E0983" w:rsidRDefault="008E0983" w:rsidP="008E0983">
            <w:pPr>
              <w:autoSpaceDE w:val="0"/>
              <w:autoSpaceDN w:val="0"/>
              <w:adjustRightInd w:val="0"/>
              <w:rPr>
                <w:rFonts w:ascii="Calibri" w:hAnsi="Calibri" w:cs="Calibri"/>
                <w:bCs/>
                <w:sz w:val="22"/>
                <w:szCs w:val="22"/>
              </w:rPr>
            </w:pPr>
          </w:p>
        </w:tc>
        <w:tc>
          <w:tcPr>
            <w:tcW w:w="5103" w:type="dxa"/>
            <w:tcBorders>
              <w:top w:val="single" w:sz="4" w:space="0" w:color="auto"/>
              <w:left w:val="single" w:sz="4" w:space="0" w:color="auto"/>
              <w:bottom w:val="single" w:sz="4" w:space="0" w:color="auto"/>
              <w:right w:val="single" w:sz="4" w:space="0" w:color="auto"/>
            </w:tcBorders>
          </w:tcPr>
          <w:p w14:paraId="70A56BB6" w14:textId="77777777" w:rsidR="008E0983" w:rsidRDefault="008E0983" w:rsidP="008E0983">
            <w:pPr>
              <w:autoSpaceDE w:val="0"/>
              <w:autoSpaceDN w:val="0"/>
              <w:adjustRightInd w:val="0"/>
              <w:rPr>
                <w:rFonts w:ascii="Calibri" w:hAnsi="Calibri" w:cs="Calibri"/>
                <w:bCs/>
                <w:sz w:val="22"/>
                <w:szCs w:val="22"/>
                <w:lang w:val="es-CL"/>
              </w:rPr>
            </w:pPr>
          </w:p>
        </w:tc>
        <w:tc>
          <w:tcPr>
            <w:tcW w:w="3827" w:type="dxa"/>
            <w:tcBorders>
              <w:top w:val="single" w:sz="4" w:space="0" w:color="auto"/>
              <w:left w:val="single" w:sz="4" w:space="0" w:color="auto"/>
              <w:bottom w:val="single" w:sz="4" w:space="0" w:color="auto"/>
              <w:right w:val="single" w:sz="4" w:space="0" w:color="auto"/>
            </w:tcBorders>
          </w:tcPr>
          <w:p w14:paraId="15220E78" w14:textId="77777777" w:rsidR="008E0983" w:rsidRPr="00CE1634" w:rsidRDefault="008E0983" w:rsidP="008E0983">
            <w:pPr>
              <w:rPr>
                <w:rFonts w:ascii="Calibri" w:hAnsi="Calibri" w:cs="Calibri"/>
                <w:bCs/>
                <w:sz w:val="22"/>
                <w:szCs w:val="22"/>
                <w:lang w:val="es-CL"/>
              </w:rPr>
            </w:pPr>
          </w:p>
        </w:tc>
      </w:tr>
    </w:tbl>
    <w:p w14:paraId="3380FB59" w14:textId="77777777" w:rsidR="00055255" w:rsidRDefault="00055255"/>
    <w:p w14:paraId="76374C23" w14:textId="77777777" w:rsidR="00055255" w:rsidRPr="002056A6" w:rsidRDefault="00055255">
      <w:pPr>
        <w:rPr>
          <w:rFonts w:ascii="Calibri" w:hAnsi="Calibri" w:cs="Calibri"/>
        </w:rPr>
      </w:pPr>
    </w:p>
    <w:p w14:paraId="4270CD81" w14:textId="77777777" w:rsidR="00084B04" w:rsidRDefault="00084B04">
      <w:pPr>
        <w:rPr>
          <w:color w:val="FF0000"/>
        </w:rPr>
      </w:pPr>
    </w:p>
    <w:sectPr w:rsidR="00084B04" w:rsidSect="0079722A">
      <w:pgSz w:w="15842" w:h="12242" w:orient="landscape" w:code="119"/>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A5A65B" w14:textId="77777777" w:rsidR="00A20E34" w:rsidRDefault="00A20E34" w:rsidP="00B16E6C">
      <w:r>
        <w:separator/>
      </w:r>
    </w:p>
  </w:endnote>
  <w:endnote w:type="continuationSeparator" w:id="0">
    <w:p w14:paraId="11697B86" w14:textId="77777777" w:rsidR="00A20E34" w:rsidRDefault="00A20E34" w:rsidP="00B16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1CB617" w14:textId="77777777" w:rsidR="00A20E34" w:rsidRDefault="00A20E34" w:rsidP="00B16E6C">
      <w:r>
        <w:separator/>
      </w:r>
    </w:p>
  </w:footnote>
  <w:footnote w:type="continuationSeparator" w:id="0">
    <w:p w14:paraId="30177588" w14:textId="77777777" w:rsidR="00A20E34" w:rsidRDefault="00A20E34" w:rsidP="00B16E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C95E31"/>
    <w:multiLevelType w:val="multilevel"/>
    <w:tmpl w:val="EDC40DA0"/>
    <w:lvl w:ilvl="0">
      <w:start w:val="1"/>
      <w:numFmt w:val="decimal"/>
      <w:pStyle w:val="Ttulo1"/>
      <w:lvlText w:val="%1"/>
      <w:lvlJc w:val="left"/>
      <w:pPr>
        <w:tabs>
          <w:tab w:val="num" w:pos="432"/>
        </w:tabs>
        <w:ind w:left="432" w:hanging="432"/>
      </w:pPr>
      <w:rPr>
        <w:rFonts w:ascii="Arial Narrow" w:hAnsi="Arial Narrow" w:hint="default"/>
        <w:b/>
        <w:i w:val="0"/>
        <w:sz w:val="28"/>
      </w:rPr>
    </w:lvl>
    <w:lvl w:ilvl="1">
      <w:start w:val="1"/>
      <w:numFmt w:val="decimal"/>
      <w:pStyle w:val="Ttulo2"/>
      <w:lvlText w:val="%1.%2"/>
      <w:lvlJc w:val="left"/>
      <w:pPr>
        <w:tabs>
          <w:tab w:val="num" w:pos="576"/>
        </w:tabs>
        <w:ind w:left="576" w:hanging="576"/>
      </w:pPr>
      <w:rPr>
        <w:rFonts w:ascii="Arial Narrow" w:hAnsi="Arial Narrow" w:hint="default"/>
        <w:b/>
        <w:i w:val="0"/>
        <w:sz w:val="24"/>
      </w:r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440"/>
        </w:tabs>
        <w:ind w:left="1296" w:hanging="1296"/>
      </w:pPr>
    </w:lvl>
    <w:lvl w:ilvl="7">
      <w:start w:val="1"/>
      <w:numFmt w:val="decimal"/>
      <w:lvlText w:val="%1.%2.%3.%4.%5.%6.%7.%8"/>
      <w:lvlJc w:val="left"/>
      <w:pPr>
        <w:tabs>
          <w:tab w:val="num" w:pos="1800"/>
        </w:tabs>
        <w:ind w:left="1440" w:hanging="1440"/>
      </w:pPr>
    </w:lvl>
    <w:lvl w:ilvl="8">
      <w:start w:val="1"/>
      <w:numFmt w:val="decimal"/>
      <w:lvlText w:val="%1.%2.%3.%4.%5.%6.%7.%8.%9"/>
      <w:lvlJc w:val="left"/>
      <w:pPr>
        <w:tabs>
          <w:tab w:val="num" w:pos="1800"/>
        </w:tabs>
        <w:ind w:left="1584" w:hanging="1584"/>
      </w:pPr>
    </w:lvl>
  </w:abstractNum>
  <w:abstractNum w:abstractNumId="1" w15:restartNumberingAfterBreak="0">
    <w:nsid w:val="4D79687F"/>
    <w:multiLevelType w:val="hybridMultilevel"/>
    <w:tmpl w:val="178CC7D8"/>
    <w:lvl w:ilvl="0" w:tplc="EE945DF6">
      <w:numFmt w:val="bullet"/>
      <w:lvlText w:val="-"/>
      <w:lvlJc w:val="left"/>
      <w:pPr>
        <w:ind w:left="360" w:hanging="360"/>
      </w:pPr>
      <w:rPr>
        <w:rFonts w:ascii="Arial Narrow" w:eastAsia="Times New Roman" w:hAnsi="Arial Narrow" w:cs="Times New Roman"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 w15:restartNumberingAfterBreak="0">
    <w:nsid w:val="53EE0DED"/>
    <w:multiLevelType w:val="hybridMultilevel"/>
    <w:tmpl w:val="FB800738"/>
    <w:lvl w:ilvl="0" w:tplc="6ECA94A8">
      <w:start w:val="1"/>
      <w:numFmt w:val="bullet"/>
      <w:lvlText w:val="•"/>
      <w:lvlJc w:val="left"/>
      <w:pPr>
        <w:tabs>
          <w:tab w:val="num" w:pos="360"/>
        </w:tabs>
        <w:ind w:left="360" w:hanging="360"/>
      </w:pPr>
      <w:rPr>
        <w:rFonts w:ascii="Arial" w:hAnsi="Arial" w:hint="default"/>
      </w:rPr>
    </w:lvl>
    <w:lvl w:ilvl="1" w:tplc="81784A22">
      <w:start w:val="922"/>
      <w:numFmt w:val="bullet"/>
      <w:lvlText w:val="o"/>
      <w:lvlJc w:val="left"/>
      <w:pPr>
        <w:tabs>
          <w:tab w:val="num" w:pos="1080"/>
        </w:tabs>
        <w:ind w:left="1080" w:hanging="360"/>
      </w:pPr>
      <w:rPr>
        <w:rFonts w:ascii="Courier New" w:hAnsi="Courier New" w:hint="default"/>
      </w:rPr>
    </w:lvl>
    <w:lvl w:ilvl="2" w:tplc="4AAE79FA" w:tentative="1">
      <w:start w:val="1"/>
      <w:numFmt w:val="bullet"/>
      <w:lvlText w:val="•"/>
      <w:lvlJc w:val="left"/>
      <w:pPr>
        <w:tabs>
          <w:tab w:val="num" w:pos="1800"/>
        </w:tabs>
        <w:ind w:left="1800" w:hanging="360"/>
      </w:pPr>
      <w:rPr>
        <w:rFonts w:ascii="Arial" w:hAnsi="Arial" w:hint="default"/>
      </w:rPr>
    </w:lvl>
    <w:lvl w:ilvl="3" w:tplc="FC340C58" w:tentative="1">
      <w:start w:val="1"/>
      <w:numFmt w:val="bullet"/>
      <w:lvlText w:val="•"/>
      <w:lvlJc w:val="left"/>
      <w:pPr>
        <w:tabs>
          <w:tab w:val="num" w:pos="2520"/>
        </w:tabs>
        <w:ind w:left="2520" w:hanging="360"/>
      </w:pPr>
      <w:rPr>
        <w:rFonts w:ascii="Arial" w:hAnsi="Arial" w:hint="default"/>
      </w:rPr>
    </w:lvl>
    <w:lvl w:ilvl="4" w:tplc="E074602A" w:tentative="1">
      <w:start w:val="1"/>
      <w:numFmt w:val="bullet"/>
      <w:lvlText w:val="•"/>
      <w:lvlJc w:val="left"/>
      <w:pPr>
        <w:tabs>
          <w:tab w:val="num" w:pos="3240"/>
        </w:tabs>
        <w:ind w:left="3240" w:hanging="360"/>
      </w:pPr>
      <w:rPr>
        <w:rFonts w:ascii="Arial" w:hAnsi="Arial" w:hint="default"/>
      </w:rPr>
    </w:lvl>
    <w:lvl w:ilvl="5" w:tplc="A4CE1E6C" w:tentative="1">
      <w:start w:val="1"/>
      <w:numFmt w:val="bullet"/>
      <w:lvlText w:val="•"/>
      <w:lvlJc w:val="left"/>
      <w:pPr>
        <w:tabs>
          <w:tab w:val="num" w:pos="3960"/>
        </w:tabs>
        <w:ind w:left="3960" w:hanging="360"/>
      </w:pPr>
      <w:rPr>
        <w:rFonts w:ascii="Arial" w:hAnsi="Arial" w:hint="default"/>
      </w:rPr>
    </w:lvl>
    <w:lvl w:ilvl="6" w:tplc="94646F64" w:tentative="1">
      <w:start w:val="1"/>
      <w:numFmt w:val="bullet"/>
      <w:lvlText w:val="•"/>
      <w:lvlJc w:val="left"/>
      <w:pPr>
        <w:tabs>
          <w:tab w:val="num" w:pos="4680"/>
        </w:tabs>
        <w:ind w:left="4680" w:hanging="360"/>
      </w:pPr>
      <w:rPr>
        <w:rFonts w:ascii="Arial" w:hAnsi="Arial" w:hint="default"/>
      </w:rPr>
    </w:lvl>
    <w:lvl w:ilvl="7" w:tplc="EDB85956" w:tentative="1">
      <w:start w:val="1"/>
      <w:numFmt w:val="bullet"/>
      <w:lvlText w:val="•"/>
      <w:lvlJc w:val="left"/>
      <w:pPr>
        <w:tabs>
          <w:tab w:val="num" w:pos="5400"/>
        </w:tabs>
        <w:ind w:left="5400" w:hanging="360"/>
      </w:pPr>
      <w:rPr>
        <w:rFonts w:ascii="Arial" w:hAnsi="Arial" w:hint="default"/>
      </w:rPr>
    </w:lvl>
    <w:lvl w:ilvl="8" w:tplc="9D9047B2"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6AAC2319"/>
    <w:multiLevelType w:val="hybridMultilevel"/>
    <w:tmpl w:val="1C987AB2"/>
    <w:lvl w:ilvl="0" w:tplc="76B449E4">
      <w:start w:val="3"/>
      <w:numFmt w:val="bullet"/>
      <w:lvlText w:val="-"/>
      <w:lvlJc w:val="left"/>
      <w:pPr>
        <w:ind w:left="360" w:hanging="360"/>
      </w:pPr>
      <w:rPr>
        <w:rFonts w:ascii="Calibri" w:eastAsia="Times New Roman" w:hAnsi="Calibri" w:cs="Calibri" w:hint="default"/>
        <w:lang w:val="en-US"/>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4" w15:restartNumberingAfterBreak="0">
    <w:nsid w:val="6ED656CB"/>
    <w:multiLevelType w:val="hybridMultilevel"/>
    <w:tmpl w:val="034608A0"/>
    <w:lvl w:ilvl="0" w:tplc="738AE634">
      <w:start w:val="3"/>
      <w:numFmt w:val="bullet"/>
      <w:lvlText w:val="-"/>
      <w:lvlJc w:val="left"/>
      <w:pPr>
        <w:ind w:left="720" w:hanging="360"/>
      </w:pPr>
      <w:rPr>
        <w:rFonts w:ascii="Calibri" w:eastAsia="Times New Roman"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6FBF424E"/>
    <w:multiLevelType w:val="hybridMultilevel"/>
    <w:tmpl w:val="7F705440"/>
    <w:lvl w:ilvl="0" w:tplc="6ECA94A8">
      <w:start w:val="1"/>
      <w:numFmt w:val="bullet"/>
      <w:lvlText w:val="•"/>
      <w:lvlJc w:val="left"/>
      <w:pPr>
        <w:ind w:left="360" w:hanging="360"/>
      </w:pPr>
      <w:rPr>
        <w:rFonts w:ascii="Arial" w:hAnsi="Aria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6" w15:restartNumberingAfterBreak="0">
    <w:nsid w:val="7B4A14F2"/>
    <w:multiLevelType w:val="hybridMultilevel"/>
    <w:tmpl w:val="FD3EC61A"/>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7D476F89"/>
    <w:multiLevelType w:val="hybridMultilevel"/>
    <w:tmpl w:val="AEFA4138"/>
    <w:lvl w:ilvl="0" w:tplc="82B0FAEA">
      <w:numFmt w:val="bullet"/>
      <w:lvlText w:val="-"/>
      <w:lvlJc w:val="left"/>
      <w:pPr>
        <w:ind w:left="720" w:hanging="360"/>
      </w:pPr>
      <w:rPr>
        <w:rFonts w:ascii="Calibri" w:eastAsia="Times New Roman"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2"/>
  </w:num>
  <w:num w:numId="5">
    <w:abstractNumId w:val="5"/>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482"/>
    <w:rsid w:val="0000040D"/>
    <w:rsid w:val="000010F3"/>
    <w:rsid w:val="00002146"/>
    <w:rsid w:val="00002AE1"/>
    <w:rsid w:val="00003384"/>
    <w:rsid w:val="00003EEF"/>
    <w:rsid w:val="000045A3"/>
    <w:rsid w:val="000046AB"/>
    <w:rsid w:val="00005C11"/>
    <w:rsid w:val="0000645B"/>
    <w:rsid w:val="000075E5"/>
    <w:rsid w:val="00007675"/>
    <w:rsid w:val="00007AEA"/>
    <w:rsid w:val="000104E5"/>
    <w:rsid w:val="00010906"/>
    <w:rsid w:val="000114D4"/>
    <w:rsid w:val="000115F3"/>
    <w:rsid w:val="00012059"/>
    <w:rsid w:val="00013648"/>
    <w:rsid w:val="00013ABA"/>
    <w:rsid w:val="0001412E"/>
    <w:rsid w:val="00014F8A"/>
    <w:rsid w:val="000150E5"/>
    <w:rsid w:val="0001555A"/>
    <w:rsid w:val="00015AC6"/>
    <w:rsid w:val="000161D0"/>
    <w:rsid w:val="00020620"/>
    <w:rsid w:val="00021038"/>
    <w:rsid w:val="000210E5"/>
    <w:rsid w:val="00023282"/>
    <w:rsid w:val="000232E3"/>
    <w:rsid w:val="00023F65"/>
    <w:rsid w:val="000252C5"/>
    <w:rsid w:val="000277DB"/>
    <w:rsid w:val="000301E9"/>
    <w:rsid w:val="00030B6E"/>
    <w:rsid w:val="00031B45"/>
    <w:rsid w:val="00031FBF"/>
    <w:rsid w:val="0003216D"/>
    <w:rsid w:val="00032394"/>
    <w:rsid w:val="00032EDE"/>
    <w:rsid w:val="000333AF"/>
    <w:rsid w:val="000333F7"/>
    <w:rsid w:val="00034CC6"/>
    <w:rsid w:val="00036306"/>
    <w:rsid w:val="00040C81"/>
    <w:rsid w:val="00041534"/>
    <w:rsid w:val="00041677"/>
    <w:rsid w:val="00041B90"/>
    <w:rsid w:val="00042586"/>
    <w:rsid w:val="00042755"/>
    <w:rsid w:val="00043B90"/>
    <w:rsid w:val="00043BA6"/>
    <w:rsid w:val="00044831"/>
    <w:rsid w:val="00044A5F"/>
    <w:rsid w:val="00045B81"/>
    <w:rsid w:val="00050622"/>
    <w:rsid w:val="00050963"/>
    <w:rsid w:val="000515CB"/>
    <w:rsid w:val="0005192C"/>
    <w:rsid w:val="000521FA"/>
    <w:rsid w:val="00052917"/>
    <w:rsid w:val="00054107"/>
    <w:rsid w:val="00055255"/>
    <w:rsid w:val="00055D7A"/>
    <w:rsid w:val="00057FDF"/>
    <w:rsid w:val="00057FE7"/>
    <w:rsid w:val="0006057B"/>
    <w:rsid w:val="00060653"/>
    <w:rsid w:val="00060D41"/>
    <w:rsid w:val="0006103E"/>
    <w:rsid w:val="00061496"/>
    <w:rsid w:val="000614EF"/>
    <w:rsid w:val="00061FFC"/>
    <w:rsid w:val="00063087"/>
    <w:rsid w:val="00066D8F"/>
    <w:rsid w:val="00071677"/>
    <w:rsid w:val="00072C1A"/>
    <w:rsid w:val="000742E9"/>
    <w:rsid w:val="000746C9"/>
    <w:rsid w:val="00074F30"/>
    <w:rsid w:val="000756A2"/>
    <w:rsid w:val="00075F07"/>
    <w:rsid w:val="000763F1"/>
    <w:rsid w:val="000768EF"/>
    <w:rsid w:val="000810FE"/>
    <w:rsid w:val="00081566"/>
    <w:rsid w:val="000822D4"/>
    <w:rsid w:val="000823EA"/>
    <w:rsid w:val="00082790"/>
    <w:rsid w:val="000828F5"/>
    <w:rsid w:val="00083289"/>
    <w:rsid w:val="00084261"/>
    <w:rsid w:val="00084B04"/>
    <w:rsid w:val="00085182"/>
    <w:rsid w:val="0008539E"/>
    <w:rsid w:val="00085B41"/>
    <w:rsid w:val="00086978"/>
    <w:rsid w:val="00087EBB"/>
    <w:rsid w:val="000903B2"/>
    <w:rsid w:val="000908C0"/>
    <w:rsid w:val="00090D99"/>
    <w:rsid w:val="00090E15"/>
    <w:rsid w:val="00090E31"/>
    <w:rsid w:val="000916AF"/>
    <w:rsid w:val="00091D93"/>
    <w:rsid w:val="00091DD7"/>
    <w:rsid w:val="00092F7A"/>
    <w:rsid w:val="00093622"/>
    <w:rsid w:val="00093DDF"/>
    <w:rsid w:val="00095A4B"/>
    <w:rsid w:val="00096BB5"/>
    <w:rsid w:val="000975AE"/>
    <w:rsid w:val="0009794A"/>
    <w:rsid w:val="000A228B"/>
    <w:rsid w:val="000A27ED"/>
    <w:rsid w:val="000A2F28"/>
    <w:rsid w:val="000A3E35"/>
    <w:rsid w:val="000A3F5B"/>
    <w:rsid w:val="000A42FB"/>
    <w:rsid w:val="000A54DC"/>
    <w:rsid w:val="000A65E9"/>
    <w:rsid w:val="000A6708"/>
    <w:rsid w:val="000A6920"/>
    <w:rsid w:val="000A69D3"/>
    <w:rsid w:val="000A6CCA"/>
    <w:rsid w:val="000A7C37"/>
    <w:rsid w:val="000B092D"/>
    <w:rsid w:val="000B0A4C"/>
    <w:rsid w:val="000B0D10"/>
    <w:rsid w:val="000B2CDE"/>
    <w:rsid w:val="000B3F8D"/>
    <w:rsid w:val="000B7BB3"/>
    <w:rsid w:val="000B7D30"/>
    <w:rsid w:val="000C00FA"/>
    <w:rsid w:val="000C0E33"/>
    <w:rsid w:val="000C110F"/>
    <w:rsid w:val="000C1888"/>
    <w:rsid w:val="000C1B71"/>
    <w:rsid w:val="000C20DA"/>
    <w:rsid w:val="000C234B"/>
    <w:rsid w:val="000C23C8"/>
    <w:rsid w:val="000C2528"/>
    <w:rsid w:val="000C27E4"/>
    <w:rsid w:val="000C2A4C"/>
    <w:rsid w:val="000C3EA3"/>
    <w:rsid w:val="000C456C"/>
    <w:rsid w:val="000C4706"/>
    <w:rsid w:val="000C7239"/>
    <w:rsid w:val="000C7401"/>
    <w:rsid w:val="000C79EB"/>
    <w:rsid w:val="000D011E"/>
    <w:rsid w:val="000D04D1"/>
    <w:rsid w:val="000D0ED9"/>
    <w:rsid w:val="000D15A7"/>
    <w:rsid w:val="000D270D"/>
    <w:rsid w:val="000D35C5"/>
    <w:rsid w:val="000D3ABD"/>
    <w:rsid w:val="000D7DB3"/>
    <w:rsid w:val="000E02A9"/>
    <w:rsid w:val="000E0720"/>
    <w:rsid w:val="000E0A0F"/>
    <w:rsid w:val="000E0AF4"/>
    <w:rsid w:val="000E0BBD"/>
    <w:rsid w:val="000E1221"/>
    <w:rsid w:val="000E2255"/>
    <w:rsid w:val="000E24EF"/>
    <w:rsid w:val="000E2C28"/>
    <w:rsid w:val="000E385B"/>
    <w:rsid w:val="000E3ACF"/>
    <w:rsid w:val="000E4311"/>
    <w:rsid w:val="000E4993"/>
    <w:rsid w:val="000E4A79"/>
    <w:rsid w:val="000E6F10"/>
    <w:rsid w:val="000F0F82"/>
    <w:rsid w:val="000F10CF"/>
    <w:rsid w:val="000F2183"/>
    <w:rsid w:val="000F3775"/>
    <w:rsid w:val="000F3C85"/>
    <w:rsid w:val="000F4804"/>
    <w:rsid w:val="000F5035"/>
    <w:rsid w:val="000F532A"/>
    <w:rsid w:val="000F56AC"/>
    <w:rsid w:val="000F6294"/>
    <w:rsid w:val="000F62F7"/>
    <w:rsid w:val="000F6DA9"/>
    <w:rsid w:val="000F715B"/>
    <w:rsid w:val="000F7439"/>
    <w:rsid w:val="00100287"/>
    <w:rsid w:val="00100369"/>
    <w:rsid w:val="0010110A"/>
    <w:rsid w:val="0010303C"/>
    <w:rsid w:val="00103899"/>
    <w:rsid w:val="001048B8"/>
    <w:rsid w:val="00104BED"/>
    <w:rsid w:val="001051EA"/>
    <w:rsid w:val="001064D5"/>
    <w:rsid w:val="0010692B"/>
    <w:rsid w:val="00106938"/>
    <w:rsid w:val="00106DA7"/>
    <w:rsid w:val="0011042D"/>
    <w:rsid w:val="00111F76"/>
    <w:rsid w:val="00113437"/>
    <w:rsid w:val="00113FD4"/>
    <w:rsid w:val="001148BD"/>
    <w:rsid w:val="00115615"/>
    <w:rsid w:val="00115B21"/>
    <w:rsid w:val="00115E5A"/>
    <w:rsid w:val="00116B12"/>
    <w:rsid w:val="00116D42"/>
    <w:rsid w:val="0011723A"/>
    <w:rsid w:val="00121B3E"/>
    <w:rsid w:val="0012250E"/>
    <w:rsid w:val="0012255F"/>
    <w:rsid w:val="00122664"/>
    <w:rsid w:val="00122EBE"/>
    <w:rsid w:val="00122F09"/>
    <w:rsid w:val="00123E68"/>
    <w:rsid w:val="00124056"/>
    <w:rsid w:val="0012429B"/>
    <w:rsid w:val="001245F1"/>
    <w:rsid w:val="00125DD5"/>
    <w:rsid w:val="001273C1"/>
    <w:rsid w:val="001308A8"/>
    <w:rsid w:val="001312C2"/>
    <w:rsid w:val="00131BAC"/>
    <w:rsid w:val="00131FB1"/>
    <w:rsid w:val="0013227A"/>
    <w:rsid w:val="0013258D"/>
    <w:rsid w:val="00132F4E"/>
    <w:rsid w:val="00135109"/>
    <w:rsid w:val="00135A5C"/>
    <w:rsid w:val="00135F32"/>
    <w:rsid w:val="00136C8D"/>
    <w:rsid w:val="00136F00"/>
    <w:rsid w:val="0013749B"/>
    <w:rsid w:val="00137934"/>
    <w:rsid w:val="00140C9C"/>
    <w:rsid w:val="001413B3"/>
    <w:rsid w:val="00141D80"/>
    <w:rsid w:val="00143B51"/>
    <w:rsid w:val="0014423C"/>
    <w:rsid w:val="00144706"/>
    <w:rsid w:val="0014538F"/>
    <w:rsid w:val="0014541F"/>
    <w:rsid w:val="00145D1E"/>
    <w:rsid w:val="0014676A"/>
    <w:rsid w:val="00147081"/>
    <w:rsid w:val="00147A09"/>
    <w:rsid w:val="0015257C"/>
    <w:rsid w:val="00154ADC"/>
    <w:rsid w:val="00154C17"/>
    <w:rsid w:val="001561C7"/>
    <w:rsid w:val="00157406"/>
    <w:rsid w:val="001575A6"/>
    <w:rsid w:val="00160386"/>
    <w:rsid w:val="00160483"/>
    <w:rsid w:val="0016051A"/>
    <w:rsid w:val="00162E17"/>
    <w:rsid w:val="00163970"/>
    <w:rsid w:val="001644D9"/>
    <w:rsid w:val="00164A1E"/>
    <w:rsid w:val="00164F20"/>
    <w:rsid w:val="00165CF3"/>
    <w:rsid w:val="001671E1"/>
    <w:rsid w:val="00170BE7"/>
    <w:rsid w:val="001718C1"/>
    <w:rsid w:val="00172012"/>
    <w:rsid w:val="00172B0E"/>
    <w:rsid w:val="0017312F"/>
    <w:rsid w:val="00173425"/>
    <w:rsid w:val="001735AE"/>
    <w:rsid w:val="001736DF"/>
    <w:rsid w:val="00173850"/>
    <w:rsid w:val="00176570"/>
    <w:rsid w:val="00176B85"/>
    <w:rsid w:val="00177187"/>
    <w:rsid w:val="001774BC"/>
    <w:rsid w:val="0017785C"/>
    <w:rsid w:val="0017796A"/>
    <w:rsid w:val="00177F93"/>
    <w:rsid w:val="00180567"/>
    <w:rsid w:val="001818A3"/>
    <w:rsid w:val="001820B6"/>
    <w:rsid w:val="00182410"/>
    <w:rsid w:val="001826B4"/>
    <w:rsid w:val="001831A2"/>
    <w:rsid w:val="001840A3"/>
    <w:rsid w:val="00184565"/>
    <w:rsid w:val="00184C05"/>
    <w:rsid w:val="00185E7B"/>
    <w:rsid w:val="0019140F"/>
    <w:rsid w:val="001916CF"/>
    <w:rsid w:val="001917A0"/>
    <w:rsid w:val="00191C16"/>
    <w:rsid w:val="00192199"/>
    <w:rsid w:val="0019333B"/>
    <w:rsid w:val="001947CA"/>
    <w:rsid w:val="00194B7B"/>
    <w:rsid w:val="001974B3"/>
    <w:rsid w:val="00197691"/>
    <w:rsid w:val="001977D7"/>
    <w:rsid w:val="001A0345"/>
    <w:rsid w:val="001A0DE0"/>
    <w:rsid w:val="001A2F10"/>
    <w:rsid w:val="001A3A0E"/>
    <w:rsid w:val="001A3F9F"/>
    <w:rsid w:val="001A5EFA"/>
    <w:rsid w:val="001A64FB"/>
    <w:rsid w:val="001A7CF8"/>
    <w:rsid w:val="001B3AE4"/>
    <w:rsid w:val="001B3D2A"/>
    <w:rsid w:val="001B3D76"/>
    <w:rsid w:val="001B3F7A"/>
    <w:rsid w:val="001B7A9B"/>
    <w:rsid w:val="001B7CD1"/>
    <w:rsid w:val="001C026C"/>
    <w:rsid w:val="001C0568"/>
    <w:rsid w:val="001C11DF"/>
    <w:rsid w:val="001C1AA8"/>
    <w:rsid w:val="001C2E12"/>
    <w:rsid w:val="001C3F72"/>
    <w:rsid w:val="001C43B6"/>
    <w:rsid w:val="001C4629"/>
    <w:rsid w:val="001C4FB2"/>
    <w:rsid w:val="001C5168"/>
    <w:rsid w:val="001C5685"/>
    <w:rsid w:val="001C6BA4"/>
    <w:rsid w:val="001C731D"/>
    <w:rsid w:val="001C7840"/>
    <w:rsid w:val="001D03A9"/>
    <w:rsid w:val="001D0426"/>
    <w:rsid w:val="001D133A"/>
    <w:rsid w:val="001D18C2"/>
    <w:rsid w:val="001D2244"/>
    <w:rsid w:val="001D32F4"/>
    <w:rsid w:val="001D3D78"/>
    <w:rsid w:val="001D412F"/>
    <w:rsid w:val="001D7132"/>
    <w:rsid w:val="001E0E04"/>
    <w:rsid w:val="001E171D"/>
    <w:rsid w:val="001E346D"/>
    <w:rsid w:val="001E3915"/>
    <w:rsid w:val="001E3A65"/>
    <w:rsid w:val="001E4777"/>
    <w:rsid w:val="001E4A12"/>
    <w:rsid w:val="001E4B74"/>
    <w:rsid w:val="001E4D8A"/>
    <w:rsid w:val="001E5768"/>
    <w:rsid w:val="001E631B"/>
    <w:rsid w:val="001E6F5C"/>
    <w:rsid w:val="001F0500"/>
    <w:rsid w:val="001F0539"/>
    <w:rsid w:val="001F0943"/>
    <w:rsid w:val="001F0CD7"/>
    <w:rsid w:val="001F0D03"/>
    <w:rsid w:val="001F0F14"/>
    <w:rsid w:val="001F19DA"/>
    <w:rsid w:val="001F1E35"/>
    <w:rsid w:val="001F20FD"/>
    <w:rsid w:val="001F3B3F"/>
    <w:rsid w:val="001F3E27"/>
    <w:rsid w:val="001F4DDD"/>
    <w:rsid w:val="001F5B1E"/>
    <w:rsid w:val="001F623E"/>
    <w:rsid w:val="001F75C0"/>
    <w:rsid w:val="001F75D3"/>
    <w:rsid w:val="002000E9"/>
    <w:rsid w:val="00200166"/>
    <w:rsid w:val="002006F9"/>
    <w:rsid w:val="00201144"/>
    <w:rsid w:val="002021A9"/>
    <w:rsid w:val="002053CF"/>
    <w:rsid w:val="002056A6"/>
    <w:rsid w:val="0020581A"/>
    <w:rsid w:val="00205B51"/>
    <w:rsid w:val="0020610D"/>
    <w:rsid w:val="00206601"/>
    <w:rsid w:val="00207BAA"/>
    <w:rsid w:val="00207EDF"/>
    <w:rsid w:val="002102E9"/>
    <w:rsid w:val="00210786"/>
    <w:rsid w:val="002107EB"/>
    <w:rsid w:val="00210892"/>
    <w:rsid w:val="00210F10"/>
    <w:rsid w:val="00210F73"/>
    <w:rsid w:val="0021159A"/>
    <w:rsid w:val="0021200B"/>
    <w:rsid w:val="00212994"/>
    <w:rsid w:val="00213487"/>
    <w:rsid w:val="00213671"/>
    <w:rsid w:val="0021480E"/>
    <w:rsid w:val="00215095"/>
    <w:rsid w:val="002157A2"/>
    <w:rsid w:val="00215FC1"/>
    <w:rsid w:val="00220125"/>
    <w:rsid w:val="002210B5"/>
    <w:rsid w:val="00221272"/>
    <w:rsid w:val="00221D0B"/>
    <w:rsid w:val="00222AE2"/>
    <w:rsid w:val="00222F8E"/>
    <w:rsid w:val="00222FBD"/>
    <w:rsid w:val="00223A9D"/>
    <w:rsid w:val="00223AEB"/>
    <w:rsid w:val="00224116"/>
    <w:rsid w:val="00224546"/>
    <w:rsid w:val="00224B04"/>
    <w:rsid w:val="00224E22"/>
    <w:rsid w:val="00224E6D"/>
    <w:rsid w:val="00225C48"/>
    <w:rsid w:val="00225F99"/>
    <w:rsid w:val="00226B2A"/>
    <w:rsid w:val="00226FE2"/>
    <w:rsid w:val="0022779F"/>
    <w:rsid w:val="00227B0F"/>
    <w:rsid w:val="0023024E"/>
    <w:rsid w:val="002313CA"/>
    <w:rsid w:val="00232A6B"/>
    <w:rsid w:val="00233199"/>
    <w:rsid w:val="002341E4"/>
    <w:rsid w:val="00235025"/>
    <w:rsid w:val="00235632"/>
    <w:rsid w:val="00235F11"/>
    <w:rsid w:val="0023744B"/>
    <w:rsid w:val="0024019F"/>
    <w:rsid w:val="002407CD"/>
    <w:rsid w:val="0024083A"/>
    <w:rsid w:val="00240C23"/>
    <w:rsid w:val="00241B34"/>
    <w:rsid w:val="00241C53"/>
    <w:rsid w:val="00242080"/>
    <w:rsid w:val="002450F5"/>
    <w:rsid w:val="00245186"/>
    <w:rsid w:val="00246E4F"/>
    <w:rsid w:val="002472A0"/>
    <w:rsid w:val="00250302"/>
    <w:rsid w:val="002503B0"/>
    <w:rsid w:val="00250528"/>
    <w:rsid w:val="002512AE"/>
    <w:rsid w:val="00251F0E"/>
    <w:rsid w:val="00253489"/>
    <w:rsid w:val="00253611"/>
    <w:rsid w:val="002536F1"/>
    <w:rsid w:val="002542B7"/>
    <w:rsid w:val="00254473"/>
    <w:rsid w:val="002553B2"/>
    <w:rsid w:val="00256093"/>
    <w:rsid w:val="00256876"/>
    <w:rsid w:val="00256FBD"/>
    <w:rsid w:val="00257AAC"/>
    <w:rsid w:val="00257F1F"/>
    <w:rsid w:val="002609AB"/>
    <w:rsid w:val="00261169"/>
    <w:rsid w:val="00261180"/>
    <w:rsid w:val="002613D1"/>
    <w:rsid w:val="0026281B"/>
    <w:rsid w:val="0026372C"/>
    <w:rsid w:val="002647F1"/>
    <w:rsid w:val="00265F18"/>
    <w:rsid w:val="00266017"/>
    <w:rsid w:val="00266771"/>
    <w:rsid w:val="00266CAE"/>
    <w:rsid w:val="002701E6"/>
    <w:rsid w:val="00270207"/>
    <w:rsid w:val="00270541"/>
    <w:rsid w:val="00270668"/>
    <w:rsid w:val="0027278A"/>
    <w:rsid w:val="00272E0C"/>
    <w:rsid w:val="0027364F"/>
    <w:rsid w:val="0027373A"/>
    <w:rsid w:val="00274482"/>
    <w:rsid w:val="00275B0A"/>
    <w:rsid w:val="00276159"/>
    <w:rsid w:val="00276298"/>
    <w:rsid w:val="0027649A"/>
    <w:rsid w:val="0027709C"/>
    <w:rsid w:val="0028033D"/>
    <w:rsid w:val="00280618"/>
    <w:rsid w:val="00280EC1"/>
    <w:rsid w:val="00280F40"/>
    <w:rsid w:val="00281331"/>
    <w:rsid w:val="00282341"/>
    <w:rsid w:val="0028366D"/>
    <w:rsid w:val="00283FA9"/>
    <w:rsid w:val="00284382"/>
    <w:rsid w:val="0028447B"/>
    <w:rsid w:val="00284D1A"/>
    <w:rsid w:val="0028548B"/>
    <w:rsid w:val="0028605E"/>
    <w:rsid w:val="0028792F"/>
    <w:rsid w:val="00287A66"/>
    <w:rsid w:val="00287A85"/>
    <w:rsid w:val="00287E31"/>
    <w:rsid w:val="002911EB"/>
    <w:rsid w:val="002937FB"/>
    <w:rsid w:val="00293B37"/>
    <w:rsid w:val="0029491F"/>
    <w:rsid w:val="0029499B"/>
    <w:rsid w:val="00294E83"/>
    <w:rsid w:val="00295E0B"/>
    <w:rsid w:val="00296482"/>
    <w:rsid w:val="00296AAB"/>
    <w:rsid w:val="002A1E8E"/>
    <w:rsid w:val="002A2E41"/>
    <w:rsid w:val="002A3D98"/>
    <w:rsid w:val="002A492A"/>
    <w:rsid w:val="002A528F"/>
    <w:rsid w:val="002A560F"/>
    <w:rsid w:val="002A7A63"/>
    <w:rsid w:val="002B0635"/>
    <w:rsid w:val="002B0CC7"/>
    <w:rsid w:val="002B1D39"/>
    <w:rsid w:val="002B3177"/>
    <w:rsid w:val="002B39D8"/>
    <w:rsid w:val="002B3A10"/>
    <w:rsid w:val="002B48CC"/>
    <w:rsid w:val="002B71E1"/>
    <w:rsid w:val="002B74D5"/>
    <w:rsid w:val="002B7DE8"/>
    <w:rsid w:val="002B7DE9"/>
    <w:rsid w:val="002C05E7"/>
    <w:rsid w:val="002C0D37"/>
    <w:rsid w:val="002C11B8"/>
    <w:rsid w:val="002C1304"/>
    <w:rsid w:val="002C16C9"/>
    <w:rsid w:val="002C1776"/>
    <w:rsid w:val="002C2041"/>
    <w:rsid w:val="002C2709"/>
    <w:rsid w:val="002C279A"/>
    <w:rsid w:val="002C3926"/>
    <w:rsid w:val="002C3C47"/>
    <w:rsid w:val="002C44BF"/>
    <w:rsid w:val="002C467D"/>
    <w:rsid w:val="002C46C6"/>
    <w:rsid w:val="002C5994"/>
    <w:rsid w:val="002C61A7"/>
    <w:rsid w:val="002C630B"/>
    <w:rsid w:val="002D0F08"/>
    <w:rsid w:val="002D116C"/>
    <w:rsid w:val="002D1550"/>
    <w:rsid w:val="002D2D7B"/>
    <w:rsid w:val="002D34B6"/>
    <w:rsid w:val="002D3C2F"/>
    <w:rsid w:val="002D4A0E"/>
    <w:rsid w:val="002D4F1C"/>
    <w:rsid w:val="002D4F80"/>
    <w:rsid w:val="002D4FF5"/>
    <w:rsid w:val="002D6215"/>
    <w:rsid w:val="002D6269"/>
    <w:rsid w:val="002D760B"/>
    <w:rsid w:val="002D7FCE"/>
    <w:rsid w:val="002E0C82"/>
    <w:rsid w:val="002E14F3"/>
    <w:rsid w:val="002E1CFD"/>
    <w:rsid w:val="002E213F"/>
    <w:rsid w:val="002E25E1"/>
    <w:rsid w:val="002E3297"/>
    <w:rsid w:val="002E3F72"/>
    <w:rsid w:val="002E4D89"/>
    <w:rsid w:val="002E7941"/>
    <w:rsid w:val="002E79FE"/>
    <w:rsid w:val="002E7C7A"/>
    <w:rsid w:val="002F1B78"/>
    <w:rsid w:val="002F45A0"/>
    <w:rsid w:val="002F47EE"/>
    <w:rsid w:val="002F4F70"/>
    <w:rsid w:val="002F5880"/>
    <w:rsid w:val="002F6231"/>
    <w:rsid w:val="002F6AC7"/>
    <w:rsid w:val="002F6DDD"/>
    <w:rsid w:val="0030033E"/>
    <w:rsid w:val="0030102D"/>
    <w:rsid w:val="00301DAA"/>
    <w:rsid w:val="00302132"/>
    <w:rsid w:val="00302690"/>
    <w:rsid w:val="003030FF"/>
    <w:rsid w:val="003036A4"/>
    <w:rsid w:val="00305CE2"/>
    <w:rsid w:val="00306615"/>
    <w:rsid w:val="00306ED3"/>
    <w:rsid w:val="0030765B"/>
    <w:rsid w:val="0031074E"/>
    <w:rsid w:val="00311B35"/>
    <w:rsid w:val="003129BF"/>
    <w:rsid w:val="00313115"/>
    <w:rsid w:val="0031373C"/>
    <w:rsid w:val="00313B47"/>
    <w:rsid w:val="00314491"/>
    <w:rsid w:val="003144A8"/>
    <w:rsid w:val="00315AFF"/>
    <w:rsid w:val="00315B2C"/>
    <w:rsid w:val="0031648D"/>
    <w:rsid w:val="00316BCB"/>
    <w:rsid w:val="00320007"/>
    <w:rsid w:val="003205CC"/>
    <w:rsid w:val="00320641"/>
    <w:rsid w:val="003214C8"/>
    <w:rsid w:val="0032150F"/>
    <w:rsid w:val="00322E5A"/>
    <w:rsid w:val="003244E9"/>
    <w:rsid w:val="003247D0"/>
    <w:rsid w:val="0032543B"/>
    <w:rsid w:val="003258F4"/>
    <w:rsid w:val="00326933"/>
    <w:rsid w:val="00326CB5"/>
    <w:rsid w:val="00327080"/>
    <w:rsid w:val="0032716E"/>
    <w:rsid w:val="00331CBB"/>
    <w:rsid w:val="0033203C"/>
    <w:rsid w:val="0033297A"/>
    <w:rsid w:val="00332C82"/>
    <w:rsid w:val="0033347A"/>
    <w:rsid w:val="00333F0A"/>
    <w:rsid w:val="00334E27"/>
    <w:rsid w:val="00335E59"/>
    <w:rsid w:val="003373F8"/>
    <w:rsid w:val="00337444"/>
    <w:rsid w:val="003402F9"/>
    <w:rsid w:val="003405D5"/>
    <w:rsid w:val="00341537"/>
    <w:rsid w:val="00341736"/>
    <w:rsid w:val="003424E0"/>
    <w:rsid w:val="003426A4"/>
    <w:rsid w:val="00344CC0"/>
    <w:rsid w:val="003453E9"/>
    <w:rsid w:val="003456BE"/>
    <w:rsid w:val="00346066"/>
    <w:rsid w:val="0034755C"/>
    <w:rsid w:val="00347EB4"/>
    <w:rsid w:val="00347FA8"/>
    <w:rsid w:val="003502CB"/>
    <w:rsid w:val="00350EE1"/>
    <w:rsid w:val="00351C85"/>
    <w:rsid w:val="0035317B"/>
    <w:rsid w:val="00355E06"/>
    <w:rsid w:val="003606AD"/>
    <w:rsid w:val="00360FAE"/>
    <w:rsid w:val="00361F19"/>
    <w:rsid w:val="00362FE6"/>
    <w:rsid w:val="00363212"/>
    <w:rsid w:val="00363753"/>
    <w:rsid w:val="003644B9"/>
    <w:rsid w:val="00364C95"/>
    <w:rsid w:val="00364CA8"/>
    <w:rsid w:val="00365473"/>
    <w:rsid w:val="00365AE3"/>
    <w:rsid w:val="00366F4B"/>
    <w:rsid w:val="003674E5"/>
    <w:rsid w:val="00367C01"/>
    <w:rsid w:val="0037000A"/>
    <w:rsid w:val="003700E3"/>
    <w:rsid w:val="0037031E"/>
    <w:rsid w:val="003705FF"/>
    <w:rsid w:val="003706E8"/>
    <w:rsid w:val="00370EC7"/>
    <w:rsid w:val="003717C9"/>
    <w:rsid w:val="00371ADD"/>
    <w:rsid w:val="00371E2A"/>
    <w:rsid w:val="0037217B"/>
    <w:rsid w:val="00372BCB"/>
    <w:rsid w:val="003732EE"/>
    <w:rsid w:val="00373B6A"/>
    <w:rsid w:val="00374593"/>
    <w:rsid w:val="00374FA4"/>
    <w:rsid w:val="003760D0"/>
    <w:rsid w:val="0037633E"/>
    <w:rsid w:val="003766EB"/>
    <w:rsid w:val="0037768D"/>
    <w:rsid w:val="003806B4"/>
    <w:rsid w:val="00381002"/>
    <w:rsid w:val="0038179D"/>
    <w:rsid w:val="003824A8"/>
    <w:rsid w:val="00384642"/>
    <w:rsid w:val="00384AC7"/>
    <w:rsid w:val="00385059"/>
    <w:rsid w:val="003857A4"/>
    <w:rsid w:val="00386548"/>
    <w:rsid w:val="003873DC"/>
    <w:rsid w:val="003910D7"/>
    <w:rsid w:val="00391930"/>
    <w:rsid w:val="00393221"/>
    <w:rsid w:val="00393FB5"/>
    <w:rsid w:val="003941A1"/>
    <w:rsid w:val="00394546"/>
    <w:rsid w:val="003951D0"/>
    <w:rsid w:val="0039566F"/>
    <w:rsid w:val="00395752"/>
    <w:rsid w:val="00396886"/>
    <w:rsid w:val="0039742B"/>
    <w:rsid w:val="00397A48"/>
    <w:rsid w:val="003A0517"/>
    <w:rsid w:val="003A0C71"/>
    <w:rsid w:val="003A1372"/>
    <w:rsid w:val="003A17DF"/>
    <w:rsid w:val="003A4360"/>
    <w:rsid w:val="003A43CC"/>
    <w:rsid w:val="003A4530"/>
    <w:rsid w:val="003A496D"/>
    <w:rsid w:val="003A4FA9"/>
    <w:rsid w:val="003A58B4"/>
    <w:rsid w:val="003A627E"/>
    <w:rsid w:val="003A7967"/>
    <w:rsid w:val="003B00D2"/>
    <w:rsid w:val="003B0469"/>
    <w:rsid w:val="003B0A92"/>
    <w:rsid w:val="003B1334"/>
    <w:rsid w:val="003B1472"/>
    <w:rsid w:val="003B1693"/>
    <w:rsid w:val="003B1B41"/>
    <w:rsid w:val="003B1CC7"/>
    <w:rsid w:val="003B2C24"/>
    <w:rsid w:val="003B2CA0"/>
    <w:rsid w:val="003B4E6E"/>
    <w:rsid w:val="003B62F5"/>
    <w:rsid w:val="003B6529"/>
    <w:rsid w:val="003B65DC"/>
    <w:rsid w:val="003B69BD"/>
    <w:rsid w:val="003B6E42"/>
    <w:rsid w:val="003B7602"/>
    <w:rsid w:val="003B7F43"/>
    <w:rsid w:val="003C07F9"/>
    <w:rsid w:val="003C21F7"/>
    <w:rsid w:val="003C3046"/>
    <w:rsid w:val="003C39A1"/>
    <w:rsid w:val="003C4157"/>
    <w:rsid w:val="003C4414"/>
    <w:rsid w:val="003C4966"/>
    <w:rsid w:val="003C4EC2"/>
    <w:rsid w:val="003C58B4"/>
    <w:rsid w:val="003C5F04"/>
    <w:rsid w:val="003C6074"/>
    <w:rsid w:val="003C6363"/>
    <w:rsid w:val="003C6CE1"/>
    <w:rsid w:val="003C74E2"/>
    <w:rsid w:val="003C777E"/>
    <w:rsid w:val="003C7F1A"/>
    <w:rsid w:val="003D0231"/>
    <w:rsid w:val="003D10A4"/>
    <w:rsid w:val="003D3521"/>
    <w:rsid w:val="003D4363"/>
    <w:rsid w:val="003D4B65"/>
    <w:rsid w:val="003D5BE0"/>
    <w:rsid w:val="003D6184"/>
    <w:rsid w:val="003E0351"/>
    <w:rsid w:val="003E0F9D"/>
    <w:rsid w:val="003E1455"/>
    <w:rsid w:val="003E3694"/>
    <w:rsid w:val="003E3A0A"/>
    <w:rsid w:val="003E3C4D"/>
    <w:rsid w:val="003E418A"/>
    <w:rsid w:val="003E581B"/>
    <w:rsid w:val="003E6881"/>
    <w:rsid w:val="003E6CB7"/>
    <w:rsid w:val="003E6FC9"/>
    <w:rsid w:val="003E7374"/>
    <w:rsid w:val="003E76D8"/>
    <w:rsid w:val="003F115F"/>
    <w:rsid w:val="003F172E"/>
    <w:rsid w:val="003F20CC"/>
    <w:rsid w:val="003F21AA"/>
    <w:rsid w:val="003F21E7"/>
    <w:rsid w:val="003F2A45"/>
    <w:rsid w:val="003F668F"/>
    <w:rsid w:val="003F6C34"/>
    <w:rsid w:val="003F6E98"/>
    <w:rsid w:val="003F77E8"/>
    <w:rsid w:val="003F7CC5"/>
    <w:rsid w:val="003F7DF3"/>
    <w:rsid w:val="00400085"/>
    <w:rsid w:val="00400A7F"/>
    <w:rsid w:val="0040199A"/>
    <w:rsid w:val="00402CA3"/>
    <w:rsid w:val="00402DA6"/>
    <w:rsid w:val="004033C5"/>
    <w:rsid w:val="004036B0"/>
    <w:rsid w:val="004054FE"/>
    <w:rsid w:val="00405753"/>
    <w:rsid w:val="00406422"/>
    <w:rsid w:val="00406DFA"/>
    <w:rsid w:val="00407870"/>
    <w:rsid w:val="00407CD4"/>
    <w:rsid w:val="00410BEE"/>
    <w:rsid w:val="00411E18"/>
    <w:rsid w:val="0041246E"/>
    <w:rsid w:val="00412C86"/>
    <w:rsid w:val="00413644"/>
    <w:rsid w:val="00413AB3"/>
    <w:rsid w:val="004148E3"/>
    <w:rsid w:val="00414A25"/>
    <w:rsid w:val="00414BFF"/>
    <w:rsid w:val="0041555A"/>
    <w:rsid w:val="00416413"/>
    <w:rsid w:val="004216BB"/>
    <w:rsid w:val="0042247A"/>
    <w:rsid w:val="004225EE"/>
    <w:rsid w:val="00422BE5"/>
    <w:rsid w:val="00423BF5"/>
    <w:rsid w:val="00423DEB"/>
    <w:rsid w:val="00423F84"/>
    <w:rsid w:val="00424280"/>
    <w:rsid w:val="00424A93"/>
    <w:rsid w:val="00424DD6"/>
    <w:rsid w:val="00425635"/>
    <w:rsid w:val="00425E29"/>
    <w:rsid w:val="00426FFD"/>
    <w:rsid w:val="0043013E"/>
    <w:rsid w:val="004302B6"/>
    <w:rsid w:val="00432CE6"/>
    <w:rsid w:val="00433E2C"/>
    <w:rsid w:val="00434011"/>
    <w:rsid w:val="0043434E"/>
    <w:rsid w:val="00435740"/>
    <w:rsid w:val="00435D01"/>
    <w:rsid w:val="00435E22"/>
    <w:rsid w:val="00435F2C"/>
    <w:rsid w:val="004360FF"/>
    <w:rsid w:val="004376C9"/>
    <w:rsid w:val="00440B19"/>
    <w:rsid w:val="00441C5F"/>
    <w:rsid w:val="00442A79"/>
    <w:rsid w:val="00443053"/>
    <w:rsid w:val="00443CD6"/>
    <w:rsid w:val="004446A5"/>
    <w:rsid w:val="0044481E"/>
    <w:rsid w:val="004451C2"/>
    <w:rsid w:val="004454BC"/>
    <w:rsid w:val="0044572B"/>
    <w:rsid w:val="00445BCD"/>
    <w:rsid w:val="0044639D"/>
    <w:rsid w:val="00446CD6"/>
    <w:rsid w:val="0044762F"/>
    <w:rsid w:val="00447711"/>
    <w:rsid w:val="00447F6C"/>
    <w:rsid w:val="0045031C"/>
    <w:rsid w:val="00450639"/>
    <w:rsid w:val="00450E9B"/>
    <w:rsid w:val="004518AE"/>
    <w:rsid w:val="004537B0"/>
    <w:rsid w:val="00453B2E"/>
    <w:rsid w:val="00455E86"/>
    <w:rsid w:val="00456984"/>
    <w:rsid w:val="00456ACC"/>
    <w:rsid w:val="00456E47"/>
    <w:rsid w:val="004571F4"/>
    <w:rsid w:val="00457820"/>
    <w:rsid w:val="00460F71"/>
    <w:rsid w:val="00461A28"/>
    <w:rsid w:val="00461DAF"/>
    <w:rsid w:val="0046217F"/>
    <w:rsid w:val="00462699"/>
    <w:rsid w:val="004626BE"/>
    <w:rsid w:val="00462DC1"/>
    <w:rsid w:val="00463836"/>
    <w:rsid w:val="00464092"/>
    <w:rsid w:val="004649FA"/>
    <w:rsid w:val="00464C49"/>
    <w:rsid w:val="004650E5"/>
    <w:rsid w:val="00466A8A"/>
    <w:rsid w:val="0046721C"/>
    <w:rsid w:val="00467936"/>
    <w:rsid w:val="00470690"/>
    <w:rsid w:val="0047078E"/>
    <w:rsid w:val="004708FB"/>
    <w:rsid w:val="00471016"/>
    <w:rsid w:val="00471B94"/>
    <w:rsid w:val="00471C41"/>
    <w:rsid w:val="004724C2"/>
    <w:rsid w:val="00472735"/>
    <w:rsid w:val="0047345F"/>
    <w:rsid w:val="00475890"/>
    <w:rsid w:val="00476B55"/>
    <w:rsid w:val="0047734E"/>
    <w:rsid w:val="00477A9A"/>
    <w:rsid w:val="004805A6"/>
    <w:rsid w:val="0048077F"/>
    <w:rsid w:val="00480A59"/>
    <w:rsid w:val="00480BD6"/>
    <w:rsid w:val="004838B1"/>
    <w:rsid w:val="004838D9"/>
    <w:rsid w:val="00484C07"/>
    <w:rsid w:val="004853F1"/>
    <w:rsid w:val="00486675"/>
    <w:rsid w:val="00486962"/>
    <w:rsid w:val="00487708"/>
    <w:rsid w:val="004878DE"/>
    <w:rsid w:val="004900F7"/>
    <w:rsid w:val="00490BC9"/>
    <w:rsid w:val="00490C6C"/>
    <w:rsid w:val="00490FB7"/>
    <w:rsid w:val="00491C30"/>
    <w:rsid w:val="00492343"/>
    <w:rsid w:val="00492598"/>
    <w:rsid w:val="00494081"/>
    <w:rsid w:val="00494304"/>
    <w:rsid w:val="00495003"/>
    <w:rsid w:val="00495D0E"/>
    <w:rsid w:val="00495E88"/>
    <w:rsid w:val="0049630D"/>
    <w:rsid w:val="00496A3B"/>
    <w:rsid w:val="004976DB"/>
    <w:rsid w:val="004A01BA"/>
    <w:rsid w:val="004A0D82"/>
    <w:rsid w:val="004A1002"/>
    <w:rsid w:val="004A1A34"/>
    <w:rsid w:val="004A2428"/>
    <w:rsid w:val="004A253F"/>
    <w:rsid w:val="004A28B4"/>
    <w:rsid w:val="004A4805"/>
    <w:rsid w:val="004A48B8"/>
    <w:rsid w:val="004A51AA"/>
    <w:rsid w:val="004A5D2D"/>
    <w:rsid w:val="004A5FFD"/>
    <w:rsid w:val="004A60A2"/>
    <w:rsid w:val="004A6C16"/>
    <w:rsid w:val="004A7D28"/>
    <w:rsid w:val="004A7F9E"/>
    <w:rsid w:val="004B05CD"/>
    <w:rsid w:val="004B066D"/>
    <w:rsid w:val="004B11EE"/>
    <w:rsid w:val="004B211E"/>
    <w:rsid w:val="004B37C7"/>
    <w:rsid w:val="004B42EF"/>
    <w:rsid w:val="004B55C3"/>
    <w:rsid w:val="004B57E7"/>
    <w:rsid w:val="004B6339"/>
    <w:rsid w:val="004B6C50"/>
    <w:rsid w:val="004B7912"/>
    <w:rsid w:val="004C01B2"/>
    <w:rsid w:val="004C0435"/>
    <w:rsid w:val="004C2E3B"/>
    <w:rsid w:val="004C2FC5"/>
    <w:rsid w:val="004C33A7"/>
    <w:rsid w:val="004C3B6D"/>
    <w:rsid w:val="004C5F7D"/>
    <w:rsid w:val="004C6214"/>
    <w:rsid w:val="004C62E2"/>
    <w:rsid w:val="004C659B"/>
    <w:rsid w:val="004D07C5"/>
    <w:rsid w:val="004D0F72"/>
    <w:rsid w:val="004D20F5"/>
    <w:rsid w:val="004D2D23"/>
    <w:rsid w:val="004D3252"/>
    <w:rsid w:val="004D4759"/>
    <w:rsid w:val="004D5393"/>
    <w:rsid w:val="004D551E"/>
    <w:rsid w:val="004D56F0"/>
    <w:rsid w:val="004D5F72"/>
    <w:rsid w:val="004D68C7"/>
    <w:rsid w:val="004D69B4"/>
    <w:rsid w:val="004D6B8A"/>
    <w:rsid w:val="004D6E9C"/>
    <w:rsid w:val="004D78F1"/>
    <w:rsid w:val="004E05A4"/>
    <w:rsid w:val="004E1E08"/>
    <w:rsid w:val="004E26C0"/>
    <w:rsid w:val="004E2F31"/>
    <w:rsid w:val="004E3A32"/>
    <w:rsid w:val="004E407E"/>
    <w:rsid w:val="004E4555"/>
    <w:rsid w:val="004E4982"/>
    <w:rsid w:val="004E5693"/>
    <w:rsid w:val="004E5A4E"/>
    <w:rsid w:val="004E7323"/>
    <w:rsid w:val="004E7465"/>
    <w:rsid w:val="004F09EA"/>
    <w:rsid w:val="004F0F29"/>
    <w:rsid w:val="004F162D"/>
    <w:rsid w:val="004F1BB0"/>
    <w:rsid w:val="004F278D"/>
    <w:rsid w:val="004F32B1"/>
    <w:rsid w:val="004F337E"/>
    <w:rsid w:val="004F3B38"/>
    <w:rsid w:val="004F41E7"/>
    <w:rsid w:val="004F4D21"/>
    <w:rsid w:val="004F6674"/>
    <w:rsid w:val="004F6C1B"/>
    <w:rsid w:val="004F7976"/>
    <w:rsid w:val="005000E5"/>
    <w:rsid w:val="00500926"/>
    <w:rsid w:val="00500A8E"/>
    <w:rsid w:val="00500C81"/>
    <w:rsid w:val="00501170"/>
    <w:rsid w:val="00501C3E"/>
    <w:rsid w:val="00502576"/>
    <w:rsid w:val="00502ACF"/>
    <w:rsid w:val="00502DCE"/>
    <w:rsid w:val="005033BF"/>
    <w:rsid w:val="005038BA"/>
    <w:rsid w:val="00503AB2"/>
    <w:rsid w:val="00504E40"/>
    <w:rsid w:val="00504F0D"/>
    <w:rsid w:val="005050E3"/>
    <w:rsid w:val="005053DA"/>
    <w:rsid w:val="00505D7F"/>
    <w:rsid w:val="005070B2"/>
    <w:rsid w:val="00510D0A"/>
    <w:rsid w:val="00511190"/>
    <w:rsid w:val="00511439"/>
    <w:rsid w:val="00511AD6"/>
    <w:rsid w:val="00511F00"/>
    <w:rsid w:val="005132D6"/>
    <w:rsid w:val="00513FC1"/>
    <w:rsid w:val="005140B2"/>
    <w:rsid w:val="00514711"/>
    <w:rsid w:val="00515209"/>
    <w:rsid w:val="005174E0"/>
    <w:rsid w:val="00517B79"/>
    <w:rsid w:val="00517F4D"/>
    <w:rsid w:val="005202E0"/>
    <w:rsid w:val="0052037C"/>
    <w:rsid w:val="0052051C"/>
    <w:rsid w:val="0052069D"/>
    <w:rsid w:val="0052194F"/>
    <w:rsid w:val="00521F79"/>
    <w:rsid w:val="00522381"/>
    <w:rsid w:val="00523E33"/>
    <w:rsid w:val="005244CA"/>
    <w:rsid w:val="005249C1"/>
    <w:rsid w:val="00524BB1"/>
    <w:rsid w:val="00524C37"/>
    <w:rsid w:val="00525051"/>
    <w:rsid w:val="00526183"/>
    <w:rsid w:val="005261F2"/>
    <w:rsid w:val="0052784A"/>
    <w:rsid w:val="00530C21"/>
    <w:rsid w:val="00530CC0"/>
    <w:rsid w:val="0053233F"/>
    <w:rsid w:val="00532D4A"/>
    <w:rsid w:val="00532E1D"/>
    <w:rsid w:val="005331A9"/>
    <w:rsid w:val="00533EBA"/>
    <w:rsid w:val="00534004"/>
    <w:rsid w:val="0053503C"/>
    <w:rsid w:val="00535596"/>
    <w:rsid w:val="0053652C"/>
    <w:rsid w:val="005371AF"/>
    <w:rsid w:val="00537C6B"/>
    <w:rsid w:val="00540121"/>
    <w:rsid w:val="00540150"/>
    <w:rsid w:val="005420CA"/>
    <w:rsid w:val="00542490"/>
    <w:rsid w:val="0054307F"/>
    <w:rsid w:val="005444AD"/>
    <w:rsid w:val="00546D0F"/>
    <w:rsid w:val="005477E6"/>
    <w:rsid w:val="00547AA2"/>
    <w:rsid w:val="00547F7F"/>
    <w:rsid w:val="0055015E"/>
    <w:rsid w:val="00550C1E"/>
    <w:rsid w:val="00550C2D"/>
    <w:rsid w:val="00552125"/>
    <w:rsid w:val="00552161"/>
    <w:rsid w:val="005522B1"/>
    <w:rsid w:val="00552511"/>
    <w:rsid w:val="00552A28"/>
    <w:rsid w:val="00552BEB"/>
    <w:rsid w:val="00552D22"/>
    <w:rsid w:val="005531BC"/>
    <w:rsid w:val="00553F5A"/>
    <w:rsid w:val="00554507"/>
    <w:rsid w:val="0055490B"/>
    <w:rsid w:val="00556ED5"/>
    <w:rsid w:val="00557037"/>
    <w:rsid w:val="00557696"/>
    <w:rsid w:val="00557F74"/>
    <w:rsid w:val="005637EB"/>
    <w:rsid w:val="00563C53"/>
    <w:rsid w:val="00564656"/>
    <w:rsid w:val="00564FD9"/>
    <w:rsid w:val="005651AB"/>
    <w:rsid w:val="00565318"/>
    <w:rsid w:val="00565DC0"/>
    <w:rsid w:val="005671B4"/>
    <w:rsid w:val="00567276"/>
    <w:rsid w:val="005672F0"/>
    <w:rsid w:val="00570021"/>
    <w:rsid w:val="0057111C"/>
    <w:rsid w:val="00571397"/>
    <w:rsid w:val="00571BFC"/>
    <w:rsid w:val="005724B9"/>
    <w:rsid w:val="005724C4"/>
    <w:rsid w:val="00572ECE"/>
    <w:rsid w:val="005733B6"/>
    <w:rsid w:val="00573A8C"/>
    <w:rsid w:val="00573D57"/>
    <w:rsid w:val="005757F3"/>
    <w:rsid w:val="00576982"/>
    <w:rsid w:val="00576FF6"/>
    <w:rsid w:val="005776BF"/>
    <w:rsid w:val="00580637"/>
    <w:rsid w:val="00580726"/>
    <w:rsid w:val="00580C57"/>
    <w:rsid w:val="00581B61"/>
    <w:rsid w:val="00581B6C"/>
    <w:rsid w:val="00582077"/>
    <w:rsid w:val="00584287"/>
    <w:rsid w:val="00585A84"/>
    <w:rsid w:val="00586486"/>
    <w:rsid w:val="00586CE2"/>
    <w:rsid w:val="00587434"/>
    <w:rsid w:val="00587685"/>
    <w:rsid w:val="0058798A"/>
    <w:rsid w:val="00587B09"/>
    <w:rsid w:val="00587D74"/>
    <w:rsid w:val="00590A4A"/>
    <w:rsid w:val="00591997"/>
    <w:rsid w:val="00592011"/>
    <w:rsid w:val="0059201C"/>
    <w:rsid w:val="00592A37"/>
    <w:rsid w:val="00592BAD"/>
    <w:rsid w:val="00593EB0"/>
    <w:rsid w:val="00594096"/>
    <w:rsid w:val="00594445"/>
    <w:rsid w:val="00594ED7"/>
    <w:rsid w:val="00595009"/>
    <w:rsid w:val="005951A6"/>
    <w:rsid w:val="00595693"/>
    <w:rsid w:val="00595B29"/>
    <w:rsid w:val="00595C31"/>
    <w:rsid w:val="00596CFF"/>
    <w:rsid w:val="00596FBD"/>
    <w:rsid w:val="0059794A"/>
    <w:rsid w:val="005A0059"/>
    <w:rsid w:val="005A0840"/>
    <w:rsid w:val="005A0E14"/>
    <w:rsid w:val="005A174A"/>
    <w:rsid w:val="005A284A"/>
    <w:rsid w:val="005A3642"/>
    <w:rsid w:val="005A3806"/>
    <w:rsid w:val="005A3E6E"/>
    <w:rsid w:val="005A4AC6"/>
    <w:rsid w:val="005A5455"/>
    <w:rsid w:val="005A5A49"/>
    <w:rsid w:val="005A753F"/>
    <w:rsid w:val="005A7AF8"/>
    <w:rsid w:val="005B00EF"/>
    <w:rsid w:val="005B0435"/>
    <w:rsid w:val="005B0502"/>
    <w:rsid w:val="005B0DB7"/>
    <w:rsid w:val="005B100F"/>
    <w:rsid w:val="005B2BFC"/>
    <w:rsid w:val="005B4B28"/>
    <w:rsid w:val="005B5366"/>
    <w:rsid w:val="005B6086"/>
    <w:rsid w:val="005B71AB"/>
    <w:rsid w:val="005B7847"/>
    <w:rsid w:val="005B7C4B"/>
    <w:rsid w:val="005C0201"/>
    <w:rsid w:val="005C0F65"/>
    <w:rsid w:val="005C11E9"/>
    <w:rsid w:val="005C1D33"/>
    <w:rsid w:val="005C3658"/>
    <w:rsid w:val="005C3962"/>
    <w:rsid w:val="005C3AC4"/>
    <w:rsid w:val="005C3E87"/>
    <w:rsid w:val="005C42AC"/>
    <w:rsid w:val="005C4478"/>
    <w:rsid w:val="005C4AA5"/>
    <w:rsid w:val="005C6853"/>
    <w:rsid w:val="005D1F3D"/>
    <w:rsid w:val="005D2578"/>
    <w:rsid w:val="005D2EBE"/>
    <w:rsid w:val="005D30E9"/>
    <w:rsid w:val="005D338F"/>
    <w:rsid w:val="005D33C6"/>
    <w:rsid w:val="005D3919"/>
    <w:rsid w:val="005D3C93"/>
    <w:rsid w:val="005D4768"/>
    <w:rsid w:val="005D5298"/>
    <w:rsid w:val="005D6851"/>
    <w:rsid w:val="005D6B80"/>
    <w:rsid w:val="005D728F"/>
    <w:rsid w:val="005D765A"/>
    <w:rsid w:val="005D797C"/>
    <w:rsid w:val="005D7C0C"/>
    <w:rsid w:val="005E1015"/>
    <w:rsid w:val="005E1186"/>
    <w:rsid w:val="005E188F"/>
    <w:rsid w:val="005E243B"/>
    <w:rsid w:val="005E243E"/>
    <w:rsid w:val="005E2969"/>
    <w:rsid w:val="005E2C03"/>
    <w:rsid w:val="005E342E"/>
    <w:rsid w:val="005E3465"/>
    <w:rsid w:val="005E4C02"/>
    <w:rsid w:val="005E74ED"/>
    <w:rsid w:val="005E7A0B"/>
    <w:rsid w:val="005F032F"/>
    <w:rsid w:val="005F04CF"/>
    <w:rsid w:val="005F0EC8"/>
    <w:rsid w:val="005F210F"/>
    <w:rsid w:val="005F2130"/>
    <w:rsid w:val="005F2276"/>
    <w:rsid w:val="005F280C"/>
    <w:rsid w:val="005F293A"/>
    <w:rsid w:val="005F3484"/>
    <w:rsid w:val="005F3C34"/>
    <w:rsid w:val="005F3DB5"/>
    <w:rsid w:val="005F40A1"/>
    <w:rsid w:val="005F40FF"/>
    <w:rsid w:val="005F6749"/>
    <w:rsid w:val="005F72E5"/>
    <w:rsid w:val="005F74EB"/>
    <w:rsid w:val="005F756B"/>
    <w:rsid w:val="00600037"/>
    <w:rsid w:val="0060156D"/>
    <w:rsid w:val="00601EF5"/>
    <w:rsid w:val="00603A57"/>
    <w:rsid w:val="00605DF7"/>
    <w:rsid w:val="00607F34"/>
    <w:rsid w:val="0061156D"/>
    <w:rsid w:val="006115C3"/>
    <w:rsid w:val="00611882"/>
    <w:rsid w:val="00612C12"/>
    <w:rsid w:val="0061314C"/>
    <w:rsid w:val="006137AF"/>
    <w:rsid w:val="00614C95"/>
    <w:rsid w:val="006174CE"/>
    <w:rsid w:val="0061760D"/>
    <w:rsid w:val="00620C08"/>
    <w:rsid w:val="00620F68"/>
    <w:rsid w:val="00621034"/>
    <w:rsid w:val="00621D85"/>
    <w:rsid w:val="00621F6A"/>
    <w:rsid w:val="006220EB"/>
    <w:rsid w:val="00622D84"/>
    <w:rsid w:val="006236C1"/>
    <w:rsid w:val="0062394A"/>
    <w:rsid w:val="00623E10"/>
    <w:rsid w:val="006242E0"/>
    <w:rsid w:val="006245A4"/>
    <w:rsid w:val="00625D2C"/>
    <w:rsid w:val="00626009"/>
    <w:rsid w:val="00626527"/>
    <w:rsid w:val="00626F5C"/>
    <w:rsid w:val="006302CB"/>
    <w:rsid w:val="006302DD"/>
    <w:rsid w:val="00630888"/>
    <w:rsid w:val="006311CB"/>
    <w:rsid w:val="006313B0"/>
    <w:rsid w:val="006337F9"/>
    <w:rsid w:val="00633B9E"/>
    <w:rsid w:val="00633F1D"/>
    <w:rsid w:val="006347FD"/>
    <w:rsid w:val="00635603"/>
    <w:rsid w:val="00635DB4"/>
    <w:rsid w:val="006375B3"/>
    <w:rsid w:val="00637F97"/>
    <w:rsid w:val="00640081"/>
    <w:rsid w:val="00643657"/>
    <w:rsid w:val="0064440E"/>
    <w:rsid w:val="0064574C"/>
    <w:rsid w:val="00646612"/>
    <w:rsid w:val="00646D7C"/>
    <w:rsid w:val="006506B5"/>
    <w:rsid w:val="006517EC"/>
    <w:rsid w:val="00651D8B"/>
    <w:rsid w:val="006524B3"/>
    <w:rsid w:val="006527EC"/>
    <w:rsid w:val="0065298E"/>
    <w:rsid w:val="00653C33"/>
    <w:rsid w:val="00654347"/>
    <w:rsid w:val="006551AA"/>
    <w:rsid w:val="006552C4"/>
    <w:rsid w:val="00655658"/>
    <w:rsid w:val="00656909"/>
    <w:rsid w:val="006570A1"/>
    <w:rsid w:val="006572F0"/>
    <w:rsid w:val="0065765B"/>
    <w:rsid w:val="00661367"/>
    <w:rsid w:val="00661C81"/>
    <w:rsid w:val="0066244C"/>
    <w:rsid w:val="00663337"/>
    <w:rsid w:val="0066364B"/>
    <w:rsid w:val="00663652"/>
    <w:rsid w:val="00663DC8"/>
    <w:rsid w:val="00663E04"/>
    <w:rsid w:val="006643A5"/>
    <w:rsid w:val="00664E38"/>
    <w:rsid w:val="0066528D"/>
    <w:rsid w:val="00665B2D"/>
    <w:rsid w:val="00665DE2"/>
    <w:rsid w:val="00665E4F"/>
    <w:rsid w:val="00666F86"/>
    <w:rsid w:val="00667018"/>
    <w:rsid w:val="0066731D"/>
    <w:rsid w:val="00667AE3"/>
    <w:rsid w:val="00667C0E"/>
    <w:rsid w:val="006704D3"/>
    <w:rsid w:val="00672043"/>
    <w:rsid w:val="00672553"/>
    <w:rsid w:val="00672E06"/>
    <w:rsid w:val="00672E63"/>
    <w:rsid w:val="0067381E"/>
    <w:rsid w:val="006738F9"/>
    <w:rsid w:val="00673E5B"/>
    <w:rsid w:val="00674DDE"/>
    <w:rsid w:val="006754BB"/>
    <w:rsid w:val="00675923"/>
    <w:rsid w:val="006766C5"/>
    <w:rsid w:val="00676820"/>
    <w:rsid w:val="00676A03"/>
    <w:rsid w:val="006805B9"/>
    <w:rsid w:val="00680ABD"/>
    <w:rsid w:val="00681BE2"/>
    <w:rsid w:val="00682B3B"/>
    <w:rsid w:val="006832E7"/>
    <w:rsid w:val="00683CEB"/>
    <w:rsid w:val="00683E65"/>
    <w:rsid w:val="006848AE"/>
    <w:rsid w:val="006857C8"/>
    <w:rsid w:val="00687F2B"/>
    <w:rsid w:val="006900D1"/>
    <w:rsid w:val="006906A6"/>
    <w:rsid w:val="00690DF2"/>
    <w:rsid w:val="00690F80"/>
    <w:rsid w:val="006935E1"/>
    <w:rsid w:val="0069371C"/>
    <w:rsid w:val="00694482"/>
    <w:rsid w:val="0069468F"/>
    <w:rsid w:val="00694DBC"/>
    <w:rsid w:val="00694FBA"/>
    <w:rsid w:val="006960AB"/>
    <w:rsid w:val="00696275"/>
    <w:rsid w:val="0069750F"/>
    <w:rsid w:val="006A00A4"/>
    <w:rsid w:val="006A0623"/>
    <w:rsid w:val="006A125C"/>
    <w:rsid w:val="006A1DEA"/>
    <w:rsid w:val="006A227E"/>
    <w:rsid w:val="006A2D50"/>
    <w:rsid w:val="006A3910"/>
    <w:rsid w:val="006A3BF9"/>
    <w:rsid w:val="006A450B"/>
    <w:rsid w:val="006A52D8"/>
    <w:rsid w:val="006A5C4F"/>
    <w:rsid w:val="006A60BA"/>
    <w:rsid w:val="006A6B2C"/>
    <w:rsid w:val="006A77CA"/>
    <w:rsid w:val="006A7D96"/>
    <w:rsid w:val="006A7F24"/>
    <w:rsid w:val="006B02FD"/>
    <w:rsid w:val="006B0382"/>
    <w:rsid w:val="006B0688"/>
    <w:rsid w:val="006B086B"/>
    <w:rsid w:val="006B1301"/>
    <w:rsid w:val="006B1E70"/>
    <w:rsid w:val="006B3C31"/>
    <w:rsid w:val="006B4916"/>
    <w:rsid w:val="006B4EA9"/>
    <w:rsid w:val="006B535E"/>
    <w:rsid w:val="006B55E4"/>
    <w:rsid w:val="006B563B"/>
    <w:rsid w:val="006B6A30"/>
    <w:rsid w:val="006B6E9A"/>
    <w:rsid w:val="006B701C"/>
    <w:rsid w:val="006B7752"/>
    <w:rsid w:val="006C10CB"/>
    <w:rsid w:val="006C2130"/>
    <w:rsid w:val="006C23B2"/>
    <w:rsid w:val="006C2647"/>
    <w:rsid w:val="006C2669"/>
    <w:rsid w:val="006C2AA2"/>
    <w:rsid w:val="006C2CF9"/>
    <w:rsid w:val="006C2F6B"/>
    <w:rsid w:val="006C3343"/>
    <w:rsid w:val="006C3C1C"/>
    <w:rsid w:val="006C43BF"/>
    <w:rsid w:val="006C4D91"/>
    <w:rsid w:val="006C59EF"/>
    <w:rsid w:val="006C5A7A"/>
    <w:rsid w:val="006C6194"/>
    <w:rsid w:val="006C6F31"/>
    <w:rsid w:val="006C7016"/>
    <w:rsid w:val="006D02EF"/>
    <w:rsid w:val="006D0D2B"/>
    <w:rsid w:val="006D146A"/>
    <w:rsid w:val="006D17D3"/>
    <w:rsid w:val="006D2A5B"/>
    <w:rsid w:val="006D2AE7"/>
    <w:rsid w:val="006D31C2"/>
    <w:rsid w:val="006D3CC4"/>
    <w:rsid w:val="006D4AD9"/>
    <w:rsid w:val="006D4C9A"/>
    <w:rsid w:val="006D55C1"/>
    <w:rsid w:val="006D5933"/>
    <w:rsid w:val="006D6B21"/>
    <w:rsid w:val="006D6B38"/>
    <w:rsid w:val="006D6D14"/>
    <w:rsid w:val="006D6E30"/>
    <w:rsid w:val="006D7E52"/>
    <w:rsid w:val="006E05BE"/>
    <w:rsid w:val="006E1D55"/>
    <w:rsid w:val="006E2218"/>
    <w:rsid w:val="006E29B1"/>
    <w:rsid w:val="006E30D8"/>
    <w:rsid w:val="006E35A6"/>
    <w:rsid w:val="006E3AAB"/>
    <w:rsid w:val="006E3BAD"/>
    <w:rsid w:val="006E4032"/>
    <w:rsid w:val="006E459C"/>
    <w:rsid w:val="006E66EC"/>
    <w:rsid w:val="006E6FD8"/>
    <w:rsid w:val="006E7A74"/>
    <w:rsid w:val="006F09AE"/>
    <w:rsid w:val="006F10F2"/>
    <w:rsid w:val="006F3F25"/>
    <w:rsid w:val="006F6197"/>
    <w:rsid w:val="006F6E22"/>
    <w:rsid w:val="006F7E01"/>
    <w:rsid w:val="007010F4"/>
    <w:rsid w:val="00702074"/>
    <w:rsid w:val="0070209C"/>
    <w:rsid w:val="00702FE3"/>
    <w:rsid w:val="007032F6"/>
    <w:rsid w:val="00703385"/>
    <w:rsid w:val="007043AB"/>
    <w:rsid w:val="00704C8F"/>
    <w:rsid w:val="00706ACF"/>
    <w:rsid w:val="0070790A"/>
    <w:rsid w:val="00710940"/>
    <w:rsid w:val="007129AD"/>
    <w:rsid w:val="00712B0E"/>
    <w:rsid w:val="00712B68"/>
    <w:rsid w:val="00713F1F"/>
    <w:rsid w:val="00715240"/>
    <w:rsid w:val="007154E1"/>
    <w:rsid w:val="00716147"/>
    <w:rsid w:val="007176A4"/>
    <w:rsid w:val="00720594"/>
    <w:rsid w:val="0072065A"/>
    <w:rsid w:val="00720EA8"/>
    <w:rsid w:val="00721140"/>
    <w:rsid w:val="007224D8"/>
    <w:rsid w:val="00722BB0"/>
    <w:rsid w:val="00723945"/>
    <w:rsid w:val="007240D5"/>
    <w:rsid w:val="00724119"/>
    <w:rsid w:val="00724CF8"/>
    <w:rsid w:val="00724DAB"/>
    <w:rsid w:val="00725084"/>
    <w:rsid w:val="00725C5D"/>
    <w:rsid w:val="00725FA0"/>
    <w:rsid w:val="00726485"/>
    <w:rsid w:val="0072725A"/>
    <w:rsid w:val="00727554"/>
    <w:rsid w:val="00727DEB"/>
    <w:rsid w:val="00730052"/>
    <w:rsid w:val="00730534"/>
    <w:rsid w:val="00730C2E"/>
    <w:rsid w:val="00730E5A"/>
    <w:rsid w:val="00731F99"/>
    <w:rsid w:val="007328CC"/>
    <w:rsid w:val="00732A10"/>
    <w:rsid w:val="00733448"/>
    <w:rsid w:val="0073387F"/>
    <w:rsid w:val="00733DEF"/>
    <w:rsid w:val="00734529"/>
    <w:rsid w:val="00735D48"/>
    <w:rsid w:val="00735DD9"/>
    <w:rsid w:val="0073630A"/>
    <w:rsid w:val="007369BF"/>
    <w:rsid w:val="00736C04"/>
    <w:rsid w:val="00737863"/>
    <w:rsid w:val="00740182"/>
    <w:rsid w:val="00741A4D"/>
    <w:rsid w:val="00742EEF"/>
    <w:rsid w:val="007433C5"/>
    <w:rsid w:val="007433C9"/>
    <w:rsid w:val="00743AD5"/>
    <w:rsid w:val="00743BCF"/>
    <w:rsid w:val="00743C00"/>
    <w:rsid w:val="00743CBC"/>
    <w:rsid w:val="00743FDC"/>
    <w:rsid w:val="0074432F"/>
    <w:rsid w:val="00744672"/>
    <w:rsid w:val="00745D26"/>
    <w:rsid w:val="007462AD"/>
    <w:rsid w:val="00747213"/>
    <w:rsid w:val="00747499"/>
    <w:rsid w:val="00747821"/>
    <w:rsid w:val="00747AAF"/>
    <w:rsid w:val="00747B4D"/>
    <w:rsid w:val="007518B0"/>
    <w:rsid w:val="0075225E"/>
    <w:rsid w:val="0075253A"/>
    <w:rsid w:val="00752CC3"/>
    <w:rsid w:val="00752D42"/>
    <w:rsid w:val="00752F96"/>
    <w:rsid w:val="007536AA"/>
    <w:rsid w:val="00754449"/>
    <w:rsid w:val="00754533"/>
    <w:rsid w:val="0075453D"/>
    <w:rsid w:val="00754AB4"/>
    <w:rsid w:val="007565B8"/>
    <w:rsid w:val="007574BD"/>
    <w:rsid w:val="007574C1"/>
    <w:rsid w:val="007575F1"/>
    <w:rsid w:val="00757DA8"/>
    <w:rsid w:val="00761524"/>
    <w:rsid w:val="00762862"/>
    <w:rsid w:val="00762956"/>
    <w:rsid w:val="00762E7A"/>
    <w:rsid w:val="00762E9E"/>
    <w:rsid w:val="00763EEF"/>
    <w:rsid w:val="00764E5F"/>
    <w:rsid w:val="00765BE9"/>
    <w:rsid w:val="00765E3D"/>
    <w:rsid w:val="0076679A"/>
    <w:rsid w:val="00766898"/>
    <w:rsid w:val="00767408"/>
    <w:rsid w:val="00771F39"/>
    <w:rsid w:val="00772B88"/>
    <w:rsid w:val="00773D0B"/>
    <w:rsid w:val="00773EFE"/>
    <w:rsid w:val="00774ACD"/>
    <w:rsid w:val="00774D5D"/>
    <w:rsid w:val="0077521D"/>
    <w:rsid w:val="00776366"/>
    <w:rsid w:val="007772F9"/>
    <w:rsid w:val="0077764F"/>
    <w:rsid w:val="0077796A"/>
    <w:rsid w:val="00777D36"/>
    <w:rsid w:val="00777FA0"/>
    <w:rsid w:val="00780292"/>
    <w:rsid w:val="0078108C"/>
    <w:rsid w:val="007810F5"/>
    <w:rsid w:val="007812B1"/>
    <w:rsid w:val="00782BF2"/>
    <w:rsid w:val="00783257"/>
    <w:rsid w:val="0078397B"/>
    <w:rsid w:val="00784188"/>
    <w:rsid w:val="00784ECB"/>
    <w:rsid w:val="0078578E"/>
    <w:rsid w:val="00785AA7"/>
    <w:rsid w:val="0078613D"/>
    <w:rsid w:val="00786FBC"/>
    <w:rsid w:val="00787FFE"/>
    <w:rsid w:val="00790123"/>
    <w:rsid w:val="0079100F"/>
    <w:rsid w:val="007910FE"/>
    <w:rsid w:val="00791A63"/>
    <w:rsid w:val="00791D22"/>
    <w:rsid w:val="00791DCD"/>
    <w:rsid w:val="00792C4C"/>
    <w:rsid w:val="00792E45"/>
    <w:rsid w:val="00792F87"/>
    <w:rsid w:val="00793536"/>
    <w:rsid w:val="00794534"/>
    <w:rsid w:val="0079499A"/>
    <w:rsid w:val="00794F6D"/>
    <w:rsid w:val="00795195"/>
    <w:rsid w:val="00795383"/>
    <w:rsid w:val="0079697E"/>
    <w:rsid w:val="0079722A"/>
    <w:rsid w:val="007976CA"/>
    <w:rsid w:val="007977BC"/>
    <w:rsid w:val="007A0098"/>
    <w:rsid w:val="007A0A29"/>
    <w:rsid w:val="007A0CEC"/>
    <w:rsid w:val="007A1801"/>
    <w:rsid w:val="007A21AC"/>
    <w:rsid w:val="007A2BB0"/>
    <w:rsid w:val="007A3650"/>
    <w:rsid w:val="007A4A80"/>
    <w:rsid w:val="007A4CA2"/>
    <w:rsid w:val="007A5DC1"/>
    <w:rsid w:val="007A755C"/>
    <w:rsid w:val="007A75D1"/>
    <w:rsid w:val="007A7F00"/>
    <w:rsid w:val="007B0209"/>
    <w:rsid w:val="007B08A4"/>
    <w:rsid w:val="007B0C3E"/>
    <w:rsid w:val="007B1166"/>
    <w:rsid w:val="007B14F7"/>
    <w:rsid w:val="007B29F6"/>
    <w:rsid w:val="007B2FB9"/>
    <w:rsid w:val="007B341D"/>
    <w:rsid w:val="007B3E34"/>
    <w:rsid w:val="007B5212"/>
    <w:rsid w:val="007B785B"/>
    <w:rsid w:val="007C0228"/>
    <w:rsid w:val="007C142B"/>
    <w:rsid w:val="007C1DB4"/>
    <w:rsid w:val="007C24F6"/>
    <w:rsid w:val="007C29C3"/>
    <w:rsid w:val="007C2E10"/>
    <w:rsid w:val="007C3415"/>
    <w:rsid w:val="007C34F1"/>
    <w:rsid w:val="007C3968"/>
    <w:rsid w:val="007C3F30"/>
    <w:rsid w:val="007C4755"/>
    <w:rsid w:val="007C4C5B"/>
    <w:rsid w:val="007C5293"/>
    <w:rsid w:val="007C5ABD"/>
    <w:rsid w:val="007C5B1F"/>
    <w:rsid w:val="007C6642"/>
    <w:rsid w:val="007C6BE4"/>
    <w:rsid w:val="007C7B26"/>
    <w:rsid w:val="007C7E5B"/>
    <w:rsid w:val="007D1CBA"/>
    <w:rsid w:val="007D1E70"/>
    <w:rsid w:val="007D39B2"/>
    <w:rsid w:val="007D4005"/>
    <w:rsid w:val="007D42BD"/>
    <w:rsid w:val="007D438F"/>
    <w:rsid w:val="007D5500"/>
    <w:rsid w:val="007D5592"/>
    <w:rsid w:val="007D602F"/>
    <w:rsid w:val="007D6F94"/>
    <w:rsid w:val="007E0095"/>
    <w:rsid w:val="007E13D4"/>
    <w:rsid w:val="007E1C41"/>
    <w:rsid w:val="007E39AD"/>
    <w:rsid w:val="007E3B11"/>
    <w:rsid w:val="007E4430"/>
    <w:rsid w:val="007E4CB6"/>
    <w:rsid w:val="007E4F25"/>
    <w:rsid w:val="007E5671"/>
    <w:rsid w:val="007E588A"/>
    <w:rsid w:val="007E5A19"/>
    <w:rsid w:val="007E5C14"/>
    <w:rsid w:val="007E69FF"/>
    <w:rsid w:val="007E794E"/>
    <w:rsid w:val="007F0B5D"/>
    <w:rsid w:val="007F0E30"/>
    <w:rsid w:val="007F0EFE"/>
    <w:rsid w:val="007F12E3"/>
    <w:rsid w:val="007F19A6"/>
    <w:rsid w:val="007F204A"/>
    <w:rsid w:val="007F3565"/>
    <w:rsid w:val="007F3B89"/>
    <w:rsid w:val="007F3F12"/>
    <w:rsid w:val="007F4B1C"/>
    <w:rsid w:val="007F58EC"/>
    <w:rsid w:val="007F5D9A"/>
    <w:rsid w:val="007F69A7"/>
    <w:rsid w:val="007F79BD"/>
    <w:rsid w:val="007F7E75"/>
    <w:rsid w:val="008000D9"/>
    <w:rsid w:val="0080093C"/>
    <w:rsid w:val="00800C00"/>
    <w:rsid w:val="00800C31"/>
    <w:rsid w:val="00800CFB"/>
    <w:rsid w:val="008014EE"/>
    <w:rsid w:val="00801C7D"/>
    <w:rsid w:val="0080239B"/>
    <w:rsid w:val="0080269A"/>
    <w:rsid w:val="0080283A"/>
    <w:rsid w:val="00802B33"/>
    <w:rsid w:val="00802C7F"/>
    <w:rsid w:val="00803FB3"/>
    <w:rsid w:val="00804605"/>
    <w:rsid w:val="00804BBA"/>
    <w:rsid w:val="00807709"/>
    <w:rsid w:val="00807B05"/>
    <w:rsid w:val="00810348"/>
    <w:rsid w:val="00812361"/>
    <w:rsid w:val="0081339B"/>
    <w:rsid w:val="00813C79"/>
    <w:rsid w:val="008157BF"/>
    <w:rsid w:val="008159BC"/>
    <w:rsid w:val="00815E69"/>
    <w:rsid w:val="00817445"/>
    <w:rsid w:val="008200DF"/>
    <w:rsid w:val="00820854"/>
    <w:rsid w:val="0082091C"/>
    <w:rsid w:val="0082107A"/>
    <w:rsid w:val="008214CE"/>
    <w:rsid w:val="00821528"/>
    <w:rsid w:val="0082275D"/>
    <w:rsid w:val="00822C01"/>
    <w:rsid w:val="00823A84"/>
    <w:rsid w:val="008243DB"/>
    <w:rsid w:val="0082498E"/>
    <w:rsid w:val="008252C2"/>
    <w:rsid w:val="008253D9"/>
    <w:rsid w:val="00825EB9"/>
    <w:rsid w:val="00826617"/>
    <w:rsid w:val="008267AE"/>
    <w:rsid w:val="00826CBB"/>
    <w:rsid w:val="00826F0E"/>
    <w:rsid w:val="008270B9"/>
    <w:rsid w:val="00827711"/>
    <w:rsid w:val="00830884"/>
    <w:rsid w:val="00831E6C"/>
    <w:rsid w:val="00832790"/>
    <w:rsid w:val="00832B01"/>
    <w:rsid w:val="00833A53"/>
    <w:rsid w:val="00833B86"/>
    <w:rsid w:val="00833EB1"/>
    <w:rsid w:val="008354EE"/>
    <w:rsid w:val="00840682"/>
    <w:rsid w:val="00841619"/>
    <w:rsid w:val="008418BD"/>
    <w:rsid w:val="008427EB"/>
    <w:rsid w:val="008433A5"/>
    <w:rsid w:val="008436C4"/>
    <w:rsid w:val="00843AA2"/>
    <w:rsid w:val="0084437C"/>
    <w:rsid w:val="008448AD"/>
    <w:rsid w:val="0084509A"/>
    <w:rsid w:val="008456CA"/>
    <w:rsid w:val="00845E70"/>
    <w:rsid w:val="00846FD0"/>
    <w:rsid w:val="0084754D"/>
    <w:rsid w:val="00847900"/>
    <w:rsid w:val="00847E7F"/>
    <w:rsid w:val="00850095"/>
    <w:rsid w:val="008514B4"/>
    <w:rsid w:val="0085188C"/>
    <w:rsid w:val="00851A85"/>
    <w:rsid w:val="00851F46"/>
    <w:rsid w:val="00852CE0"/>
    <w:rsid w:val="00853A35"/>
    <w:rsid w:val="00853B2B"/>
    <w:rsid w:val="0085468B"/>
    <w:rsid w:val="00854D3F"/>
    <w:rsid w:val="00855803"/>
    <w:rsid w:val="008567F4"/>
    <w:rsid w:val="00856C69"/>
    <w:rsid w:val="00856C7C"/>
    <w:rsid w:val="00857305"/>
    <w:rsid w:val="008603C8"/>
    <w:rsid w:val="0086180C"/>
    <w:rsid w:val="00862FAE"/>
    <w:rsid w:val="008644A7"/>
    <w:rsid w:val="0086511B"/>
    <w:rsid w:val="0086516F"/>
    <w:rsid w:val="0086555B"/>
    <w:rsid w:val="00867C08"/>
    <w:rsid w:val="0087008B"/>
    <w:rsid w:val="008705F4"/>
    <w:rsid w:val="00870998"/>
    <w:rsid w:val="00870BEA"/>
    <w:rsid w:val="00872CEE"/>
    <w:rsid w:val="00873A9A"/>
    <w:rsid w:val="00873CA1"/>
    <w:rsid w:val="00873E6A"/>
    <w:rsid w:val="00874D80"/>
    <w:rsid w:val="00874E27"/>
    <w:rsid w:val="00874E5D"/>
    <w:rsid w:val="00875DAD"/>
    <w:rsid w:val="0087610C"/>
    <w:rsid w:val="00876714"/>
    <w:rsid w:val="00877781"/>
    <w:rsid w:val="00880484"/>
    <w:rsid w:val="00881D40"/>
    <w:rsid w:val="00881F12"/>
    <w:rsid w:val="00882184"/>
    <w:rsid w:val="008822E5"/>
    <w:rsid w:val="00882397"/>
    <w:rsid w:val="0088253C"/>
    <w:rsid w:val="00882BC0"/>
    <w:rsid w:val="008839C9"/>
    <w:rsid w:val="008839F3"/>
    <w:rsid w:val="00884794"/>
    <w:rsid w:val="00884896"/>
    <w:rsid w:val="008870B8"/>
    <w:rsid w:val="008879CF"/>
    <w:rsid w:val="0089092E"/>
    <w:rsid w:val="00891F30"/>
    <w:rsid w:val="008925A8"/>
    <w:rsid w:val="00892D2E"/>
    <w:rsid w:val="00892EB8"/>
    <w:rsid w:val="0089323D"/>
    <w:rsid w:val="00893D52"/>
    <w:rsid w:val="00894E87"/>
    <w:rsid w:val="00894FAB"/>
    <w:rsid w:val="00895EB2"/>
    <w:rsid w:val="008976E3"/>
    <w:rsid w:val="00897DCE"/>
    <w:rsid w:val="008A0502"/>
    <w:rsid w:val="008A0A20"/>
    <w:rsid w:val="008A176F"/>
    <w:rsid w:val="008A23C2"/>
    <w:rsid w:val="008A2790"/>
    <w:rsid w:val="008A2A88"/>
    <w:rsid w:val="008A2AE5"/>
    <w:rsid w:val="008A36F3"/>
    <w:rsid w:val="008A3D1B"/>
    <w:rsid w:val="008A418F"/>
    <w:rsid w:val="008A49B9"/>
    <w:rsid w:val="008A51E9"/>
    <w:rsid w:val="008A52F5"/>
    <w:rsid w:val="008A53CE"/>
    <w:rsid w:val="008A606C"/>
    <w:rsid w:val="008A77A2"/>
    <w:rsid w:val="008A7BEF"/>
    <w:rsid w:val="008A7D22"/>
    <w:rsid w:val="008A7F89"/>
    <w:rsid w:val="008B00D4"/>
    <w:rsid w:val="008B2261"/>
    <w:rsid w:val="008B3C2A"/>
    <w:rsid w:val="008B4F80"/>
    <w:rsid w:val="008B55CE"/>
    <w:rsid w:val="008B5E8D"/>
    <w:rsid w:val="008B7990"/>
    <w:rsid w:val="008C1295"/>
    <w:rsid w:val="008C3CE0"/>
    <w:rsid w:val="008C40CE"/>
    <w:rsid w:val="008C4DA5"/>
    <w:rsid w:val="008C4DED"/>
    <w:rsid w:val="008C5090"/>
    <w:rsid w:val="008C5E64"/>
    <w:rsid w:val="008C720C"/>
    <w:rsid w:val="008D146D"/>
    <w:rsid w:val="008D2E09"/>
    <w:rsid w:val="008D3686"/>
    <w:rsid w:val="008D3F23"/>
    <w:rsid w:val="008D427F"/>
    <w:rsid w:val="008D47C2"/>
    <w:rsid w:val="008D47F2"/>
    <w:rsid w:val="008D4BA5"/>
    <w:rsid w:val="008D56A6"/>
    <w:rsid w:val="008D5978"/>
    <w:rsid w:val="008D764D"/>
    <w:rsid w:val="008E0762"/>
    <w:rsid w:val="008E0983"/>
    <w:rsid w:val="008E138B"/>
    <w:rsid w:val="008E16ED"/>
    <w:rsid w:val="008E1DC7"/>
    <w:rsid w:val="008E20D5"/>
    <w:rsid w:val="008E2648"/>
    <w:rsid w:val="008E2B9D"/>
    <w:rsid w:val="008E2F41"/>
    <w:rsid w:val="008E33AD"/>
    <w:rsid w:val="008E3E01"/>
    <w:rsid w:val="008E589C"/>
    <w:rsid w:val="008E6F97"/>
    <w:rsid w:val="008E7BE2"/>
    <w:rsid w:val="008F0144"/>
    <w:rsid w:val="008F01AE"/>
    <w:rsid w:val="008F03E3"/>
    <w:rsid w:val="008F0D16"/>
    <w:rsid w:val="008F0F3A"/>
    <w:rsid w:val="008F1B3C"/>
    <w:rsid w:val="008F38F8"/>
    <w:rsid w:val="008F43E5"/>
    <w:rsid w:val="008F4752"/>
    <w:rsid w:val="008F480E"/>
    <w:rsid w:val="008F57EB"/>
    <w:rsid w:val="008F6833"/>
    <w:rsid w:val="008F689C"/>
    <w:rsid w:val="00900855"/>
    <w:rsid w:val="0090213B"/>
    <w:rsid w:val="00902694"/>
    <w:rsid w:val="009045BA"/>
    <w:rsid w:val="00904FE3"/>
    <w:rsid w:val="00905303"/>
    <w:rsid w:val="00905CA8"/>
    <w:rsid w:val="009064F1"/>
    <w:rsid w:val="00907B42"/>
    <w:rsid w:val="00907BBB"/>
    <w:rsid w:val="00907D58"/>
    <w:rsid w:val="00910603"/>
    <w:rsid w:val="009107B2"/>
    <w:rsid w:val="009107EB"/>
    <w:rsid w:val="00910887"/>
    <w:rsid w:val="0091162B"/>
    <w:rsid w:val="0091244E"/>
    <w:rsid w:val="00912AC9"/>
    <w:rsid w:val="00912CEF"/>
    <w:rsid w:val="00913771"/>
    <w:rsid w:val="00916CC0"/>
    <w:rsid w:val="009170FD"/>
    <w:rsid w:val="00917260"/>
    <w:rsid w:val="00917DFC"/>
    <w:rsid w:val="00920382"/>
    <w:rsid w:val="009204D0"/>
    <w:rsid w:val="009205D0"/>
    <w:rsid w:val="00921E8B"/>
    <w:rsid w:val="009226BC"/>
    <w:rsid w:val="00922C42"/>
    <w:rsid w:val="00922CC8"/>
    <w:rsid w:val="00922F41"/>
    <w:rsid w:val="00923A88"/>
    <w:rsid w:val="00923BFD"/>
    <w:rsid w:val="00923FAB"/>
    <w:rsid w:val="00924DFC"/>
    <w:rsid w:val="0092529D"/>
    <w:rsid w:val="00925598"/>
    <w:rsid w:val="0092600D"/>
    <w:rsid w:val="0092618B"/>
    <w:rsid w:val="009277FA"/>
    <w:rsid w:val="009307C8"/>
    <w:rsid w:val="00930BEC"/>
    <w:rsid w:val="00930F34"/>
    <w:rsid w:val="009334AA"/>
    <w:rsid w:val="0093516F"/>
    <w:rsid w:val="009352D3"/>
    <w:rsid w:val="0093595D"/>
    <w:rsid w:val="00935DA5"/>
    <w:rsid w:val="00935F60"/>
    <w:rsid w:val="00936E74"/>
    <w:rsid w:val="00937727"/>
    <w:rsid w:val="009406A8"/>
    <w:rsid w:val="009409AD"/>
    <w:rsid w:val="00940C55"/>
    <w:rsid w:val="00940DDA"/>
    <w:rsid w:val="00941A2E"/>
    <w:rsid w:val="00942B9A"/>
    <w:rsid w:val="00942F9F"/>
    <w:rsid w:val="00943ECE"/>
    <w:rsid w:val="009440DC"/>
    <w:rsid w:val="00945231"/>
    <w:rsid w:val="0094573B"/>
    <w:rsid w:val="00946306"/>
    <w:rsid w:val="009467A1"/>
    <w:rsid w:val="00947555"/>
    <w:rsid w:val="009479B1"/>
    <w:rsid w:val="00947B62"/>
    <w:rsid w:val="00947E28"/>
    <w:rsid w:val="009506D3"/>
    <w:rsid w:val="00950C7B"/>
    <w:rsid w:val="00950DD0"/>
    <w:rsid w:val="00951731"/>
    <w:rsid w:val="0095360E"/>
    <w:rsid w:val="00953B63"/>
    <w:rsid w:val="00954325"/>
    <w:rsid w:val="00955259"/>
    <w:rsid w:val="0095570E"/>
    <w:rsid w:val="00955BFF"/>
    <w:rsid w:val="00956272"/>
    <w:rsid w:val="00956FD3"/>
    <w:rsid w:val="00957089"/>
    <w:rsid w:val="00957206"/>
    <w:rsid w:val="00957C0C"/>
    <w:rsid w:val="00957C38"/>
    <w:rsid w:val="00960DDD"/>
    <w:rsid w:val="009621EA"/>
    <w:rsid w:val="009628D9"/>
    <w:rsid w:val="00962C54"/>
    <w:rsid w:val="00963236"/>
    <w:rsid w:val="00964D73"/>
    <w:rsid w:val="00964DD9"/>
    <w:rsid w:val="009650AD"/>
    <w:rsid w:val="009655A0"/>
    <w:rsid w:val="009664E8"/>
    <w:rsid w:val="00967BF4"/>
    <w:rsid w:val="0097007E"/>
    <w:rsid w:val="0097034A"/>
    <w:rsid w:val="009709F7"/>
    <w:rsid w:val="00971269"/>
    <w:rsid w:val="0097170B"/>
    <w:rsid w:val="00971B06"/>
    <w:rsid w:val="00972551"/>
    <w:rsid w:val="00972D09"/>
    <w:rsid w:val="0097320D"/>
    <w:rsid w:val="00973F4A"/>
    <w:rsid w:val="00974363"/>
    <w:rsid w:val="00974700"/>
    <w:rsid w:val="00974B0C"/>
    <w:rsid w:val="009750B3"/>
    <w:rsid w:val="0097579C"/>
    <w:rsid w:val="00976340"/>
    <w:rsid w:val="00976D98"/>
    <w:rsid w:val="00976E27"/>
    <w:rsid w:val="009770C0"/>
    <w:rsid w:val="009771DB"/>
    <w:rsid w:val="00977270"/>
    <w:rsid w:val="0098053C"/>
    <w:rsid w:val="00981751"/>
    <w:rsid w:val="00981B2B"/>
    <w:rsid w:val="00981D88"/>
    <w:rsid w:val="00983090"/>
    <w:rsid w:val="009832A0"/>
    <w:rsid w:val="009836E8"/>
    <w:rsid w:val="009838E5"/>
    <w:rsid w:val="00984389"/>
    <w:rsid w:val="00984E20"/>
    <w:rsid w:val="00984FFB"/>
    <w:rsid w:val="00985B37"/>
    <w:rsid w:val="00985DC3"/>
    <w:rsid w:val="009860A2"/>
    <w:rsid w:val="00986CFE"/>
    <w:rsid w:val="00987CA9"/>
    <w:rsid w:val="00987D98"/>
    <w:rsid w:val="00987E23"/>
    <w:rsid w:val="009902B7"/>
    <w:rsid w:val="009906DA"/>
    <w:rsid w:val="00990A07"/>
    <w:rsid w:val="00990A7E"/>
    <w:rsid w:val="00991316"/>
    <w:rsid w:val="00991DAE"/>
    <w:rsid w:val="00992A5F"/>
    <w:rsid w:val="009960CD"/>
    <w:rsid w:val="0099672E"/>
    <w:rsid w:val="0099687A"/>
    <w:rsid w:val="00997869"/>
    <w:rsid w:val="009A09B2"/>
    <w:rsid w:val="009A2561"/>
    <w:rsid w:val="009A2BC3"/>
    <w:rsid w:val="009A2D49"/>
    <w:rsid w:val="009A402C"/>
    <w:rsid w:val="009A46DE"/>
    <w:rsid w:val="009A5E45"/>
    <w:rsid w:val="009A6E96"/>
    <w:rsid w:val="009A7002"/>
    <w:rsid w:val="009A71F6"/>
    <w:rsid w:val="009A72CA"/>
    <w:rsid w:val="009A77C2"/>
    <w:rsid w:val="009A7834"/>
    <w:rsid w:val="009A783F"/>
    <w:rsid w:val="009A7EEA"/>
    <w:rsid w:val="009B0B40"/>
    <w:rsid w:val="009B1731"/>
    <w:rsid w:val="009B3E80"/>
    <w:rsid w:val="009B4F88"/>
    <w:rsid w:val="009B5DEF"/>
    <w:rsid w:val="009B5E37"/>
    <w:rsid w:val="009B643C"/>
    <w:rsid w:val="009B66FD"/>
    <w:rsid w:val="009B6A8E"/>
    <w:rsid w:val="009B781D"/>
    <w:rsid w:val="009C0086"/>
    <w:rsid w:val="009C0EE9"/>
    <w:rsid w:val="009C1720"/>
    <w:rsid w:val="009C1CBA"/>
    <w:rsid w:val="009C2AAD"/>
    <w:rsid w:val="009C2C2F"/>
    <w:rsid w:val="009C3149"/>
    <w:rsid w:val="009C35A8"/>
    <w:rsid w:val="009C50FC"/>
    <w:rsid w:val="009C5876"/>
    <w:rsid w:val="009C5B1B"/>
    <w:rsid w:val="009C6A0E"/>
    <w:rsid w:val="009C6F05"/>
    <w:rsid w:val="009C7836"/>
    <w:rsid w:val="009D110A"/>
    <w:rsid w:val="009D117D"/>
    <w:rsid w:val="009D165F"/>
    <w:rsid w:val="009D1A71"/>
    <w:rsid w:val="009D1D77"/>
    <w:rsid w:val="009D26CE"/>
    <w:rsid w:val="009D2778"/>
    <w:rsid w:val="009D2A1E"/>
    <w:rsid w:val="009D3EFE"/>
    <w:rsid w:val="009D55E8"/>
    <w:rsid w:val="009D5CE7"/>
    <w:rsid w:val="009D6A25"/>
    <w:rsid w:val="009E0F96"/>
    <w:rsid w:val="009E167C"/>
    <w:rsid w:val="009E1E7E"/>
    <w:rsid w:val="009E1EDF"/>
    <w:rsid w:val="009E23C6"/>
    <w:rsid w:val="009E24B3"/>
    <w:rsid w:val="009E26F9"/>
    <w:rsid w:val="009E3EC4"/>
    <w:rsid w:val="009E5853"/>
    <w:rsid w:val="009E5B6E"/>
    <w:rsid w:val="009F113F"/>
    <w:rsid w:val="009F11FD"/>
    <w:rsid w:val="009F21D4"/>
    <w:rsid w:val="009F2B01"/>
    <w:rsid w:val="009F31B6"/>
    <w:rsid w:val="009F327E"/>
    <w:rsid w:val="009F3BFE"/>
    <w:rsid w:val="009F4008"/>
    <w:rsid w:val="009F400D"/>
    <w:rsid w:val="009F42F6"/>
    <w:rsid w:val="009F446F"/>
    <w:rsid w:val="009F4994"/>
    <w:rsid w:val="009F5E4B"/>
    <w:rsid w:val="009F615F"/>
    <w:rsid w:val="009F6E32"/>
    <w:rsid w:val="009F727A"/>
    <w:rsid w:val="009F7B66"/>
    <w:rsid w:val="009F7C5A"/>
    <w:rsid w:val="009F7D46"/>
    <w:rsid w:val="009F7F63"/>
    <w:rsid w:val="00A00872"/>
    <w:rsid w:val="00A00FCF"/>
    <w:rsid w:val="00A01082"/>
    <w:rsid w:val="00A0161C"/>
    <w:rsid w:val="00A018BF"/>
    <w:rsid w:val="00A024BD"/>
    <w:rsid w:val="00A027F2"/>
    <w:rsid w:val="00A0303A"/>
    <w:rsid w:val="00A038B8"/>
    <w:rsid w:val="00A059ED"/>
    <w:rsid w:val="00A05B53"/>
    <w:rsid w:val="00A063DD"/>
    <w:rsid w:val="00A064CD"/>
    <w:rsid w:val="00A06E33"/>
    <w:rsid w:val="00A070F3"/>
    <w:rsid w:val="00A10063"/>
    <w:rsid w:val="00A1029A"/>
    <w:rsid w:val="00A102CE"/>
    <w:rsid w:val="00A10DFD"/>
    <w:rsid w:val="00A112B0"/>
    <w:rsid w:val="00A114AA"/>
    <w:rsid w:val="00A11FFF"/>
    <w:rsid w:val="00A124BA"/>
    <w:rsid w:val="00A13945"/>
    <w:rsid w:val="00A13A86"/>
    <w:rsid w:val="00A143BB"/>
    <w:rsid w:val="00A16B53"/>
    <w:rsid w:val="00A171E1"/>
    <w:rsid w:val="00A171FE"/>
    <w:rsid w:val="00A17FDC"/>
    <w:rsid w:val="00A20E34"/>
    <w:rsid w:val="00A210AC"/>
    <w:rsid w:val="00A214D7"/>
    <w:rsid w:val="00A216A2"/>
    <w:rsid w:val="00A233AF"/>
    <w:rsid w:val="00A2361A"/>
    <w:rsid w:val="00A25E0B"/>
    <w:rsid w:val="00A26CE2"/>
    <w:rsid w:val="00A2737B"/>
    <w:rsid w:val="00A30346"/>
    <w:rsid w:val="00A31AB5"/>
    <w:rsid w:val="00A320C3"/>
    <w:rsid w:val="00A34096"/>
    <w:rsid w:val="00A36033"/>
    <w:rsid w:val="00A3635C"/>
    <w:rsid w:val="00A40075"/>
    <w:rsid w:val="00A402F1"/>
    <w:rsid w:val="00A40786"/>
    <w:rsid w:val="00A40C26"/>
    <w:rsid w:val="00A43047"/>
    <w:rsid w:val="00A43B8B"/>
    <w:rsid w:val="00A44074"/>
    <w:rsid w:val="00A44179"/>
    <w:rsid w:val="00A45516"/>
    <w:rsid w:val="00A45545"/>
    <w:rsid w:val="00A45DF6"/>
    <w:rsid w:val="00A461DC"/>
    <w:rsid w:val="00A47BE8"/>
    <w:rsid w:val="00A5066A"/>
    <w:rsid w:val="00A512C6"/>
    <w:rsid w:val="00A5141C"/>
    <w:rsid w:val="00A52629"/>
    <w:rsid w:val="00A52B6D"/>
    <w:rsid w:val="00A52C4C"/>
    <w:rsid w:val="00A5413D"/>
    <w:rsid w:val="00A54DB8"/>
    <w:rsid w:val="00A54E13"/>
    <w:rsid w:val="00A553DB"/>
    <w:rsid w:val="00A55504"/>
    <w:rsid w:val="00A55669"/>
    <w:rsid w:val="00A566FE"/>
    <w:rsid w:val="00A57505"/>
    <w:rsid w:val="00A60FB8"/>
    <w:rsid w:val="00A61CB3"/>
    <w:rsid w:val="00A64939"/>
    <w:rsid w:val="00A64EF4"/>
    <w:rsid w:val="00A663C8"/>
    <w:rsid w:val="00A66E91"/>
    <w:rsid w:val="00A67DA9"/>
    <w:rsid w:val="00A67EF3"/>
    <w:rsid w:val="00A704A1"/>
    <w:rsid w:val="00A711FB"/>
    <w:rsid w:val="00A71453"/>
    <w:rsid w:val="00A72928"/>
    <w:rsid w:val="00A73CEC"/>
    <w:rsid w:val="00A743CB"/>
    <w:rsid w:val="00A74611"/>
    <w:rsid w:val="00A74B4E"/>
    <w:rsid w:val="00A74F4E"/>
    <w:rsid w:val="00A74F9D"/>
    <w:rsid w:val="00A753CD"/>
    <w:rsid w:val="00A75F09"/>
    <w:rsid w:val="00A804A5"/>
    <w:rsid w:val="00A811E1"/>
    <w:rsid w:val="00A813B8"/>
    <w:rsid w:val="00A8276C"/>
    <w:rsid w:val="00A834BA"/>
    <w:rsid w:val="00A83A47"/>
    <w:rsid w:val="00A83AD4"/>
    <w:rsid w:val="00A83C0F"/>
    <w:rsid w:val="00A83E85"/>
    <w:rsid w:val="00A84804"/>
    <w:rsid w:val="00A85037"/>
    <w:rsid w:val="00A8530C"/>
    <w:rsid w:val="00A85EE7"/>
    <w:rsid w:val="00A85FED"/>
    <w:rsid w:val="00A86D81"/>
    <w:rsid w:val="00A879AC"/>
    <w:rsid w:val="00A87D6F"/>
    <w:rsid w:val="00A87E2A"/>
    <w:rsid w:val="00A9038C"/>
    <w:rsid w:val="00A90A91"/>
    <w:rsid w:val="00A91125"/>
    <w:rsid w:val="00A9163C"/>
    <w:rsid w:val="00A918DA"/>
    <w:rsid w:val="00A93A1D"/>
    <w:rsid w:val="00A94AF8"/>
    <w:rsid w:val="00A951B9"/>
    <w:rsid w:val="00A95D48"/>
    <w:rsid w:val="00A96B83"/>
    <w:rsid w:val="00A974AC"/>
    <w:rsid w:val="00A97A1A"/>
    <w:rsid w:val="00AA1DEB"/>
    <w:rsid w:val="00AA232A"/>
    <w:rsid w:val="00AA2CC9"/>
    <w:rsid w:val="00AA3F49"/>
    <w:rsid w:val="00AA45CB"/>
    <w:rsid w:val="00AA4C40"/>
    <w:rsid w:val="00AA4DAA"/>
    <w:rsid w:val="00AA54AC"/>
    <w:rsid w:val="00AA7C14"/>
    <w:rsid w:val="00AA7E5F"/>
    <w:rsid w:val="00AB067B"/>
    <w:rsid w:val="00AB0D26"/>
    <w:rsid w:val="00AB0DC3"/>
    <w:rsid w:val="00AB1974"/>
    <w:rsid w:val="00AB1FB9"/>
    <w:rsid w:val="00AB260A"/>
    <w:rsid w:val="00AB2644"/>
    <w:rsid w:val="00AB2AE8"/>
    <w:rsid w:val="00AB3923"/>
    <w:rsid w:val="00AB446B"/>
    <w:rsid w:val="00AB56CC"/>
    <w:rsid w:val="00AB5BAA"/>
    <w:rsid w:val="00AB5F4D"/>
    <w:rsid w:val="00AB7A56"/>
    <w:rsid w:val="00AB7D69"/>
    <w:rsid w:val="00AC102D"/>
    <w:rsid w:val="00AC2EC5"/>
    <w:rsid w:val="00AC4464"/>
    <w:rsid w:val="00AC5586"/>
    <w:rsid w:val="00AC61EE"/>
    <w:rsid w:val="00AC6ABA"/>
    <w:rsid w:val="00AC7496"/>
    <w:rsid w:val="00AC781C"/>
    <w:rsid w:val="00AC7E5B"/>
    <w:rsid w:val="00AD1B00"/>
    <w:rsid w:val="00AD21F2"/>
    <w:rsid w:val="00AD2489"/>
    <w:rsid w:val="00AD3E1C"/>
    <w:rsid w:val="00AD51FF"/>
    <w:rsid w:val="00AD5387"/>
    <w:rsid w:val="00AD557B"/>
    <w:rsid w:val="00AD5A27"/>
    <w:rsid w:val="00AD6654"/>
    <w:rsid w:val="00AD70C0"/>
    <w:rsid w:val="00AD7A3B"/>
    <w:rsid w:val="00AE0054"/>
    <w:rsid w:val="00AE026F"/>
    <w:rsid w:val="00AE129C"/>
    <w:rsid w:val="00AE18CC"/>
    <w:rsid w:val="00AE37B8"/>
    <w:rsid w:val="00AE66F8"/>
    <w:rsid w:val="00AE6CBD"/>
    <w:rsid w:val="00AE7799"/>
    <w:rsid w:val="00AF0685"/>
    <w:rsid w:val="00AF0F55"/>
    <w:rsid w:val="00AF1337"/>
    <w:rsid w:val="00AF1909"/>
    <w:rsid w:val="00AF24FC"/>
    <w:rsid w:val="00AF3E07"/>
    <w:rsid w:val="00AF4170"/>
    <w:rsid w:val="00AF5451"/>
    <w:rsid w:val="00AF5BFD"/>
    <w:rsid w:val="00AF7225"/>
    <w:rsid w:val="00AF765A"/>
    <w:rsid w:val="00B0175B"/>
    <w:rsid w:val="00B017F9"/>
    <w:rsid w:val="00B01AF7"/>
    <w:rsid w:val="00B0285A"/>
    <w:rsid w:val="00B02C61"/>
    <w:rsid w:val="00B03C40"/>
    <w:rsid w:val="00B0457E"/>
    <w:rsid w:val="00B0505B"/>
    <w:rsid w:val="00B05A22"/>
    <w:rsid w:val="00B05DA7"/>
    <w:rsid w:val="00B05E1B"/>
    <w:rsid w:val="00B06095"/>
    <w:rsid w:val="00B06795"/>
    <w:rsid w:val="00B10200"/>
    <w:rsid w:val="00B10A4D"/>
    <w:rsid w:val="00B11051"/>
    <w:rsid w:val="00B111A1"/>
    <w:rsid w:val="00B11A33"/>
    <w:rsid w:val="00B11C2B"/>
    <w:rsid w:val="00B11D85"/>
    <w:rsid w:val="00B129AE"/>
    <w:rsid w:val="00B12C11"/>
    <w:rsid w:val="00B12D41"/>
    <w:rsid w:val="00B134C4"/>
    <w:rsid w:val="00B13A59"/>
    <w:rsid w:val="00B14FF0"/>
    <w:rsid w:val="00B157A0"/>
    <w:rsid w:val="00B159A3"/>
    <w:rsid w:val="00B16129"/>
    <w:rsid w:val="00B1664D"/>
    <w:rsid w:val="00B16915"/>
    <w:rsid w:val="00B16E6C"/>
    <w:rsid w:val="00B174D6"/>
    <w:rsid w:val="00B1786D"/>
    <w:rsid w:val="00B17E43"/>
    <w:rsid w:val="00B205CF"/>
    <w:rsid w:val="00B2084A"/>
    <w:rsid w:val="00B216A4"/>
    <w:rsid w:val="00B21D5F"/>
    <w:rsid w:val="00B230EE"/>
    <w:rsid w:val="00B232C3"/>
    <w:rsid w:val="00B23410"/>
    <w:rsid w:val="00B23A0F"/>
    <w:rsid w:val="00B23E39"/>
    <w:rsid w:val="00B241EC"/>
    <w:rsid w:val="00B2499C"/>
    <w:rsid w:val="00B24FA0"/>
    <w:rsid w:val="00B25494"/>
    <w:rsid w:val="00B25AD8"/>
    <w:rsid w:val="00B2640A"/>
    <w:rsid w:val="00B26D42"/>
    <w:rsid w:val="00B27D89"/>
    <w:rsid w:val="00B302BD"/>
    <w:rsid w:val="00B31962"/>
    <w:rsid w:val="00B31FB2"/>
    <w:rsid w:val="00B320A9"/>
    <w:rsid w:val="00B322A9"/>
    <w:rsid w:val="00B3277D"/>
    <w:rsid w:val="00B329D4"/>
    <w:rsid w:val="00B3309D"/>
    <w:rsid w:val="00B3388E"/>
    <w:rsid w:val="00B33B17"/>
    <w:rsid w:val="00B33C8C"/>
    <w:rsid w:val="00B342AD"/>
    <w:rsid w:val="00B343F4"/>
    <w:rsid w:val="00B351B8"/>
    <w:rsid w:val="00B370A4"/>
    <w:rsid w:val="00B37D5D"/>
    <w:rsid w:val="00B40236"/>
    <w:rsid w:val="00B402E8"/>
    <w:rsid w:val="00B41454"/>
    <w:rsid w:val="00B417BE"/>
    <w:rsid w:val="00B428BA"/>
    <w:rsid w:val="00B43560"/>
    <w:rsid w:val="00B44584"/>
    <w:rsid w:val="00B44F83"/>
    <w:rsid w:val="00B45C90"/>
    <w:rsid w:val="00B46DC3"/>
    <w:rsid w:val="00B47543"/>
    <w:rsid w:val="00B475A1"/>
    <w:rsid w:val="00B4780A"/>
    <w:rsid w:val="00B47C1C"/>
    <w:rsid w:val="00B50090"/>
    <w:rsid w:val="00B52B9D"/>
    <w:rsid w:val="00B536FC"/>
    <w:rsid w:val="00B53C60"/>
    <w:rsid w:val="00B53CE0"/>
    <w:rsid w:val="00B53E59"/>
    <w:rsid w:val="00B54F04"/>
    <w:rsid w:val="00B5523B"/>
    <w:rsid w:val="00B55B8D"/>
    <w:rsid w:val="00B6018F"/>
    <w:rsid w:val="00B6060F"/>
    <w:rsid w:val="00B6103B"/>
    <w:rsid w:val="00B61909"/>
    <w:rsid w:val="00B61F08"/>
    <w:rsid w:val="00B626E0"/>
    <w:rsid w:val="00B629D7"/>
    <w:rsid w:val="00B63412"/>
    <w:rsid w:val="00B635B8"/>
    <w:rsid w:val="00B637AB"/>
    <w:rsid w:val="00B6424C"/>
    <w:rsid w:val="00B6456E"/>
    <w:rsid w:val="00B64D87"/>
    <w:rsid w:val="00B65930"/>
    <w:rsid w:val="00B66714"/>
    <w:rsid w:val="00B67CD5"/>
    <w:rsid w:val="00B70DC3"/>
    <w:rsid w:val="00B717D7"/>
    <w:rsid w:val="00B71E7D"/>
    <w:rsid w:val="00B71F0A"/>
    <w:rsid w:val="00B723BA"/>
    <w:rsid w:val="00B7256A"/>
    <w:rsid w:val="00B7261A"/>
    <w:rsid w:val="00B72CA8"/>
    <w:rsid w:val="00B72DD1"/>
    <w:rsid w:val="00B72E2E"/>
    <w:rsid w:val="00B739E7"/>
    <w:rsid w:val="00B73C42"/>
    <w:rsid w:val="00B7473C"/>
    <w:rsid w:val="00B75BD6"/>
    <w:rsid w:val="00B76ED7"/>
    <w:rsid w:val="00B76FC0"/>
    <w:rsid w:val="00B80124"/>
    <w:rsid w:val="00B81472"/>
    <w:rsid w:val="00B81EA2"/>
    <w:rsid w:val="00B81F4B"/>
    <w:rsid w:val="00B8281A"/>
    <w:rsid w:val="00B8312D"/>
    <w:rsid w:val="00B841BA"/>
    <w:rsid w:val="00B84EA8"/>
    <w:rsid w:val="00B865BE"/>
    <w:rsid w:val="00B86F16"/>
    <w:rsid w:val="00B874B9"/>
    <w:rsid w:val="00B8775B"/>
    <w:rsid w:val="00B87BCB"/>
    <w:rsid w:val="00B87D5D"/>
    <w:rsid w:val="00B87F26"/>
    <w:rsid w:val="00B90CBE"/>
    <w:rsid w:val="00B90F5C"/>
    <w:rsid w:val="00B934B3"/>
    <w:rsid w:val="00B9534E"/>
    <w:rsid w:val="00B95D07"/>
    <w:rsid w:val="00B96761"/>
    <w:rsid w:val="00B9717A"/>
    <w:rsid w:val="00BA0133"/>
    <w:rsid w:val="00BA1320"/>
    <w:rsid w:val="00BA2666"/>
    <w:rsid w:val="00BA316B"/>
    <w:rsid w:val="00BA4D0B"/>
    <w:rsid w:val="00BA5B09"/>
    <w:rsid w:val="00BA69B5"/>
    <w:rsid w:val="00BA793A"/>
    <w:rsid w:val="00BB0BF1"/>
    <w:rsid w:val="00BB104A"/>
    <w:rsid w:val="00BB25F5"/>
    <w:rsid w:val="00BB2795"/>
    <w:rsid w:val="00BB4106"/>
    <w:rsid w:val="00BB41D5"/>
    <w:rsid w:val="00BB44CC"/>
    <w:rsid w:val="00BB4E36"/>
    <w:rsid w:val="00BB5C18"/>
    <w:rsid w:val="00BB6615"/>
    <w:rsid w:val="00BB69EE"/>
    <w:rsid w:val="00BC1D05"/>
    <w:rsid w:val="00BC21A2"/>
    <w:rsid w:val="00BC2EBA"/>
    <w:rsid w:val="00BC39A9"/>
    <w:rsid w:val="00BC3E52"/>
    <w:rsid w:val="00BC42E1"/>
    <w:rsid w:val="00BC4DEC"/>
    <w:rsid w:val="00BC54C9"/>
    <w:rsid w:val="00BC599E"/>
    <w:rsid w:val="00BC5D92"/>
    <w:rsid w:val="00BC613D"/>
    <w:rsid w:val="00BC6D09"/>
    <w:rsid w:val="00BC761A"/>
    <w:rsid w:val="00BD0333"/>
    <w:rsid w:val="00BD04C3"/>
    <w:rsid w:val="00BD1044"/>
    <w:rsid w:val="00BD1CF7"/>
    <w:rsid w:val="00BD1FF7"/>
    <w:rsid w:val="00BD2FD5"/>
    <w:rsid w:val="00BD3C6B"/>
    <w:rsid w:val="00BD47D8"/>
    <w:rsid w:val="00BD4C88"/>
    <w:rsid w:val="00BD526A"/>
    <w:rsid w:val="00BD5285"/>
    <w:rsid w:val="00BD55B3"/>
    <w:rsid w:val="00BD585E"/>
    <w:rsid w:val="00BD7693"/>
    <w:rsid w:val="00BE0979"/>
    <w:rsid w:val="00BE1C1F"/>
    <w:rsid w:val="00BE2E0C"/>
    <w:rsid w:val="00BE3B3F"/>
    <w:rsid w:val="00BE4361"/>
    <w:rsid w:val="00BE75B9"/>
    <w:rsid w:val="00BE78D7"/>
    <w:rsid w:val="00BE7A4A"/>
    <w:rsid w:val="00BE7BB6"/>
    <w:rsid w:val="00BF0462"/>
    <w:rsid w:val="00BF1260"/>
    <w:rsid w:val="00BF3800"/>
    <w:rsid w:val="00BF474A"/>
    <w:rsid w:val="00BF4F21"/>
    <w:rsid w:val="00BF516C"/>
    <w:rsid w:val="00BF51F8"/>
    <w:rsid w:val="00BF5D5C"/>
    <w:rsid w:val="00BF7313"/>
    <w:rsid w:val="00C00B73"/>
    <w:rsid w:val="00C03A77"/>
    <w:rsid w:val="00C04D81"/>
    <w:rsid w:val="00C059C8"/>
    <w:rsid w:val="00C07AAB"/>
    <w:rsid w:val="00C13AFF"/>
    <w:rsid w:val="00C140CE"/>
    <w:rsid w:val="00C16D50"/>
    <w:rsid w:val="00C17474"/>
    <w:rsid w:val="00C1795D"/>
    <w:rsid w:val="00C17A6C"/>
    <w:rsid w:val="00C206F7"/>
    <w:rsid w:val="00C2099C"/>
    <w:rsid w:val="00C20B7B"/>
    <w:rsid w:val="00C210EF"/>
    <w:rsid w:val="00C219E6"/>
    <w:rsid w:val="00C21A7B"/>
    <w:rsid w:val="00C221B1"/>
    <w:rsid w:val="00C22DBD"/>
    <w:rsid w:val="00C23490"/>
    <w:rsid w:val="00C23531"/>
    <w:rsid w:val="00C239C3"/>
    <w:rsid w:val="00C24414"/>
    <w:rsid w:val="00C24B4C"/>
    <w:rsid w:val="00C255E9"/>
    <w:rsid w:val="00C259FB"/>
    <w:rsid w:val="00C25EAA"/>
    <w:rsid w:val="00C25F44"/>
    <w:rsid w:val="00C264CA"/>
    <w:rsid w:val="00C278B7"/>
    <w:rsid w:val="00C31601"/>
    <w:rsid w:val="00C31CAE"/>
    <w:rsid w:val="00C31DDF"/>
    <w:rsid w:val="00C31EB1"/>
    <w:rsid w:val="00C32142"/>
    <w:rsid w:val="00C33855"/>
    <w:rsid w:val="00C345E3"/>
    <w:rsid w:val="00C3542A"/>
    <w:rsid w:val="00C3568A"/>
    <w:rsid w:val="00C35882"/>
    <w:rsid w:val="00C3626C"/>
    <w:rsid w:val="00C3723E"/>
    <w:rsid w:val="00C378F7"/>
    <w:rsid w:val="00C401A2"/>
    <w:rsid w:val="00C403C5"/>
    <w:rsid w:val="00C40A3E"/>
    <w:rsid w:val="00C41345"/>
    <w:rsid w:val="00C4182E"/>
    <w:rsid w:val="00C4212C"/>
    <w:rsid w:val="00C423B1"/>
    <w:rsid w:val="00C42931"/>
    <w:rsid w:val="00C4322B"/>
    <w:rsid w:val="00C443B8"/>
    <w:rsid w:val="00C44742"/>
    <w:rsid w:val="00C45188"/>
    <w:rsid w:val="00C45304"/>
    <w:rsid w:val="00C45C86"/>
    <w:rsid w:val="00C475ED"/>
    <w:rsid w:val="00C50233"/>
    <w:rsid w:val="00C50430"/>
    <w:rsid w:val="00C50608"/>
    <w:rsid w:val="00C52327"/>
    <w:rsid w:val="00C52E94"/>
    <w:rsid w:val="00C544B9"/>
    <w:rsid w:val="00C54621"/>
    <w:rsid w:val="00C54C06"/>
    <w:rsid w:val="00C55AE0"/>
    <w:rsid w:val="00C56412"/>
    <w:rsid w:val="00C565B7"/>
    <w:rsid w:val="00C56652"/>
    <w:rsid w:val="00C56D30"/>
    <w:rsid w:val="00C57650"/>
    <w:rsid w:val="00C57EA0"/>
    <w:rsid w:val="00C60CCA"/>
    <w:rsid w:val="00C6255B"/>
    <w:rsid w:val="00C62630"/>
    <w:rsid w:val="00C6352D"/>
    <w:rsid w:val="00C64150"/>
    <w:rsid w:val="00C6450F"/>
    <w:rsid w:val="00C64953"/>
    <w:rsid w:val="00C65087"/>
    <w:rsid w:val="00C6635E"/>
    <w:rsid w:val="00C67721"/>
    <w:rsid w:val="00C67831"/>
    <w:rsid w:val="00C728A9"/>
    <w:rsid w:val="00C72B87"/>
    <w:rsid w:val="00C7308A"/>
    <w:rsid w:val="00C73522"/>
    <w:rsid w:val="00C7385E"/>
    <w:rsid w:val="00C770D9"/>
    <w:rsid w:val="00C7720B"/>
    <w:rsid w:val="00C80615"/>
    <w:rsid w:val="00C8087C"/>
    <w:rsid w:val="00C8141C"/>
    <w:rsid w:val="00C815BE"/>
    <w:rsid w:val="00C82811"/>
    <w:rsid w:val="00C82E45"/>
    <w:rsid w:val="00C838CF"/>
    <w:rsid w:val="00C83D08"/>
    <w:rsid w:val="00C84407"/>
    <w:rsid w:val="00C85429"/>
    <w:rsid w:val="00C85442"/>
    <w:rsid w:val="00C85C16"/>
    <w:rsid w:val="00C87109"/>
    <w:rsid w:val="00C8788C"/>
    <w:rsid w:val="00C87902"/>
    <w:rsid w:val="00C87E46"/>
    <w:rsid w:val="00C901BC"/>
    <w:rsid w:val="00C903F2"/>
    <w:rsid w:val="00C907F1"/>
    <w:rsid w:val="00C91D49"/>
    <w:rsid w:val="00C92ABF"/>
    <w:rsid w:val="00C934F9"/>
    <w:rsid w:val="00C9425B"/>
    <w:rsid w:val="00C94301"/>
    <w:rsid w:val="00C947F2"/>
    <w:rsid w:val="00C94CAB"/>
    <w:rsid w:val="00C951A6"/>
    <w:rsid w:val="00C95634"/>
    <w:rsid w:val="00C96076"/>
    <w:rsid w:val="00C96482"/>
    <w:rsid w:val="00C97776"/>
    <w:rsid w:val="00C9781C"/>
    <w:rsid w:val="00C97A57"/>
    <w:rsid w:val="00CA02BD"/>
    <w:rsid w:val="00CA2015"/>
    <w:rsid w:val="00CA3F6F"/>
    <w:rsid w:val="00CA4BF0"/>
    <w:rsid w:val="00CA7378"/>
    <w:rsid w:val="00CB086A"/>
    <w:rsid w:val="00CB11D4"/>
    <w:rsid w:val="00CB2F1A"/>
    <w:rsid w:val="00CB3B96"/>
    <w:rsid w:val="00CB3DC4"/>
    <w:rsid w:val="00CB4135"/>
    <w:rsid w:val="00CB4663"/>
    <w:rsid w:val="00CB4FB9"/>
    <w:rsid w:val="00CB573B"/>
    <w:rsid w:val="00CB6773"/>
    <w:rsid w:val="00CB6D26"/>
    <w:rsid w:val="00CB7609"/>
    <w:rsid w:val="00CC130F"/>
    <w:rsid w:val="00CC15CF"/>
    <w:rsid w:val="00CC262A"/>
    <w:rsid w:val="00CC330C"/>
    <w:rsid w:val="00CC3F66"/>
    <w:rsid w:val="00CC49F1"/>
    <w:rsid w:val="00CC54D8"/>
    <w:rsid w:val="00CC54FD"/>
    <w:rsid w:val="00CC5CC7"/>
    <w:rsid w:val="00CC5FB8"/>
    <w:rsid w:val="00CD0309"/>
    <w:rsid w:val="00CD074A"/>
    <w:rsid w:val="00CD16D6"/>
    <w:rsid w:val="00CD172B"/>
    <w:rsid w:val="00CD17AD"/>
    <w:rsid w:val="00CD1DC3"/>
    <w:rsid w:val="00CD1FFA"/>
    <w:rsid w:val="00CD4566"/>
    <w:rsid w:val="00CD5226"/>
    <w:rsid w:val="00CD5D0A"/>
    <w:rsid w:val="00CD6EE9"/>
    <w:rsid w:val="00CD7BC3"/>
    <w:rsid w:val="00CE1634"/>
    <w:rsid w:val="00CE18F2"/>
    <w:rsid w:val="00CE1AE2"/>
    <w:rsid w:val="00CE1D7B"/>
    <w:rsid w:val="00CE1E2E"/>
    <w:rsid w:val="00CE1E82"/>
    <w:rsid w:val="00CE39BF"/>
    <w:rsid w:val="00CE3ED5"/>
    <w:rsid w:val="00CE4B83"/>
    <w:rsid w:val="00CE51C2"/>
    <w:rsid w:val="00CE5E00"/>
    <w:rsid w:val="00CE5EBD"/>
    <w:rsid w:val="00CE76A8"/>
    <w:rsid w:val="00CF0828"/>
    <w:rsid w:val="00CF0DF2"/>
    <w:rsid w:val="00CF1AA7"/>
    <w:rsid w:val="00CF213C"/>
    <w:rsid w:val="00CF2E00"/>
    <w:rsid w:val="00CF3063"/>
    <w:rsid w:val="00CF422D"/>
    <w:rsid w:val="00CF6BB5"/>
    <w:rsid w:val="00CF77C7"/>
    <w:rsid w:val="00CF7B29"/>
    <w:rsid w:val="00CF7FF5"/>
    <w:rsid w:val="00D0035F"/>
    <w:rsid w:val="00D00E0C"/>
    <w:rsid w:val="00D00FE0"/>
    <w:rsid w:val="00D0189B"/>
    <w:rsid w:val="00D01EAF"/>
    <w:rsid w:val="00D022D5"/>
    <w:rsid w:val="00D0610D"/>
    <w:rsid w:val="00D0620D"/>
    <w:rsid w:val="00D07F21"/>
    <w:rsid w:val="00D10195"/>
    <w:rsid w:val="00D110C8"/>
    <w:rsid w:val="00D1195D"/>
    <w:rsid w:val="00D1259A"/>
    <w:rsid w:val="00D13188"/>
    <w:rsid w:val="00D13345"/>
    <w:rsid w:val="00D13C05"/>
    <w:rsid w:val="00D14A06"/>
    <w:rsid w:val="00D14F17"/>
    <w:rsid w:val="00D1517C"/>
    <w:rsid w:val="00D15C83"/>
    <w:rsid w:val="00D15ED7"/>
    <w:rsid w:val="00D16B20"/>
    <w:rsid w:val="00D16C0C"/>
    <w:rsid w:val="00D16F66"/>
    <w:rsid w:val="00D174A8"/>
    <w:rsid w:val="00D179B7"/>
    <w:rsid w:val="00D21126"/>
    <w:rsid w:val="00D21C75"/>
    <w:rsid w:val="00D22B5B"/>
    <w:rsid w:val="00D22DC6"/>
    <w:rsid w:val="00D22ED2"/>
    <w:rsid w:val="00D237E0"/>
    <w:rsid w:val="00D23FA5"/>
    <w:rsid w:val="00D24814"/>
    <w:rsid w:val="00D24ADA"/>
    <w:rsid w:val="00D25144"/>
    <w:rsid w:val="00D25A14"/>
    <w:rsid w:val="00D262CE"/>
    <w:rsid w:val="00D27723"/>
    <w:rsid w:val="00D309ED"/>
    <w:rsid w:val="00D31825"/>
    <w:rsid w:val="00D3285A"/>
    <w:rsid w:val="00D33E96"/>
    <w:rsid w:val="00D34473"/>
    <w:rsid w:val="00D347F7"/>
    <w:rsid w:val="00D35BF2"/>
    <w:rsid w:val="00D36CE9"/>
    <w:rsid w:val="00D410CF"/>
    <w:rsid w:val="00D42812"/>
    <w:rsid w:val="00D42A00"/>
    <w:rsid w:val="00D43535"/>
    <w:rsid w:val="00D435C2"/>
    <w:rsid w:val="00D459EE"/>
    <w:rsid w:val="00D45C75"/>
    <w:rsid w:val="00D461F8"/>
    <w:rsid w:val="00D511D0"/>
    <w:rsid w:val="00D515BD"/>
    <w:rsid w:val="00D51EF8"/>
    <w:rsid w:val="00D52531"/>
    <w:rsid w:val="00D53F38"/>
    <w:rsid w:val="00D5538A"/>
    <w:rsid w:val="00D5574A"/>
    <w:rsid w:val="00D56718"/>
    <w:rsid w:val="00D57AC4"/>
    <w:rsid w:val="00D60BFF"/>
    <w:rsid w:val="00D61042"/>
    <w:rsid w:val="00D61947"/>
    <w:rsid w:val="00D62331"/>
    <w:rsid w:val="00D626E1"/>
    <w:rsid w:val="00D62AEC"/>
    <w:rsid w:val="00D63160"/>
    <w:rsid w:val="00D64E2F"/>
    <w:rsid w:val="00D64F7E"/>
    <w:rsid w:val="00D6582B"/>
    <w:rsid w:val="00D65911"/>
    <w:rsid w:val="00D65AB8"/>
    <w:rsid w:val="00D65BF6"/>
    <w:rsid w:val="00D65FE9"/>
    <w:rsid w:val="00D660EF"/>
    <w:rsid w:val="00D67DC9"/>
    <w:rsid w:val="00D701D7"/>
    <w:rsid w:val="00D7051F"/>
    <w:rsid w:val="00D71EFE"/>
    <w:rsid w:val="00D7330A"/>
    <w:rsid w:val="00D748B9"/>
    <w:rsid w:val="00D75170"/>
    <w:rsid w:val="00D75663"/>
    <w:rsid w:val="00D75BF1"/>
    <w:rsid w:val="00D76057"/>
    <w:rsid w:val="00D77493"/>
    <w:rsid w:val="00D77806"/>
    <w:rsid w:val="00D7794B"/>
    <w:rsid w:val="00D77D7E"/>
    <w:rsid w:val="00D77DB8"/>
    <w:rsid w:val="00D80825"/>
    <w:rsid w:val="00D8082E"/>
    <w:rsid w:val="00D81457"/>
    <w:rsid w:val="00D81AD6"/>
    <w:rsid w:val="00D820C9"/>
    <w:rsid w:val="00D82207"/>
    <w:rsid w:val="00D82A11"/>
    <w:rsid w:val="00D82A75"/>
    <w:rsid w:val="00D82E83"/>
    <w:rsid w:val="00D832C2"/>
    <w:rsid w:val="00D85425"/>
    <w:rsid w:val="00D85A64"/>
    <w:rsid w:val="00D85C11"/>
    <w:rsid w:val="00D8642A"/>
    <w:rsid w:val="00D8684C"/>
    <w:rsid w:val="00D869BA"/>
    <w:rsid w:val="00D876EA"/>
    <w:rsid w:val="00D879DD"/>
    <w:rsid w:val="00D9078E"/>
    <w:rsid w:val="00D90894"/>
    <w:rsid w:val="00D90B4C"/>
    <w:rsid w:val="00D90B6E"/>
    <w:rsid w:val="00D919F4"/>
    <w:rsid w:val="00D91A17"/>
    <w:rsid w:val="00D91E84"/>
    <w:rsid w:val="00D931EC"/>
    <w:rsid w:val="00D935CA"/>
    <w:rsid w:val="00D9468E"/>
    <w:rsid w:val="00D94D05"/>
    <w:rsid w:val="00D95213"/>
    <w:rsid w:val="00D95D9E"/>
    <w:rsid w:val="00D95E94"/>
    <w:rsid w:val="00D961B1"/>
    <w:rsid w:val="00D9701F"/>
    <w:rsid w:val="00D973C0"/>
    <w:rsid w:val="00D975DA"/>
    <w:rsid w:val="00DA129B"/>
    <w:rsid w:val="00DA155E"/>
    <w:rsid w:val="00DA2407"/>
    <w:rsid w:val="00DA3AF9"/>
    <w:rsid w:val="00DA520E"/>
    <w:rsid w:val="00DA5BF2"/>
    <w:rsid w:val="00DA6581"/>
    <w:rsid w:val="00DA67B3"/>
    <w:rsid w:val="00DA6AA7"/>
    <w:rsid w:val="00DA7C11"/>
    <w:rsid w:val="00DA7F12"/>
    <w:rsid w:val="00DB04DF"/>
    <w:rsid w:val="00DB0B77"/>
    <w:rsid w:val="00DB1136"/>
    <w:rsid w:val="00DB11D0"/>
    <w:rsid w:val="00DB1443"/>
    <w:rsid w:val="00DB2356"/>
    <w:rsid w:val="00DB2770"/>
    <w:rsid w:val="00DB4A40"/>
    <w:rsid w:val="00DB5C3A"/>
    <w:rsid w:val="00DB771E"/>
    <w:rsid w:val="00DC097B"/>
    <w:rsid w:val="00DC1BA3"/>
    <w:rsid w:val="00DC21F4"/>
    <w:rsid w:val="00DC2687"/>
    <w:rsid w:val="00DC2825"/>
    <w:rsid w:val="00DC28A3"/>
    <w:rsid w:val="00DC328E"/>
    <w:rsid w:val="00DC3E68"/>
    <w:rsid w:val="00DC50A0"/>
    <w:rsid w:val="00DC5490"/>
    <w:rsid w:val="00DC629D"/>
    <w:rsid w:val="00DC70D0"/>
    <w:rsid w:val="00DC7BD6"/>
    <w:rsid w:val="00DC7E68"/>
    <w:rsid w:val="00DD0515"/>
    <w:rsid w:val="00DD12F3"/>
    <w:rsid w:val="00DD13C5"/>
    <w:rsid w:val="00DD1A2E"/>
    <w:rsid w:val="00DD1AD5"/>
    <w:rsid w:val="00DD2F66"/>
    <w:rsid w:val="00DD36A5"/>
    <w:rsid w:val="00DD3AC5"/>
    <w:rsid w:val="00DD42B8"/>
    <w:rsid w:val="00DD42EA"/>
    <w:rsid w:val="00DD4340"/>
    <w:rsid w:val="00DD4AC3"/>
    <w:rsid w:val="00DD52BE"/>
    <w:rsid w:val="00DD59D8"/>
    <w:rsid w:val="00DD77E1"/>
    <w:rsid w:val="00DE0A16"/>
    <w:rsid w:val="00DE18DF"/>
    <w:rsid w:val="00DE27C0"/>
    <w:rsid w:val="00DE2F28"/>
    <w:rsid w:val="00DE4F5C"/>
    <w:rsid w:val="00DE5660"/>
    <w:rsid w:val="00DE628A"/>
    <w:rsid w:val="00DF214F"/>
    <w:rsid w:val="00DF2B84"/>
    <w:rsid w:val="00DF3BD6"/>
    <w:rsid w:val="00DF46AF"/>
    <w:rsid w:val="00DF4E78"/>
    <w:rsid w:val="00DF7F9A"/>
    <w:rsid w:val="00E01601"/>
    <w:rsid w:val="00E019A4"/>
    <w:rsid w:val="00E01A9E"/>
    <w:rsid w:val="00E02567"/>
    <w:rsid w:val="00E02E1B"/>
    <w:rsid w:val="00E02ED0"/>
    <w:rsid w:val="00E038F9"/>
    <w:rsid w:val="00E03CCD"/>
    <w:rsid w:val="00E043BC"/>
    <w:rsid w:val="00E0498D"/>
    <w:rsid w:val="00E04D43"/>
    <w:rsid w:val="00E05534"/>
    <w:rsid w:val="00E06003"/>
    <w:rsid w:val="00E07474"/>
    <w:rsid w:val="00E07485"/>
    <w:rsid w:val="00E07FEB"/>
    <w:rsid w:val="00E10CFD"/>
    <w:rsid w:val="00E10DD1"/>
    <w:rsid w:val="00E11334"/>
    <w:rsid w:val="00E1153E"/>
    <w:rsid w:val="00E11F2D"/>
    <w:rsid w:val="00E11F8E"/>
    <w:rsid w:val="00E120F8"/>
    <w:rsid w:val="00E1236B"/>
    <w:rsid w:val="00E12588"/>
    <w:rsid w:val="00E1291E"/>
    <w:rsid w:val="00E12A4D"/>
    <w:rsid w:val="00E133EE"/>
    <w:rsid w:val="00E13D06"/>
    <w:rsid w:val="00E13E63"/>
    <w:rsid w:val="00E15D1B"/>
    <w:rsid w:val="00E20A87"/>
    <w:rsid w:val="00E20D04"/>
    <w:rsid w:val="00E21E2F"/>
    <w:rsid w:val="00E22AB0"/>
    <w:rsid w:val="00E23AC5"/>
    <w:rsid w:val="00E24B7E"/>
    <w:rsid w:val="00E25C46"/>
    <w:rsid w:val="00E26386"/>
    <w:rsid w:val="00E2658E"/>
    <w:rsid w:val="00E27AD6"/>
    <w:rsid w:val="00E30847"/>
    <w:rsid w:val="00E30999"/>
    <w:rsid w:val="00E30FB6"/>
    <w:rsid w:val="00E3121C"/>
    <w:rsid w:val="00E33690"/>
    <w:rsid w:val="00E35A29"/>
    <w:rsid w:val="00E37513"/>
    <w:rsid w:val="00E40442"/>
    <w:rsid w:val="00E41218"/>
    <w:rsid w:val="00E42690"/>
    <w:rsid w:val="00E42F4F"/>
    <w:rsid w:val="00E437C7"/>
    <w:rsid w:val="00E43DD1"/>
    <w:rsid w:val="00E43DFA"/>
    <w:rsid w:val="00E44FBB"/>
    <w:rsid w:val="00E45FB7"/>
    <w:rsid w:val="00E4629C"/>
    <w:rsid w:val="00E466E5"/>
    <w:rsid w:val="00E46B49"/>
    <w:rsid w:val="00E47617"/>
    <w:rsid w:val="00E47DF5"/>
    <w:rsid w:val="00E50F3C"/>
    <w:rsid w:val="00E52E09"/>
    <w:rsid w:val="00E531F7"/>
    <w:rsid w:val="00E54322"/>
    <w:rsid w:val="00E55108"/>
    <w:rsid w:val="00E55249"/>
    <w:rsid w:val="00E55313"/>
    <w:rsid w:val="00E557F0"/>
    <w:rsid w:val="00E562BC"/>
    <w:rsid w:val="00E56647"/>
    <w:rsid w:val="00E56B01"/>
    <w:rsid w:val="00E57606"/>
    <w:rsid w:val="00E6156F"/>
    <w:rsid w:val="00E61E2B"/>
    <w:rsid w:val="00E61FB2"/>
    <w:rsid w:val="00E62FB9"/>
    <w:rsid w:val="00E632DA"/>
    <w:rsid w:val="00E640FA"/>
    <w:rsid w:val="00E64E65"/>
    <w:rsid w:val="00E6613D"/>
    <w:rsid w:val="00E661DB"/>
    <w:rsid w:val="00E66C11"/>
    <w:rsid w:val="00E66FF0"/>
    <w:rsid w:val="00E7016A"/>
    <w:rsid w:val="00E7038A"/>
    <w:rsid w:val="00E70F22"/>
    <w:rsid w:val="00E71075"/>
    <w:rsid w:val="00E729C6"/>
    <w:rsid w:val="00E72C07"/>
    <w:rsid w:val="00E73EE4"/>
    <w:rsid w:val="00E751E9"/>
    <w:rsid w:val="00E764A6"/>
    <w:rsid w:val="00E7651C"/>
    <w:rsid w:val="00E773D5"/>
    <w:rsid w:val="00E77C23"/>
    <w:rsid w:val="00E804E7"/>
    <w:rsid w:val="00E81567"/>
    <w:rsid w:val="00E819C5"/>
    <w:rsid w:val="00E81C02"/>
    <w:rsid w:val="00E83C22"/>
    <w:rsid w:val="00E84629"/>
    <w:rsid w:val="00E8492B"/>
    <w:rsid w:val="00E84AE2"/>
    <w:rsid w:val="00E84CFA"/>
    <w:rsid w:val="00E85AEF"/>
    <w:rsid w:val="00E85D2B"/>
    <w:rsid w:val="00E865D9"/>
    <w:rsid w:val="00E90492"/>
    <w:rsid w:val="00E91026"/>
    <w:rsid w:val="00E91E1F"/>
    <w:rsid w:val="00E91EAC"/>
    <w:rsid w:val="00E93212"/>
    <w:rsid w:val="00E93574"/>
    <w:rsid w:val="00E935DA"/>
    <w:rsid w:val="00E93747"/>
    <w:rsid w:val="00E948B1"/>
    <w:rsid w:val="00E9543A"/>
    <w:rsid w:val="00E95599"/>
    <w:rsid w:val="00E957E6"/>
    <w:rsid w:val="00E95D0E"/>
    <w:rsid w:val="00E9614B"/>
    <w:rsid w:val="00E974F2"/>
    <w:rsid w:val="00E97F00"/>
    <w:rsid w:val="00EA1567"/>
    <w:rsid w:val="00EA17B0"/>
    <w:rsid w:val="00EA1DBB"/>
    <w:rsid w:val="00EA212A"/>
    <w:rsid w:val="00EA2CC2"/>
    <w:rsid w:val="00EA39CB"/>
    <w:rsid w:val="00EA3CB2"/>
    <w:rsid w:val="00EA44E4"/>
    <w:rsid w:val="00EA4B9D"/>
    <w:rsid w:val="00EA6596"/>
    <w:rsid w:val="00EA65C7"/>
    <w:rsid w:val="00EA68C6"/>
    <w:rsid w:val="00EA6B85"/>
    <w:rsid w:val="00EA7EDE"/>
    <w:rsid w:val="00EB0446"/>
    <w:rsid w:val="00EB0E1C"/>
    <w:rsid w:val="00EB14B9"/>
    <w:rsid w:val="00EB2909"/>
    <w:rsid w:val="00EB361C"/>
    <w:rsid w:val="00EB3634"/>
    <w:rsid w:val="00EB3A42"/>
    <w:rsid w:val="00EB5B5B"/>
    <w:rsid w:val="00EB5C27"/>
    <w:rsid w:val="00EB7374"/>
    <w:rsid w:val="00EB7547"/>
    <w:rsid w:val="00EC055B"/>
    <w:rsid w:val="00EC397B"/>
    <w:rsid w:val="00EC47AD"/>
    <w:rsid w:val="00EC6890"/>
    <w:rsid w:val="00EC6A60"/>
    <w:rsid w:val="00EC7F7A"/>
    <w:rsid w:val="00ED0613"/>
    <w:rsid w:val="00ED0AD1"/>
    <w:rsid w:val="00ED13E8"/>
    <w:rsid w:val="00ED15F8"/>
    <w:rsid w:val="00ED1973"/>
    <w:rsid w:val="00ED2E58"/>
    <w:rsid w:val="00ED56E8"/>
    <w:rsid w:val="00ED56EC"/>
    <w:rsid w:val="00EE161C"/>
    <w:rsid w:val="00EE38A7"/>
    <w:rsid w:val="00EE4E20"/>
    <w:rsid w:val="00EE5602"/>
    <w:rsid w:val="00EE568A"/>
    <w:rsid w:val="00EE5A6F"/>
    <w:rsid w:val="00EE67CB"/>
    <w:rsid w:val="00EE7BDF"/>
    <w:rsid w:val="00EF0ACE"/>
    <w:rsid w:val="00EF0DC1"/>
    <w:rsid w:val="00EF20C6"/>
    <w:rsid w:val="00EF2622"/>
    <w:rsid w:val="00EF2BA3"/>
    <w:rsid w:val="00EF2C2B"/>
    <w:rsid w:val="00EF3443"/>
    <w:rsid w:val="00EF3476"/>
    <w:rsid w:val="00EF347A"/>
    <w:rsid w:val="00EF3719"/>
    <w:rsid w:val="00EF41F4"/>
    <w:rsid w:val="00EF7661"/>
    <w:rsid w:val="00F009DB"/>
    <w:rsid w:val="00F01B31"/>
    <w:rsid w:val="00F028DC"/>
    <w:rsid w:val="00F031BF"/>
    <w:rsid w:val="00F034FA"/>
    <w:rsid w:val="00F03604"/>
    <w:rsid w:val="00F054A6"/>
    <w:rsid w:val="00F05728"/>
    <w:rsid w:val="00F05773"/>
    <w:rsid w:val="00F06545"/>
    <w:rsid w:val="00F067EF"/>
    <w:rsid w:val="00F06ADB"/>
    <w:rsid w:val="00F1112A"/>
    <w:rsid w:val="00F14350"/>
    <w:rsid w:val="00F14596"/>
    <w:rsid w:val="00F1497D"/>
    <w:rsid w:val="00F155C1"/>
    <w:rsid w:val="00F15BAB"/>
    <w:rsid w:val="00F1741E"/>
    <w:rsid w:val="00F17C8C"/>
    <w:rsid w:val="00F24587"/>
    <w:rsid w:val="00F25C7D"/>
    <w:rsid w:val="00F260A6"/>
    <w:rsid w:val="00F26960"/>
    <w:rsid w:val="00F26DE1"/>
    <w:rsid w:val="00F276E3"/>
    <w:rsid w:val="00F27F0E"/>
    <w:rsid w:val="00F30ABD"/>
    <w:rsid w:val="00F30B03"/>
    <w:rsid w:val="00F30B46"/>
    <w:rsid w:val="00F31626"/>
    <w:rsid w:val="00F31890"/>
    <w:rsid w:val="00F32C24"/>
    <w:rsid w:val="00F33622"/>
    <w:rsid w:val="00F3435A"/>
    <w:rsid w:val="00F343C6"/>
    <w:rsid w:val="00F35570"/>
    <w:rsid w:val="00F362C8"/>
    <w:rsid w:val="00F3706D"/>
    <w:rsid w:val="00F404F2"/>
    <w:rsid w:val="00F425E2"/>
    <w:rsid w:val="00F42723"/>
    <w:rsid w:val="00F4621F"/>
    <w:rsid w:val="00F467C7"/>
    <w:rsid w:val="00F46B59"/>
    <w:rsid w:val="00F46EA1"/>
    <w:rsid w:val="00F4742F"/>
    <w:rsid w:val="00F47458"/>
    <w:rsid w:val="00F51297"/>
    <w:rsid w:val="00F51354"/>
    <w:rsid w:val="00F520FA"/>
    <w:rsid w:val="00F52C80"/>
    <w:rsid w:val="00F53069"/>
    <w:rsid w:val="00F538E5"/>
    <w:rsid w:val="00F53CCF"/>
    <w:rsid w:val="00F54166"/>
    <w:rsid w:val="00F542E7"/>
    <w:rsid w:val="00F54AB0"/>
    <w:rsid w:val="00F559E0"/>
    <w:rsid w:val="00F566FD"/>
    <w:rsid w:val="00F577BE"/>
    <w:rsid w:val="00F60714"/>
    <w:rsid w:val="00F60F61"/>
    <w:rsid w:val="00F61B2E"/>
    <w:rsid w:val="00F631D3"/>
    <w:rsid w:val="00F637DA"/>
    <w:rsid w:val="00F63D71"/>
    <w:rsid w:val="00F6476E"/>
    <w:rsid w:val="00F6500F"/>
    <w:rsid w:val="00F65C6A"/>
    <w:rsid w:val="00F66B6B"/>
    <w:rsid w:val="00F67174"/>
    <w:rsid w:val="00F70395"/>
    <w:rsid w:val="00F708A2"/>
    <w:rsid w:val="00F7330F"/>
    <w:rsid w:val="00F73372"/>
    <w:rsid w:val="00F733A4"/>
    <w:rsid w:val="00F73920"/>
    <w:rsid w:val="00F7491F"/>
    <w:rsid w:val="00F76C5F"/>
    <w:rsid w:val="00F772B9"/>
    <w:rsid w:val="00F779D9"/>
    <w:rsid w:val="00F80C9C"/>
    <w:rsid w:val="00F817E2"/>
    <w:rsid w:val="00F81F00"/>
    <w:rsid w:val="00F8267E"/>
    <w:rsid w:val="00F8577A"/>
    <w:rsid w:val="00F86639"/>
    <w:rsid w:val="00F867D7"/>
    <w:rsid w:val="00F869E9"/>
    <w:rsid w:val="00F87695"/>
    <w:rsid w:val="00F87B1E"/>
    <w:rsid w:val="00F87F46"/>
    <w:rsid w:val="00F9022F"/>
    <w:rsid w:val="00F902C4"/>
    <w:rsid w:val="00F9171A"/>
    <w:rsid w:val="00F91C0A"/>
    <w:rsid w:val="00F91C65"/>
    <w:rsid w:val="00F91CDC"/>
    <w:rsid w:val="00F92104"/>
    <w:rsid w:val="00F92685"/>
    <w:rsid w:val="00F92693"/>
    <w:rsid w:val="00F928BE"/>
    <w:rsid w:val="00F94375"/>
    <w:rsid w:val="00F94AA0"/>
    <w:rsid w:val="00F94B4D"/>
    <w:rsid w:val="00F94D34"/>
    <w:rsid w:val="00F956D0"/>
    <w:rsid w:val="00F9639D"/>
    <w:rsid w:val="00F964FE"/>
    <w:rsid w:val="00F97CF8"/>
    <w:rsid w:val="00FA0835"/>
    <w:rsid w:val="00FA1B0E"/>
    <w:rsid w:val="00FA1DD9"/>
    <w:rsid w:val="00FA240D"/>
    <w:rsid w:val="00FA2CF3"/>
    <w:rsid w:val="00FA35DA"/>
    <w:rsid w:val="00FA37F9"/>
    <w:rsid w:val="00FA3BE5"/>
    <w:rsid w:val="00FA7932"/>
    <w:rsid w:val="00FB0872"/>
    <w:rsid w:val="00FB0CC6"/>
    <w:rsid w:val="00FB44DB"/>
    <w:rsid w:val="00FB4AA5"/>
    <w:rsid w:val="00FB4BAD"/>
    <w:rsid w:val="00FB56AC"/>
    <w:rsid w:val="00FB56BB"/>
    <w:rsid w:val="00FB6754"/>
    <w:rsid w:val="00FB7552"/>
    <w:rsid w:val="00FC0B72"/>
    <w:rsid w:val="00FC1B1A"/>
    <w:rsid w:val="00FC1BE9"/>
    <w:rsid w:val="00FC3D8B"/>
    <w:rsid w:val="00FC4A0E"/>
    <w:rsid w:val="00FC50E9"/>
    <w:rsid w:val="00FC5F5D"/>
    <w:rsid w:val="00FC71E6"/>
    <w:rsid w:val="00FC7B36"/>
    <w:rsid w:val="00FC7E9F"/>
    <w:rsid w:val="00FD01D6"/>
    <w:rsid w:val="00FD06FC"/>
    <w:rsid w:val="00FD192C"/>
    <w:rsid w:val="00FD1F6D"/>
    <w:rsid w:val="00FD1FCD"/>
    <w:rsid w:val="00FD2883"/>
    <w:rsid w:val="00FD2B91"/>
    <w:rsid w:val="00FD3262"/>
    <w:rsid w:val="00FD34A2"/>
    <w:rsid w:val="00FD3ABF"/>
    <w:rsid w:val="00FD3EDF"/>
    <w:rsid w:val="00FD4ABC"/>
    <w:rsid w:val="00FD539E"/>
    <w:rsid w:val="00FD5799"/>
    <w:rsid w:val="00FD6581"/>
    <w:rsid w:val="00FD67B6"/>
    <w:rsid w:val="00FD6F4E"/>
    <w:rsid w:val="00FE28C5"/>
    <w:rsid w:val="00FE29F6"/>
    <w:rsid w:val="00FE4616"/>
    <w:rsid w:val="00FE4A48"/>
    <w:rsid w:val="00FE573C"/>
    <w:rsid w:val="00FE6F3C"/>
    <w:rsid w:val="00FE7196"/>
    <w:rsid w:val="00FE7519"/>
    <w:rsid w:val="00FF075C"/>
    <w:rsid w:val="00FF0923"/>
    <w:rsid w:val="00FF1857"/>
    <w:rsid w:val="00FF23DE"/>
    <w:rsid w:val="00FF249D"/>
    <w:rsid w:val="00FF2E21"/>
    <w:rsid w:val="00FF3492"/>
    <w:rsid w:val="00FF3B46"/>
    <w:rsid w:val="00FF5CD2"/>
    <w:rsid w:val="00FF62F1"/>
    <w:rsid w:val="00FF7215"/>
    <w:rsid w:val="00FF7A9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3BD9AD"/>
  <w15:chartTrackingRefBased/>
  <w15:docId w15:val="{2FFA484B-51F9-4469-9CCF-4A8B82121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94482"/>
    <w:rPr>
      <w:rFonts w:ascii="Arial" w:hAnsi="Arial"/>
      <w:sz w:val="24"/>
      <w:szCs w:val="24"/>
      <w:lang w:val="es-ES" w:eastAsia="es-ES"/>
    </w:rPr>
  </w:style>
  <w:style w:type="paragraph" w:styleId="Ttulo1">
    <w:name w:val="heading 1"/>
    <w:basedOn w:val="Normal"/>
    <w:next w:val="Normal"/>
    <w:qFormat/>
    <w:rsid w:val="00694482"/>
    <w:pPr>
      <w:keepNext/>
      <w:numPr>
        <w:numId w:val="1"/>
      </w:numPr>
      <w:outlineLvl w:val="0"/>
    </w:pPr>
    <w:rPr>
      <w:rFonts w:ascii="Arial Narrow" w:hAnsi="Arial Narrow"/>
      <w:b/>
      <w:szCs w:val="20"/>
      <w:lang w:val="es-MX"/>
    </w:rPr>
  </w:style>
  <w:style w:type="paragraph" w:styleId="Ttulo2">
    <w:name w:val="heading 2"/>
    <w:basedOn w:val="Normal"/>
    <w:next w:val="Normal"/>
    <w:qFormat/>
    <w:rsid w:val="00694482"/>
    <w:pPr>
      <w:keepNext/>
      <w:numPr>
        <w:ilvl w:val="1"/>
        <w:numId w:val="1"/>
      </w:numPr>
      <w:outlineLvl w:val="1"/>
    </w:pPr>
    <w:rPr>
      <w:b/>
      <w:szCs w:val="20"/>
      <w:lang w:val="es-ES_tradnl"/>
    </w:rPr>
  </w:style>
  <w:style w:type="paragraph" w:styleId="Ttulo3">
    <w:name w:val="heading 3"/>
    <w:basedOn w:val="Normal"/>
    <w:next w:val="Normal"/>
    <w:qFormat/>
    <w:rsid w:val="00694482"/>
    <w:pPr>
      <w:keepNext/>
      <w:numPr>
        <w:ilvl w:val="2"/>
        <w:numId w:val="1"/>
      </w:numPr>
      <w:jc w:val="center"/>
      <w:outlineLvl w:val="2"/>
    </w:pPr>
    <w:rPr>
      <w:b/>
      <w:szCs w:val="20"/>
      <w:lang w:val="es-ES_tradnl"/>
    </w:rPr>
  </w:style>
  <w:style w:type="paragraph" w:styleId="Ttulo4">
    <w:name w:val="heading 4"/>
    <w:basedOn w:val="Normal"/>
    <w:next w:val="Sangranormal"/>
    <w:qFormat/>
    <w:rsid w:val="00694482"/>
    <w:pPr>
      <w:widowControl w:val="0"/>
      <w:numPr>
        <w:ilvl w:val="3"/>
        <w:numId w:val="1"/>
      </w:numPr>
      <w:outlineLvl w:val="3"/>
    </w:pPr>
    <w:rPr>
      <w:szCs w:val="20"/>
      <w:lang w:val="es-ES_tradnl"/>
    </w:rPr>
  </w:style>
  <w:style w:type="paragraph" w:styleId="Ttulo5">
    <w:name w:val="heading 5"/>
    <w:basedOn w:val="Normal"/>
    <w:next w:val="Sangranormal"/>
    <w:qFormat/>
    <w:rsid w:val="00694482"/>
    <w:pPr>
      <w:widowControl w:val="0"/>
      <w:numPr>
        <w:ilvl w:val="4"/>
        <w:numId w:val="1"/>
      </w:numPr>
      <w:outlineLvl w:val="4"/>
    </w:pPr>
    <w:rPr>
      <w:b/>
      <w:szCs w:val="20"/>
      <w:lang w:val="es-ES_tradnl"/>
    </w:rPr>
  </w:style>
  <w:style w:type="paragraph" w:styleId="Ttulo6">
    <w:name w:val="heading 6"/>
    <w:basedOn w:val="Normal"/>
    <w:next w:val="Normal"/>
    <w:qFormat/>
    <w:rsid w:val="00694482"/>
    <w:pPr>
      <w:keepNext/>
      <w:numPr>
        <w:ilvl w:val="5"/>
        <w:numId w:val="1"/>
      </w:numPr>
      <w:autoSpaceDE w:val="0"/>
      <w:autoSpaceDN w:val="0"/>
      <w:adjustRightInd w:val="0"/>
      <w:outlineLvl w:val="5"/>
    </w:pPr>
    <w:rPr>
      <w:rFonts w:ascii="Courier New" w:hAnsi="Courier New" w:cs="Courier New"/>
      <w:b/>
      <w:bCs/>
      <w:sz w:val="20"/>
      <w:szCs w:val="20"/>
    </w:rPr>
  </w:style>
  <w:style w:type="paragraph" w:styleId="Ttulo7">
    <w:name w:val="heading 7"/>
    <w:basedOn w:val="Normal"/>
    <w:next w:val="Normal"/>
    <w:qFormat/>
    <w:rsid w:val="00694482"/>
    <w:pPr>
      <w:keepNext/>
      <w:numPr>
        <w:ilvl w:val="6"/>
        <w:numId w:val="1"/>
      </w:numPr>
      <w:ind w:right="-522"/>
      <w:jc w:val="both"/>
      <w:outlineLvl w:val="6"/>
    </w:pPr>
    <w:rPr>
      <w:rFonts w:ascii="Courier New" w:hAnsi="Courier New"/>
      <w:b/>
    </w:rPr>
  </w:style>
  <w:style w:type="paragraph" w:styleId="Ttulo8">
    <w:name w:val="heading 8"/>
    <w:basedOn w:val="Normal"/>
    <w:next w:val="Normal"/>
    <w:qFormat/>
    <w:rsid w:val="00694482"/>
    <w:pPr>
      <w:keepNext/>
      <w:ind w:right="140"/>
      <w:jc w:val="center"/>
      <w:outlineLvl w:val="7"/>
    </w:pPr>
    <w:rPr>
      <w:rFonts w:ascii="Arial Narrow" w:hAnsi="Arial Narrow"/>
      <w:b/>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rsid w:val="00694482"/>
    <w:pPr>
      <w:ind w:left="708"/>
    </w:pPr>
  </w:style>
  <w:style w:type="character" w:styleId="Hipervnculo">
    <w:name w:val="Hyperlink"/>
    <w:basedOn w:val="Fuentedeprrafopredeter"/>
    <w:rsid w:val="009A7834"/>
    <w:rPr>
      <w:color w:val="0000FF"/>
      <w:u w:val="single"/>
    </w:rPr>
  </w:style>
  <w:style w:type="table" w:styleId="Tablaconcuadrcula">
    <w:name w:val="Table Grid"/>
    <w:basedOn w:val="Tablanormal"/>
    <w:rsid w:val="004B6C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rsid w:val="00B16E6C"/>
    <w:pPr>
      <w:tabs>
        <w:tab w:val="center" w:pos="4419"/>
        <w:tab w:val="right" w:pos="8838"/>
      </w:tabs>
    </w:pPr>
  </w:style>
  <w:style w:type="character" w:customStyle="1" w:styleId="EncabezadoCar">
    <w:name w:val="Encabezado Car"/>
    <w:basedOn w:val="Fuentedeprrafopredeter"/>
    <w:link w:val="Encabezado"/>
    <w:rsid w:val="00B16E6C"/>
    <w:rPr>
      <w:rFonts w:ascii="Arial" w:hAnsi="Arial"/>
      <w:sz w:val="24"/>
      <w:szCs w:val="24"/>
      <w:lang w:val="es-ES" w:eastAsia="es-ES"/>
    </w:rPr>
  </w:style>
  <w:style w:type="paragraph" w:styleId="Piedepgina">
    <w:name w:val="footer"/>
    <w:basedOn w:val="Normal"/>
    <w:link w:val="PiedepginaCar"/>
    <w:rsid w:val="00B16E6C"/>
    <w:pPr>
      <w:tabs>
        <w:tab w:val="center" w:pos="4419"/>
        <w:tab w:val="right" w:pos="8838"/>
      </w:tabs>
    </w:pPr>
  </w:style>
  <w:style w:type="character" w:customStyle="1" w:styleId="PiedepginaCar">
    <w:name w:val="Pie de página Car"/>
    <w:basedOn w:val="Fuentedeprrafopredeter"/>
    <w:link w:val="Piedepgina"/>
    <w:rsid w:val="00B16E6C"/>
    <w:rPr>
      <w:rFonts w:ascii="Arial" w:hAnsi="Arial"/>
      <w:sz w:val="24"/>
      <w:szCs w:val="24"/>
      <w:lang w:val="es-ES" w:eastAsia="es-ES"/>
    </w:rPr>
  </w:style>
  <w:style w:type="paragraph" w:styleId="Textodeglobo">
    <w:name w:val="Balloon Text"/>
    <w:basedOn w:val="Normal"/>
    <w:link w:val="TextodegloboCar"/>
    <w:rsid w:val="004853F1"/>
    <w:rPr>
      <w:rFonts w:ascii="Segoe UI" w:hAnsi="Segoe UI" w:cs="Segoe UI"/>
      <w:sz w:val="18"/>
      <w:szCs w:val="18"/>
    </w:rPr>
  </w:style>
  <w:style w:type="character" w:customStyle="1" w:styleId="TextodegloboCar">
    <w:name w:val="Texto de globo Car"/>
    <w:basedOn w:val="Fuentedeprrafopredeter"/>
    <w:link w:val="Textodeglobo"/>
    <w:rsid w:val="004853F1"/>
    <w:rPr>
      <w:rFonts w:ascii="Segoe UI" w:hAnsi="Segoe UI" w:cs="Segoe UI"/>
      <w:sz w:val="18"/>
      <w:szCs w:val="18"/>
      <w:lang w:val="es-ES" w:eastAsia="es-ES"/>
    </w:rPr>
  </w:style>
  <w:style w:type="paragraph" w:styleId="Revisin">
    <w:name w:val="Revision"/>
    <w:hidden/>
    <w:uiPriority w:val="99"/>
    <w:semiHidden/>
    <w:rsid w:val="008C40CE"/>
    <w:rPr>
      <w:rFonts w:ascii="Arial" w:hAnsi="Arial"/>
      <w:sz w:val="24"/>
      <w:szCs w:val="24"/>
      <w:lang w:val="es-ES" w:eastAsia="es-ES"/>
    </w:rPr>
  </w:style>
  <w:style w:type="paragraph" w:styleId="Prrafodelista">
    <w:name w:val="List Paragraph"/>
    <w:basedOn w:val="Normal"/>
    <w:uiPriority w:val="34"/>
    <w:qFormat/>
    <w:rsid w:val="000851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962336">
      <w:bodyDiv w:val="1"/>
      <w:marLeft w:val="0"/>
      <w:marRight w:val="0"/>
      <w:marTop w:val="0"/>
      <w:marBottom w:val="0"/>
      <w:divBdr>
        <w:top w:val="none" w:sz="0" w:space="0" w:color="auto"/>
        <w:left w:val="none" w:sz="0" w:space="0" w:color="auto"/>
        <w:bottom w:val="none" w:sz="0" w:space="0" w:color="auto"/>
        <w:right w:val="none" w:sz="0" w:space="0" w:color="auto"/>
      </w:divBdr>
      <w:divsChild>
        <w:div w:id="546840887">
          <w:marLeft w:val="1325"/>
          <w:marRight w:val="0"/>
          <w:marTop w:val="140"/>
          <w:marBottom w:val="0"/>
          <w:divBdr>
            <w:top w:val="none" w:sz="0" w:space="0" w:color="auto"/>
            <w:left w:val="none" w:sz="0" w:space="0" w:color="auto"/>
            <w:bottom w:val="none" w:sz="0" w:space="0" w:color="auto"/>
            <w:right w:val="none" w:sz="0" w:space="0" w:color="auto"/>
          </w:divBdr>
        </w:div>
        <w:div w:id="976841802">
          <w:marLeft w:val="1325"/>
          <w:marRight w:val="0"/>
          <w:marTop w:val="140"/>
          <w:marBottom w:val="0"/>
          <w:divBdr>
            <w:top w:val="none" w:sz="0" w:space="0" w:color="auto"/>
            <w:left w:val="none" w:sz="0" w:space="0" w:color="auto"/>
            <w:bottom w:val="none" w:sz="0" w:space="0" w:color="auto"/>
            <w:right w:val="none" w:sz="0" w:space="0" w:color="auto"/>
          </w:divBdr>
        </w:div>
        <w:div w:id="1213007707">
          <w:marLeft w:val="1325"/>
          <w:marRight w:val="0"/>
          <w:marTop w:val="140"/>
          <w:marBottom w:val="0"/>
          <w:divBdr>
            <w:top w:val="none" w:sz="0" w:space="0" w:color="auto"/>
            <w:left w:val="none" w:sz="0" w:space="0" w:color="auto"/>
            <w:bottom w:val="none" w:sz="0" w:space="0" w:color="auto"/>
            <w:right w:val="none" w:sz="0" w:space="0" w:color="auto"/>
          </w:divBdr>
        </w:div>
        <w:div w:id="1831747559">
          <w:marLeft w:val="605"/>
          <w:marRight w:val="0"/>
          <w:marTop w:val="140"/>
          <w:marBottom w:val="0"/>
          <w:divBdr>
            <w:top w:val="none" w:sz="0" w:space="0" w:color="auto"/>
            <w:left w:val="none" w:sz="0" w:space="0" w:color="auto"/>
            <w:bottom w:val="none" w:sz="0" w:space="0" w:color="auto"/>
            <w:right w:val="none" w:sz="0" w:space="0" w:color="auto"/>
          </w:divBdr>
        </w:div>
      </w:divsChild>
    </w:div>
    <w:div w:id="57023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A40D4-6054-47C2-B47B-9609A690B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5</Pages>
  <Words>1205</Words>
  <Characters>6360</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Identificación del Informe  Consultor</vt:lpstr>
    </vt:vector>
  </TitlesOfParts>
  <Company>Gobierno De Chile</Company>
  <LinksUpToDate>false</LinksUpToDate>
  <CharactersWithSpaces>7550</CharactersWithSpaces>
  <SharedDoc>false</SharedDoc>
  <HLinks>
    <vt:vector size="6" baseType="variant">
      <vt:variant>
        <vt:i4>1376294</vt:i4>
      </vt:variant>
      <vt:variant>
        <vt:i4>0</vt:i4>
      </vt:variant>
      <vt:variant>
        <vt:i4>0</vt:i4>
      </vt:variant>
      <vt:variant>
        <vt:i4>5</vt:i4>
      </vt:variant>
      <vt:variant>
        <vt:lpwstr>mailto:estudiopotencia@cne.cl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Identificación del Informe  Consultor</dc:title>
  <dc:subject/>
  <dc:creator>ZELAYA-C</dc:creator>
  <cp:keywords/>
  <cp:lastModifiedBy>Karen Isabel Chavez Arteaga</cp:lastModifiedBy>
  <cp:revision>13</cp:revision>
  <dcterms:created xsi:type="dcterms:W3CDTF">2020-10-28T11:49:00Z</dcterms:created>
  <dcterms:modified xsi:type="dcterms:W3CDTF">2020-10-29T01:34:00Z</dcterms:modified>
</cp:coreProperties>
</file>