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952C3" w14:textId="427C7976" w:rsidR="005657E3" w:rsidRPr="00F32E21" w:rsidRDefault="005657E3" w:rsidP="3A97257B">
      <w:pPr>
        <w:pStyle w:val="Textodecuerpo"/>
        <w:tabs>
          <w:tab w:val="left" w:pos="3686"/>
        </w:tabs>
        <w:ind w:left="4111" w:hanging="709"/>
        <w:rPr>
          <w:rFonts w:ascii="Verdana" w:hAnsi="Verdana" w:cs="Arial"/>
          <w:b/>
          <w:bCs/>
          <w:sz w:val="20"/>
        </w:rPr>
      </w:pPr>
      <w:bookmarkStart w:id="0" w:name="_GoBack"/>
      <w:bookmarkEnd w:id="0"/>
      <w:r w:rsidRPr="3A97257B">
        <w:rPr>
          <w:rFonts w:ascii="Verdana" w:hAnsi="Verdana" w:cs="Arial"/>
          <w:b/>
          <w:bCs/>
          <w:sz w:val="20"/>
        </w:rPr>
        <w:t>Ref.</w:t>
      </w:r>
      <w:r w:rsidR="001E784A" w:rsidRPr="3A97257B">
        <w:rPr>
          <w:rFonts w:ascii="Verdana" w:hAnsi="Verdana" w:cs="Arial"/>
          <w:b/>
          <w:bCs/>
          <w:sz w:val="20"/>
        </w:rPr>
        <w:t>:</w:t>
      </w:r>
      <w:r w:rsidR="3A184E5E" w:rsidRPr="3A97257B">
        <w:rPr>
          <w:rFonts w:ascii="Verdana" w:hAnsi="Verdana" w:cs="Arial"/>
          <w:b/>
          <w:bCs/>
          <w:sz w:val="20"/>
        </w:rPr>
        <w:t xml:space="preserve"> </w:t>
      </w:r>
      <w:r w:rsidR="001E784A" w:rsidRPr="00F32E21">
        <w:rPr>
          <w:rFonts w:ascii="Verdana" w:hAnsi="Verdana" w:cs="Arial"/>
          <w:b/>
          <w:sz w:val="20"/>
        </w:rPr>
        <w:tab/>
      </w:r>
      <w:r w:rsidR="00CF6143" w:rsidRPr="3A97257B">
        <w:rPr>
          <w:rFonts w:ascii="Verdana" w:hAnsi="Verdana" w:cs="Arial"/>
          <w:sz w:val="20"/>
        </w:rPr>
        <w:t xml:space="preserve">Modifica Resolución Exenta </w:t>
      </w:r>
      <w:r w:rsidR="00CF6143" w:rsidRPr="3A97257B">
        <w:rPr>
          <w:rFonts w:ascii="Verdana" w:hAnsi="Verdana" w:cs="Arial"/>
          <w:color w:val="auto"/>
          <w:sz w:val="20"/>
          <w:lang w:val="es-ES"/>
        </w:rPr>
        <w:t xml:space="preserve">Nº </w:t>
      </w:r>
      <w:r w:rsidR="00393CFB" w:rsidRPr="3A97257B">
        <w:rPr>
          <w:rFonts w:ascii="Verdana" w:hAnsi="Verdana" w:cs="Arial"/>
          <w:color w:val="auto"/>
          <w:sz w:val="20"/>
          <w:lang w:val="es-ES"/>
        </w:rPr>
        <w:t>164</w:t>
      </w:r>
      <w:r w:rsidR="00CF6143" w:rsidRPr="3A97257B">
        <w:rPr>
          <w:rFonts w:ascii="Verdana" w:hAnsi="Verdana" w:cs="Arial"/>
          <w:color w:val="auto"/>
          <w:sz w:val="20"/>
          <w:lang w:val="es-ES"/>
        </w:rPr>
        <w:t xml:space="preserve"> de la Comisión Nacional de Energía, de 25 de febrero de 2010, que fija el texto refundido, coordinado y sistematizado de </w:t>
      </w:r>
      <w:r w:rsidR="00CF6143" w:rsidRPr="3A97257B">
        <w:rPr>
          <w:rFonts w:ascii="Verdana" w:hAnsi="Verdana" w:cs="Arial"/>
          <w:sz w:val="20"/>
        </w:rPr>
        <w:t xml:space="preserve">Resolución Exenta Nº 386 de 2007 de la Comisión Nacional de Energía que establece normas para la adecuada aplicación del artículo 148º del DFL Nº 4 del Ministerio de Economía, Fomento y Reconstrucción, de 2006, Ley </w:t>
      </w:r>
      <w:r w:rsidR="00CF6143" w:rsidRPr="3A97257B">
        <w:rPr>
          <w:rFonts w:ascii="Verdana" w:hAnsi="Verdana" w:cs="Arial"/>
          <w:color w:val="auto"/>
          <w:sz w:val="20"/>
          <w:lang w:val="es-ES"/>
        </w:rPr>
        <w:t>General de Servicios Eléctricos.</w:t>
      </w:r>
    </w:p>
    <w:p w14:paraId="1A18B964" w14:textId="35600516" w:rsidR="00E912DA" w:rsidRPr="00F32E21" w:rsidRDefault="00E912DA" w:rsidP="00B07BBA">
      <w:pPr>
        <w:pStyle w:val="Textodecuerpo"/>
        <w:ind w:left="3402" w:right="1018"/>
        <w:outlineLvl w:val="0"/>
        <w:rPr>
          <w:rFonts w:ascii="Verdana" w:hAnsi="Verdana" w:cs="Arial"/>
          <w:b/>
          <w:bCs/>
          <w:color w:val="auto"/>
          <w:sz w:val="20"/>
          <w:lang w:val="es-ES"/>
        </w:rPr>
      </w:pPr>
    </w:p>
    <w:p w14:paraId="7DA89F5B" w14:textId="7790E4A8" w:rsidR="3A97257B" w:rsidRDefault="3A97257B" w:rsidP="00B07BBA">
      <w:pPr>
        <w:pStyle w:val="Textodecuerpo"/>
        <w:ind w:left="2832" w:right="1018"/>
        <w:outlineLvl w:val="0"/>
        <w:rPr>
          <w:rFonts w:ascii="Verdana" w:hAnsi="Verdana" w:cs="Arial"/>
          <w:b/>
          <w:bCs/>
          <w:color w:val="auto"/>
          <w:sz w:val="20"/>
          <w:lang w:val="es-ES"/>
        </w:rPr>
      </w:pPr>
    </w:p>
    <w:p w14:paraId="418CEDCC" w14:textId="77777777" w:rsidR="003D3897" w:rsidRPr="00F32E21" w:rsidRDefault="003D3897" w:rsidP="005657E3">
      <w:pPr>
        <w:pStyle w:val="Textodecuerpo"/>
        <w:ind w:left="4536" w:right="1018" w:hanging="1134"/>
        <w:outlineLvl w:val="0"/>
        <w:rPr>
          <w:rFonts w:ascii="Verdana" w:hAnsi="Verdana" w:cs="Arial"/>
          <w:b/>
          <w:color w:val="auto"/>
          <w:sz w:val="20"/>
          <w:lang w:val="es-ES"/>
        </w:rPr>
      </w:pPr>
    </w:p>
    <w:p w14:paraId="568B74FD" w14:textId="77777777" w:rsidR="005657E3" w:rsidRPr="00F32E21" w:rsidRDefault="005657E3" w:rsidP="005657E3">
      <w:pPr>
        <w:pStyle w:val="Textodecuerpo"/>
        <w:ind w:left="4536" w:right="1018" w:hanging="1134"/>
        <w:outlineLvl w:val="0"/>
        <w:rPr>
          <w:rFonts w:ascii="Verdana" w:hAnsi="Verdana" w:cs="Arial"/>
          <w:b/>
          <w:color w:val="auto"/>
          <w:sz w:val="20"/>
          <w:lang w:val="es-ES"/>
        </w:rPr>
      </w:pPr>
      <w:r w:rsidRPr="00F32E21">
        <w:rPr>
          <w:rFonts w:ascii="Verdana" w:hAnsi="Verdana" w:cs="Arial"/>
          <w:b/>
          <w:color w:val="auto"/>
          <w:sz w:val="20"/>
          <w:lang w:val="es-ES"/>
        </w:rPr>
        <w:t xml:space="preserve">SANTIAGO, </w:t>
      </w:r>
    </w:p>
    <w:p w14:paraId="3F13EB7F" w14:textId="77777777" w:rsidR="005657E3" w:rsidRPr="00F32E21" w:rsidRDefault="005657E3" w:rsidP="005657E3">
      <w:pPr>
        <w:pStyle w:val="Textodecuerpo"/>
        <w:rPr>
          <w:rFonts w:ascii="Verdana" w:hAnsi="Verdana" w:cs="Arial"/>
          <w:b/>
          <w:color w:val="auto"/>
          <w:sz w:val="20"/>
          <w:lang w:val="es-ES"/>
        </w:rPr>
      </w:pPr>
    </w:p>
    <w:p w14:paraId="7A3E3BF4" w14:textId="77777777" w:rsidR="003D3897" w:rsidRPr="00F32E21" w:rsidRDefault="003D3897" w:rsidP="005657E3">
      <w:pPr>
        <w:pStyle w:val="Textodecuerpo"/>
        <w:rPr>
          <w:rFonts w:ascii="Verdana" w:hAnsi="Verdana" w:cs="Arial"/>
          <w:b/>
          <w:color w:val="auto"/>
          <w:sz w:val="20"/>
          <w:lang w:val="es-ES"/>
        </w:rPr>
      </w:pPr>
    </w:p>
    <w:p w14:paraId="408EF128" w14:textId="77777777" w:rsidR="00E912DA" w:rsidRPr="00F32E21" w:rsidRDefault="00E912DA" w:rsidP="005657E3">
      <w:pPr>
        <w:pStyle w:val="Textodecuerpo"/>
        <w:ind w:left="3402"/>
        <w:outlineLvl w:val="0"/>
        <w:rPr>
          <w:rFonts w:ascii="Verdana" w:hAnsi="Verdana" w:cs="Arial"/>
          <w:b/>
          <w:color w:val="auto"/>
          <w:sz w:val="20"/>
          <w:u w:val="single"/>
          <w:lang w:val="es-ES"/>
        </w:rPr>
      </w:pPr>
    </w:p>
    <w:p w14:paraId="46C66C90" w14:textId="77777777" w:rsidR="005657E3" w:rsidRPr="00F32E21" w:rsidRDefault="005657E3" w:rsidP="005657E3">
      <w:pPr>
        <w:pStyle w:val="Textodecuerpo"/>
        <w:ind w:left="3402"/>
        <w:outlineLvl w:val="0"/>
        <w:rPr>
          <w:rFonts w:ascii="Verdana" w:hAnsi="Verdana" w:cs="Arial"/>
          <w:b/>
          <w:color w:val="auto"/>
          <w:sz w:val="20"/>
          <w:u w:val="single"/>
          <w:lang w:val="es-ES"/>
        </w:rPr>
      </w:pPr>
      <w:r w:rsidRPr="00F32E21">
        <w:rPr>
          <w:rFonts w:ascii="Verdana" w:hAnsi="Verdana" w:cs="Arial"/>
          <w:b/>
          <w:color w:val="auto"/>
          <w:sz w:val="20"/>
          <w:u w:val="single"/>
          <w:lang w:val="es-ES"/>
        </w:rPr>
        <w:t>RESOLUCIÓN EXENTA Nº</w:t>
      </w:r>
    </w:p>
    <w:p w14:paraId="453FB2C5" w14:textId="77777777" w:rsidR="00803999" w:rsidRPr="00F32E21" w:rsidRDefault="00803999" w:rsidP="005657E3">
      <w:pPr>
        <w:pStyle w:val="Textodecuerpo"/>
        <w:rPr>
          <w:rFonts w:ascii="Verdana" w:hAnsi="Verdana" w:cs="Arial"/>
          <w:b/>
          <w:color w:val="auto"/>
          <w:sz w:val="20"/>
        </w:rPr>
      </w:pPr>
    </w:p>
    <w:p w14:paraId="37B9FCF8" w14:textId="77777777" w:rsidR="00E912DA" w:rsidRPr="00F32E21" w:rsidRDefault="00E912DA" w:rsidP="005657E3">
      <w:pPr>
        <w:pStyle w:val="Textodecuerpo"/>
        <w:ind w:left="3540" w:hanging="3360"/>
        <w:rPr>
          <w:rFonts w:ascii="Verdana" w:hAnsi="Verdana" w:cs="Arial"/>
          <w:b/>
          <w:color w:val="auto"/>
          <w:sz w:val="20"/>
        </w:rPr>
      </w:pPr>
    </w:p>
    <w:p w14:paraId="752A81EB" w14:textId="77777777" w:rsidR="005657E3" w:rsidRPr="00F32E21" w:rsidRDefault="005657E3" w:rsidP="005657E3">
      <w:pPr>
        <w:pStyle w:val="Textodecuerpo"/>
        <w:ind w:left="3540" w:hanging="3360"/>
        <w:rPr>
          <w:rFonts w:ascii="Verdana" w:hAnsi="Verdana" w:cs="Arial"/>
          <w:b/>
          <w:color w:val="auto"/>
          <w:sz w:val="20"/>
        </w:rPr>
      </w:pPr>
      <w:r w:rsidRPr="00F32E21">
        <w:rPr>
          <w:rFonts w:ascii="Verdana" w:hAnsi="Verdana" w:cs="Arial"/>
          <w:b/>
          <w:color w:val="auto"/>
          <w:sz w:val="20"/>
        </w:rPr>
        <w:t>VISTOS:</w:t>
      </w:r>
    </w:p>
    <w:p w14:paraId="7AC70DAD" w14:textId="77777777" w:rsidR="00E912DA" w:rsidRPr="00F32E21" w:rsidRDefault="005657E3" w:rsidP="00E912DA">
      <w:pPr>
        <w:pStyle w:val="Textodecuerpo"/>
        <w:rPr>
          <w:rFonts w:ascii="Verdana" w:hAnsi="Verdana" w:cs="Arial"/>
          <w:sz w:val="20"/>
        </w:rPr>
      </w:pPr>
      <w:r w:rsidRPr="00F32E21">
        <w:rPr>
          <w:rFonts w:ascii="Verdana" w:hAnsi="Verdana" w:cs="Arial"/>
          <w:sz w:val="20"/>
        </w:rPr>
        <w:tab/>
      </w:r>
    </w:p>
    <w:p w14:paraId="4164A90C" w14:textId="77777777" w:rsidR="003D3897" w:rsidRPr="00F32E21" w:rsidRDefault="003D3897" w:rsidP="00E912DA">
      <w:pPr>
        <w:pStyle w:val="Textodecuerpo"/>
        <w:rPr>
          <w:rFonts w:ascii="Verdana" w:hAnsi="Verdana" w:cs="Arial"/>
          <w:sz w:val="20"/>
        </w:rPr>
      </w:pPr>
    </w:p>
    <w:p w14:paraId="4DB60D4C" w14:textId="77777777" w:rsidR="00E912DA" w:rsidRPr="00F32E21" w:rsidRDefault="00E912DA" w:rsidP="00E912DA">
      <w:pPr>
        <w:numPr>
          <w:ilvl w:val="0"/>
          <w:numId w:val="4"/>
        </w:numPr>
        <w:jc w:val="both"/>
        <w:rPr>
          <w:rFonts w:ascii="Verdana" w:hAnsi="Verdana" w:cs="Arial"/>
          <w:bCs/>
          <w:sz w:val="20"/>
          <w:szCs w:val="20"/>
          <w:lang w:val="es-CL"/>
        </w:rPr>
      </w:pPr>
      <w:r w:rsidRPr="00F32E21">
        <w:rPr>
          <w:rFonts w:ascii="Verdana" w:hAnsi="Verdana" w:cs="Arial"/>
          <w:bCs/>
          <w:sz w:val="20"/>
          <w:szCs w:val="20"/>
          <w:lang w:val="es-CL"/>
        </w:rPr>
        <w:t>Lo dispuesto en el artículo 9° letra h) del D.L. N° 2.224 de 1978, que crea el Ministerio de Energía y la Comisión Nacional de Energía, en adelante e indistintamente “la Comisión”;</w:t>
      </w:r>
    </w:p>
    <w:p w14:paraId="5C28F194" w14:textId="77777777" w:rsidR="00E912DA" w:rsidRPr="00F32E21" w:rsidRDefault="00E912DA" w:rsidP="00E912DA">
      <w:pPr>
        <w:ind w:left="3196"/>
        <w:jc w:val="both"/>
        <w:rPr>
          <w:rFonts w:ascii="Verdana" w:hAnsi="Verdana" w:cs="Arial"/>
          <w:bCs/>
          <w:sz w:val="20"/>
          <w:szCs w:val="20"/>
          <w:lang w:val="es-CL"/>
        </w:rPr>
      </w:pPr>
    </w:p>
    <w:p w14:paraId="29C893DB" w14:textId="36FD2E78" w:rsidR="00845579" w:rsidRPr="00F32E21" w:rsidRDefault="00E912DA" w:rsidP="00E912DA">
      <w:pPr>
        <w:numPr>
          <w:ilvl w:val="0"/>
          <w:numId w:val="4"/>
        </w:numPr>
        <w:jc w:val="both"/>
        <w:rPr>
          <w:rFonts w:ascii="Verdana" w:hAnsi="Verdana" w:cs="Arial"/>
          <w:bCs/>
          <w:sz w:val="20"/>
          <w:szCs w:val="20"/>
          <w:lang w:val="es-CL"/>
        </w:rPr>
      </w:pPr>
      <w:r w:rsidRPr="00F32E21">
        <w:rPr>
          <w:rFonts w:ascii="Verdana" w:hAnsi="Verdana" w:cs="Arial"/>
          <w:bCs/>
          <w:sz w:val="20"/>
          <w:szCs w:val="20"/>
          <w:lang w:val="es-CL"/>
        </w:rPr>
        <w:t>Lo dispuesto en el</w:t>
      </w:r>
      <w:r w:rsidR="00E14267" w:rsidRPr="00F32E21">
        <w:rPr>
          <w:rFonts w:ascii="Verdana" w:hAnsi="Verdana" w:cs="Arial"/>
          <w:bCs/>
          <w:sz w:val="20"/>
          <w:szCs w:val="20"/>
          <w:lang w:val="es-CL"/>
        </w:rPr>
        <w:t xml:space="preserve"> artículo </w:t>
      </w:r>
      <w:r w:rsidR="00521E94" w:rsidRPr="00F32E21">
        <w:rPr>
          <w:rFonts w:ascii="Verdana" w:hAnsi="Verdana" w:cs="Arial"/>
          <w:bCs/>
          <w:sz w:val="20"/>
          <w:szCs w:val="20"/>
          <w:lang w:val="es-CL"/>
        </w:rPr>
        <w:t>1</w:t>
      </w:r>
      <w:r w:rsidR="00E14267" w:rsidRPr="00F32E21">
        <w:rPr>
          <w:rFonts w:ascii="Verdana" w:hAnsi="Verdana" w:cs="Arial"/>
          <w:bCs/>
          <w:sz w:val="20"/>
          <w:szCs w:val="20"/>
          <w:lang w:val="es-CL"/>
        </w:rPr>
        <w:t>48 del</w:t>
      </w:r>
      <w:r w:rsidRPr="00F32E21">
        <w:rPr>
          <w:rFonts w:ascii="Verdana" w:hAnsi="Verdana" w:cs="Arial"/>
          <w:bCs/>
          <w:sz w:val="20"/>
          <w:szCs w:val="20"/>
          <w:lang w:val="es-CL"/>
        </w:rPr>
        <w:t xml:space="preserve"> D</w:t>
      </w:r>
      <w:r w:rsidR="00E638E1" w:rsidRPr="00F32E21">
        <w:rPr>
          <w:rFonts w:ascii="Verdana" w:hAnsi="Verdana" w:cs="Arial"/>
          <w:bCs/>
          <w:sz w:val="20"/>
          <w:szCs w:val="20"/>
          <w:lang w:val="es-CL"/>
        </w:rPr>
        <w:t>.F.L.</w:t>
      </w:r>
      <w:r w:rsidRPr="00F32E21">
        <w:rPr>
          <w:rFonts w:ascii="Verdana" w:hAnsi="Verdana" w:cs="Arial"/>
          <w:bCs/>
          <w:sz w:val="20"/>
          <w:szCs w:val="20"/>
          <w:lang w:val="es-CL"/>
        </w:rPr>
        <w:t xml:space="preserve"> N</w:t>
      </w:r>
      <w:r w:rsidR="00ED5EE2" w:rsidRPr="00F32E21">
        <w:rPr>
          <w:rFonts w:ascii="Verdana" w:hAnsi="Verdana" w:cs="Arial"/>
          <w:sz w:val="20"/>
          <w:szCs w:val="20"/>
        </w:rPr>
        <w:t>°</w:t>
      </w:r>
      <w:r w:rsidRPr="00F32E21">
        <w:rPr>
          <w:rFonts w:ascii="Verdana" w:hAnsi="Verdana" w:cs="Arial"/>
          <w:bCs/>
          <w:sz w:val="20"/>
          <w:szCs w:val="20"/>
          <w:lang w:val="es-CL"/>
        </w:rPr>
        <w:t xml:space="preserve"> 4</w:t>
      </w:r>
      <w:r w:rsidR="00E638E1" w:rsidRPr="00F32E21">
        <w:rPr>
          <w:rFonts w:ascii="Verdana" w:hAnsi="Verdana" w:cs="Arial"/>
          <w:bCs/>
          <w:sz w:val="20"/>
          <w:szCs w:val="20"/>
          <w:lang w:val="es-CL"/>
        </w:rPr>
        <w:t>/20.018</w:t>
      </w:r>
      <w:r w:rsidRPr="00F32E21">
        <w:rPr>
          <w:rFonts w:ascii="Verdana" w:hAnsi="Verdana" w:cs="Arial"/>
          <w:bCs/>
          <w:sz w:val="20"/>
          <w:szCs w:val="20"/>
          <w:lang w:val="es-CL"/>
        </w:rPr>
        <w:t>, que fija el texto refundido, coordinado y sistematizado del D</w:t>
      </w:r>
      <w:r w:rsidR="00E638E1" w:rsidRPr="00F32E21">
        <w:rPr>
          <w:rFonts w:ascii="Verdana" w:hAnsi="Verdana" w:cs="Arial"/>
          <w:bCs/>
          <w:sz w:val="20"/>
          <w:szCs w:val="20"/>
          <w:lang w:val="es-CL"/>
        </w:rPr>
        <w:t>.F.L.</w:t>
      </w:r>
      <w:r w:rsidRPr="00F32E21">
        <w:rPr>
          <w:rFonts w:ascii="Verdana" w:hAnsi="Verdana" w:cs="Arial"/>
          <w:bCs/>
          <w:sz w:val="20"/>
          <w:szCs w:val="20"/>
          <w:lang w:val="es-CL"/>
        </w:rPr>
        <w:t xml:space="preserve"> N° 1 del Ministerio de Minería, de 1982, Ley General de Servicios Eléctricos</w:t>
      </w:r>
      <w:r w:rsidR="00047CD4" w:rsidRPr="00F32E21">
        <w:rPr>
          <w:rFonts w:ascii="Verdana" w:hAnsi="Verdana" w:cs="Arial"/>
          <w:bCs/>
          <w:sz w:val="20"/>
          <w:szCs w:val="20"/>
          <w:lang w:val="es-CL"/>
        </w:rPr>
        <w:t>, en adelante “Ley”</w:t>
      </w:r>
      <w:r w:rsidRPr="00F32E21">
        <w:rPr>
          <w:rFonts w:ascii="Verdana" w:hAnsi="Verdana" w:cs="Arial"/>
          <w:bCs/>
          <w:sz w:val="20"/>
          <w:szCs w:val="20"/>
          <w:lang w:val="es-CL"/>
        </w:rPr>
        <w:t>;</w:t>
      </w:r>
    </w:p>
    <w:p w14:paraId="0EDD1147" w14:textId="77777777" w:rsidR="00845579" w:rsidRPr="00F32E21" w:rsidRDefault="00845579" w:rsidP="00845579">
      <w:pPr>
        <w:ind w:left="2836"/>
        <w:jc w:val="both"/>
        <w:rPr>
          <w:rFonts w:ascii="Verdana" w:hAnsi="Verdana" w:cs="Arial"/>
          <w:bCs/>
          <w:sz w:val="20"/>
          <w:szCs w:val="20"/>
          <w:lang w:val="es-CL"/>
        </w:rPr>
      </w:pPr>
    </w:p>
    <w:p w14:paraId="51EC86AA" w14:textId="32BDB993" w:rsidR="00521E94" w:rsidRPr="00F32E21" w:rsidRDefault="00845579" w:rsidP="3A97257B">
      <w:pPr>
        <w:numPr>
          <w:ilvl w:val="0"/>
          <w:numId w:val="4"/>
        </w:numPr>
        <w:jc w:val="both"/>
        <w:rPr>
          <w:rFonts w:ascii="Verdana" w:hAnsi="Verdana" w:cs="Arial"/>
          <w:sz w:val="20"/>
          <w:szCs w:val="20"/>
          <w:lang w:val="es-CL"/>
        </w:rPr>
      </w:pPr>
      <w:r w:rsidRPr="3A97257B">
        <w:rPr>
          <w:rFonts w:ascii="Verdana" w:hAnsi="Verdana" w:cs="Arial"/>
          <w:sz w:val="20"/>
          <w:szCs w:val="20"/>
          <w:lang w:val="es-CL"/>
        </w:rPr>
        <w:t xml:space="preserve">La </w:t>
      </w:r>
      <w:r w:rsidRPr="3A97257B">
        <w:rPr>
          <w:rFonts w:ascii="Verdana" w:hAnsi="Verdana" w:cs="Arial"/>
          <w:sz w:val="20"/>
          <w:szCs w:val="20"/>
        </w:rPr>
        <w:t xml:space="preserve">Resolución Exenta Nº </w:t>
      </w:r>
      <w:r w:rsidR="00393CFB" w:rsidRPr="3A97257B">
        <w:rPr>
          <w:rFonts w:ascii="Verdana" w:hAnsi="Verdana" w:cs="Arial"/>
          <w:sz w:val="20"/>
          <w:szCs w:val="20"/>
        </w:rPr>
        <w:t>164</w:t>
      </w:r>
      <w:r w:rsidRPr="3A97257B">
        <w:rPr>
          <w:rFonts w:ascii="Verdana" w:hAnsi="Verdana" w:cs="Arial"/>
          <w:sz w:val="20"/>
          <w:szCs w:val="20"/>
        </w:rPr>
        <w:t xml:space="preserve"> de la Comisión Nacional de Energía, de 25 de febrero de 2010, que fija el texto refundido, coordinado y sistematizado de Resolución Exenta Nº 386 de 2007 de la Comisión Nacional de Energía que establece normas para la adecuada aplicación del artículo 148º del DFL Nº 4 del Ministerio de Economía, Fomento y Reconstrucción, de 2006, Ley General de Servicios Eléctricos</w:t>
      </w:r>
      <w:r w:rsidR="5596585F" w:rsidRPr="3A97257B">
        <w:rPr>
          <w:rFonts w:ascii="Verdana" w:hAnsi="Verdana" w:cs="Arial"/>
          <w:sz w:val="20"/>
          <w:szCs w:val="20"/>
        </w:rPr>
        <w:t>, en adelante</w:t>
      </w:r>
      <w:r w:rsidR="003E3380" w:rsidRPr="3A97257B">
        <w:rPr>
          <w:rFonts w:ascii="Verdana" w:hAnsi="Verdana" w:cs="Arial"/>
          <w:sz w:val="20"/>
          <w:szCs w:val="20"/>
        </w:rPr>
        <w:t xml:space="preserve"> “Resolución Exenta CNE Nº </w:t>
      </w:r>
      <w:r w:rsidR="00393CFB" w:rsidRPr="3A97257B">
        <w:rPr>
          <w:rFonts w:ascii="Verdana" w:hAnsi="Verdana" w:cs="Arial"/>
          <w:sz w:val="20"/>
          <w:szCs w:val="20"/>
        </w:rPr>
        <w:t xml:space="preserve">164 </w:t>
      </w:r>
      <w:r w:rsidR="008E347A" w:rsidRPr="3A97257B">
        <w:rPr>
          <w:rFonts w:ascii="Verdana" w:hAnsi="Verdana" w:cs="Arial"/>
          <w:sz w:val="20"/>
          <w:szCs w:val="20"/>
        </w:rPr>
        <w:t xml:space="preserve">de </w:t>
      </w:r>
      <w:r w:rsidR="003E3380" w:rsidRPr="3A97257B">
        <w:rPr>
          <w:rFonts w:ascii="Verdana" w:hAnsi="Verdana" w:cs="Arial"/>
          <w:sz w:val="20"/>
          <w:szCs w:val="20"/>
        </w:rPr>
        <w:t>2010”</w:t>
      </w:r>
      <w:r w:rsidRPr="3A97257B">
        <w:rPr>
          <w:rFonts w:ascii="Verdana" w:hAnsi="Verdana" w:cs="Arial"/>
          <w:sz w:val="20"/>
          <w:szCs w:val="20"/>
        </w:rPr>
        <w:t>;</w:t>
      </w:r>
    </w:p>
    <w:p w14:paraId="5AC39152" w14:textId="414D930D" w:rsidR="3A97257B" w:rsidRDefault="3A97257B" w:rsidP="00B07BBA">
      <w:pPr>
        <w:ind w:left="2836"/>
        <w:jc w:val="both"/>
        <w:rPr>
          <w:rFonts w:ascii="Verdana" w:hAnsi="Verdana" w:cs="Arial"/>
          <w:sz w:val="20"/>
          <w:szCs w:val="20"/>
        </w:rPr>
      </w:pPr>
    </w:p>
    <w:p w14:paraId="370F9B5D" w14:textId="10F5C61B" w:rsidR="6769162A" w:rsidRDefault="6769162A" w:rsidP="3A97257B">
      <w:pPr>
        <w:numPr>
          <w:ilvl w:val="0"/>
          <w:numId w:val="4"/>
        </w:numPr>
        <w:jc w:val="both"/>
        <w:rPr>
          <w:rFonts w:asciiTheme="minorHAnsi" w:eastAsiaTheme="minorEastAsia" w:hAnsiTheme="minorHAnsi" w:cstheme="minorBidi"/>
          <w:sz w:val="20"/>
          <w:szCs w:val="20"/>
        </w:rPr>
      </w:pPr>
      <w:r w:rsidRPr="3A97257B">
        <w:rPr>
          <w:rFonts w:ascii="Verdana" w:hAnsi="Verdana" w:cs="Arial"/>
          <w:sz w:val="20"/>
          <w:szCs w:val="20"/>
        </w:rPr>
        <w:t xml:space="preserve">El Decreto Supremo N° 106, del Ministerio de Energía, de </w:t>
      </w:r>
      <w:r w:rsidR="4A721963" w:rsidRPr="3A97257B">
        <w:rPr>
          <w:rFonts w:ascii="Verdana" w:hAnsi="Verdana" w:cs="Arial"/>
          <w:sz w:val="20"/>
          <w:szCs w:val="20"/>
        </w:rPr>
        <w:t xml:space="preserve">8 de octubre de 2015, que </w:t>
      </w:r>
      <w:r w:rsidRPr="00B07BBA">
        <w:rPr>
          <w:rFonts w:ascii="Verdana" w:hAnsi="Verdana" w:cs="Arial"/>
          <w:sz w:val="20"/>
          <w:szCs w:val="20"/>
        </w:rPr>
        <w:t xml:space="preserve">aprueba </w:t>
      </w:r>
      <w:r w:rsidR="26484D6E" w:rsidRPr="3A97257B">
        <w:rPr>
          <w:rFonts w:ascii="Verdana" w:hAnsi="Verdana" w:cs="Arial"/>
          <w:sz w:val="20"/>
          <w:szCs w:val="20"/>
        </w:rPr>
        <w:t xml:space="preserve">el </w:t>
      </w:r>
      <w:r w:rsidRPr="00B07BBA">
        <w:rPr>
          <w:rFonts w:ascii="Verdana" w:hAnsi="Verdana" w:cs="Arial"/>
          <w:sz w:val="20"/>
          <w:szCs w:val="20"/>
        </w:rPr>
        <w:t xml:space="preserve">reglamento sobre licitaciones de suministro de energía para satisfacer el consumo de los clientes regulados de las empresas concesionarias del servicio público de distribución de </w:t>
      </w:r>
      <w:r w:rsidRPr="00B07BBA">
        <w:rPr>
          <w:rFonts w:ascii="Verdana" w:hAnsi="Verdana" w:cs="Arial"/>
          <w:sz w:val="20"/>
          <w:szCs w:val="20"/>
        </w:rPr>
        <w:lastRenderedPageBreak/>
        <w:t xml:space="preserve">energía eléctrica y deroga el </w:t>
      </w:r>
      <w:r w:rsidR="2A8F95D8" w:rsidRPr="3A97257B">
        <w:rPr>
          <w:rFonts w:ascii="Verdana" w:hAnsi="Verdana" w:cs="Arial"/>
          <w:sz w:val="20"/>
          <w:szCs w:val="20"/>
        </w:rPr>
        <w:t>D</w:t>
      </w:r>
      <w:r w:rsidRPr="00B07BBA">
        <w:rPr>
          <w:rFonts w:ascii="Verdana" w:hAnsi="Verdana" w:cs="Arial"/>
          <w:sz w:val="20"/>
          <w:szCs w:val="20"/>
        </w:rPr>
        <w:t xml:space="preserve">ecreto </w:t>
      </w:r>
      <w:r w:rsidR="07C3DFBA" w:rsidRPr="3A97257B">
        <w:rPr>
          <w:rFonts w:ascii="Verdana" w:hAnsi="Verdana" w:cs="Arial"/>
          <w:sz w:val="20"/>
          <w:szCs w:val="20"/>
        </w:rPr>
        <w:t>S</w:t>
      </w:r>
      <w:r w:rsidRPr="00B07BBA">
        <w:rPr>
          <w:rFonts w:ascii="Verdana" w:hAnsi="Verdana" w:cs="Arial"/>
          <w:sz w:val="20"/>
          <w:szCs w:val="20"/>
        </w:rPr>
        <w:t xml:space="preserve">upremo </w:t>
      </w:r>
      <w:r w:rsidR="399C069C" w:rsidRPr="3A97257B">
        <w:rPr>
          <w:rFonts w:ascii="Verdana" w:hAnsi="Verdana" w:cs="Arial"/>
          <w:sz w:val="20"/>
          <w:szCs w:val="20"/>
        </w:rPr>
        <w:t>N</w:t>
      </w:r>
      <w:r w:rsidRPr="00B07BBA">
        <w:rPr>
          <w:rFonts w:ascii="Verdana" w:hAnsi="Verdana" w:cs="Arial"/>
          <w:sz w:val="20"/>
          <w:szCs w:val="20"/>
        </w:rPr>
        <w:t xml:space="preserve">º 4, de 2008, del </w:t>
      </w:r>
      <w:r w:rsidR="4509B402" w:rsidRPr="3A97257B">
        <w:rPr>
          <w:rFonts w:ascii="Verdana" w:hAnsi="Verdana" w:cs="Arial"/>
          <w:sz w:val="20"/>
          <w:szCs w:val="20"/>
        </w:rPr>
        <w:t>M</w:t>
      </w:r>
      <w:r w:rsidRPr="00B07BBA">
        <w:rPr>
          <w:rFonts w:ascii="Verdana" w:hAnsi="Verdana" w:cs="Arial"/>
          <w:sz w:val="20"/>
          <w:szCs w:val="20"/>
        </w:rPr>
        <w:t xml:space="preserve">inisterio de </w:t>
      </w:r>
      <w:r w:rsidR="35B587FE" w:rsidRPr="3A97257B">
        <w:rPr>
          <w:rFonts w:ascii="Verdana" w:hAnsi="Verdana" w:cs="Arial"/>
          <w:sz w:val="20"/>
          <w:szCs w:val="20"/>
        </w:rPr>
        <w:t>E</w:t>
      </w:r>
      <w:r w:rsidRPr="00B07BBA">
        <w:rPr>
          <w:rFonts w:ascii="Verdana" w:hAnsi="Verdana" w:cs="Arial"/>
          <w:sz w:val="20"/>
          <w:szCs w:val="20"/>
        </w:rPr>
        <w:t xml:space="preserve">conomía, </w:t>
      </w:r>
      <w:r w:rsidR="7F645262" w:rsidRPr="3A97257B">
        <w:rPr>
          <w:rFonts w:ascii="Verdana" w:hAnsi="Verdana" w:cs="Arial"/>
          <w:sz w:val="20"/>
          <w:szCs w:val="20"/>
        </w:rPr>
        <w:t>F</w:t>
      </w:r>
      <w:r w:rsidRPr="00B07BBA">
        <w:rPr>
          <w:rFonts w:ascii="Verdana" w:hAnsi="Verdana" w:cs="Arial"/>
          <w:sz w:val="20"/>
          <w:szCs w:val="20"/>
        </w:rPr>
        <w:t xml:space="preserve">omento y </w:t>
      </w:r>
      <w:r w:rsidR="54C54191" w:rsidRPr="3A97257B">
        <w:rPr>
          <w:rFonts w:ascii="Verdana" w:hAnsi="Verdana" w:cs="Arial"/>
          <w:sz w:val="20"/>
          <w:szCs w:val="20"/>
        </w:rPr>
        <w:t>R</w:t>
      </w:r>
      <w:r w:rsidRPr="00B07BBA">
        <w:rPr>
          <w:rFonts w:ascii="Verdana" w:hAnsi="Verdana" w:cs="Arial"/>
          <w:sz w:val="20"/>
          <w:szCs w:val="20"/>
        </w:rPr>
        <w:t>econstrucción</w:t>
      </w:r>
      <w:r w:rsidR="6E28982A" w:rsidRPr="3A97257B">
        <w:rPr>
          <w:rFonts w:ascii="Verdana" w:hAnsi="Verdana" w:cs="Arial"/>
          <w:sz w:val="20"/>
          <w:szCs w:val="20"/>
        </w:rPr>
        <w:t xml:space="preserve">, </w:t>
      </w:r>
      <w:r w:rsidR="082AA9DB" w:rsidRPr="3A97257B">
        <w:rPr>
          <w:rFonts w:ascii="Verdana" w:hAnsi="Verdana" w:cs="Arial"/>
          <w:sz w:val="20"/>
          <w:szCs w:val="20"/>
        </w:rPr>
        <w:t xml:space="preserve">en adelante </w:t>
      </w:r>
      <w:r w:rsidR="6E28982A" w:rsidRPr="3A97257B">
        <w:rPr>
          <w:rFonts w:ascii="Verdana" w:hAnsi="Verdana" w:cs="Arial"/>
          <w:sz w:val="20"/>
          <w:szCs w:val="20"/>
        </w:rPr>
        <w:t>“Reglamento de Licitaciones”.</w:t>
      </w:r>
    </w:p>
    <w:p w14:paraId="63BC4360" w14:textId="3AEF885E" w:rsidR="3A97257B" w:rsidRDefault="3A97257B" w:rsidP="3A97257B">
      <w:pPr>
        <w:jc w:val="both"/>
        <w:rPr>
          <w:rFonts w:ascii="Verdana" w:hAnsi="Verdana" w:cs="Arial"/>
          <w:sz w:val="20"/>
          <w:szCs w:val="20"/>
        </w:rPr>
      </w:pPr>
    </w:p>
    <w:p w14:paraId="79F71899" w14:textId="77777777" w:rsidR="000075BB" w:rsidRPr="00F32E21" w:rsidRDefault="000075BB" w:rsidP="000075BB">
      <w:pPr>
        <w:ind w:left="2836"/>
        <w:jc w:val="both"/>
        <w:rPr>
          <w:rFonts w:ascii="Verdana" w:hAnsi="Verdana" w:cs="Arial"/>
          <w:bCs/>
          <w:sz w:val="20"/>
          <w:szCs w:val="20"/>
          <w:lang w:val="es-CL"/>
        </w:rPr>
      </w:pPr>
    </w:p>
    <w:p w14:paraId="1777948E" w14:textId="44235347" w:rsidR="000F0C3D" w:rsidRPr="00F32E21" w:rsidRDefault="000075BB" w:rsidP="3A97257B">
      <w:pPr>
        <w:numPr>
          <w:ilvl w:val="0"/>
          <w:numId w:val="4"/>
        </w:numPr>
        <w:jc w:val="both"/>
        <w:rPr>
          <w:rFonts w:ascii="Verdana" w:hAnsi="Verdana" w:cs="Arial"/>
          <w:sz w:val="20"/>
          <w:szCs w:val="20"/>
          <w:lang w:val="es-CL"/>
        </w:rPr>
      </w:pPr>
      <w:r w:rsidRPr="3A97257B">
        <w:rPr>
          <w:rFonts w:ascii="Verdana" w:hAnsi="Verdana" w:cs="Arial"/>
          <w:sz w:val="20"/>
          <w:szCs w:val="20"/>
        </w:rPr>
        <w:t xml:space="preserve">El Oficio N° </w:t>
      </w:r>
      <w:r w:rsidR="57225D8F" w:rsidRPr="3A97257B">
        <w:rPr>
          <w:rFonts w:ascii="Verdana" w:hAnsi="Verdana" w:cs="Arial"/>
          <w:sz w:val="20"/>
          <w:szCs w:val="20"/>
        </w:rPr>
        <w:t>538</w:t>
      </w:r>
      <w:r w:rsidRPr="3A97257B">
        <w:rPr>
          <w:rFonts w:ascii="Verdana" w:hAnsi="Verdana" w:cs="Arial"/>
          <w:sz w:val="20"/>
          <w:szCs w:val="20"/>
        </w:rPr>
        <w:t>, de 2020, del Ministerio de Energía</w:t>
      </w:r>
      <w:r w:rsidR="00140F32" w:rsidRPr="3A97257B">
        <w:rPr>
          <w:rFonts w:ascii="Verdana" w:hAnsi="Verdana" w:cs="Arial"/>
          <w:sz w:val="20"/>
          <w:szCs w:val="20"/>
        </w:rPr>
        <w:t xml:space="preserve"> que solicita a la Comisión Nacional de Energía el análisis de medidas regulatorias para incentivar el uso de tecnologías de </w:t>
      </w:r>
      <w:r w:rsidR="38B38FFF" w:rsidRPr="3A97257B">
        <w:rPr>
          <w:rFonts w:ascii="Verdana" w:hAnsi="Verdana" w:cs="Arial"/>
          <w:sz w:val="20"/>
          <w:szCs w:val="20"/>
        </w:rPr>
        <w:t>climatización</w:t>
      </w:r>
      <w:r w:rsidR="0095446F">
        <w:rPr>
          <w:rFonts w:ascii="Verdana" w:hAnsi="Verdana" w:cs="Arial"/>
          <w:sz w:val="20"/>
          <w:szCs w:val="20"/>
        </w:rPr>
        <w:t xml:space="preserve"> </w:t>
      </w:r>
      <w:r w:rsidR="00140F32" w:rsidRPr="3A97257B">
        <w:rPr>
          <w:rFonts w:ascii="Verdana" w:hAnsi="Verdana" w:cs="Arial"/>
          <w:sz w:val="20"/>
          <w:szCs w:val="20"/>
        </w:rPr>
        <w:t>menos contaminantes</w:t>
      </w:r>
      <w:r w:rsidR="4BD27AAE" w:rsidRPr="3A97257B">
        <w:rPr>
          <w:rFonts w:ascii="Verdana" w:hAnsi="Verdana" w:cs="Arial"/>
          <w:sz w:val="20"/>
          <w:szCs w:val="20"/>
        </w:rPr>
        <w:t>,</w:t>
      </w:r>
      <w:r w:rsidR="00140F32" w:rsidRPr="3A97257B">
        <w:rPr>
          <w:rFonts w:ascii="Verdana" w:hAnsi="Verdana" w:cs="Arial"/>
          <w:sz w:val="20"/>
          <w:szCs w:val="20"/>
        </w:rPr>
        <w:t xml:space="preserve"> en el marco de la crisis sanitaria que afecta al país</w:t>
      </w:r>
      <w:r w:rsidR="003E3380" w:rsidRPr="3A97257B">
        <w:rPr>
          <w:rFonts w:ascii="Verdana" w:hAnsi="Verdana" w:cs="Arial"/>
          <w:sz w:val="20"/>
          <w:szCs w:val="20"/>
        </w:rPr>
        <w:t>;</w:t>
      </w:r>
    </w:p>
    <w:p w14:paraId="618ABF82" w14:textId="77777777" w:rsidR="000F0C3D" w:rsidRPr="00F32E21" w:rsidRDefault="003E3380" w:rsidP="000F0C3D">
      <w:pPr>
        <w:ind w:left="2836"/>
        <w:jc w:val="both"/>
        <w:rPr>
          <w:rFonts w:ascii="Verdana" w:hAnsi="Verdana" w:cs="Arial"/>
          <w:bCs/>
          <w:sz w:val="20"/>
          <w:szCs w:val="20"/>
          <w:lang w:val="es-CL"/>
        </w:rPr>
      </w:pPr>
      <w:r w:rsidRPr="00F32E21">
        <w:rPr>
          <w:rFonts w:ascii="Verdana" w:hAnsi="Verdana" w:cs="Arial"/>
          <w:sz w:val="20"/>
          <w:szCs w:val="20"/>
        </w:rPr>
        <w:t xml:space="preserve"> </w:t>
      </w:r>
    </w:p>
    <w:p w14:paraId="22E1D9B6" w14:textId="77777777" w:rsidR="0094612C" w:rsidRPr="00F32E21" w:rsidRDefault="000F0C3D" w:rsidP="3A97257B">
      <w:pPr>
        <w:numPr>
          <w:ilvl w:val="0"/>
          <w:numId w:val="4"/>
        </w:numPr>
        <w:jc w:val="both"/>
        <w:rPr>
          <w:rFonts w:ascii="Verdana" w:hAnsi="Verdana" w:cs="Arial"/>
          <w:sz w:val="20"/>
          <w:szCs w:val="20"/>
          <w:lang w:val="es-CL"/>
        </w:rPr>
      </w:pPr>
      <w:r w:rsidRPr="3A97257B">
        <w:rPr>
          <w:rFonts w:ascii="Verdana" w:hAnsi="Verdana" w:cs="Arial"/>
          <w:sz w:val="20"/>
          <w:szCs w:val="20"/>
          <w:lang w:val="es-CL"/>
        </w:rPr>
        <w:t xml:space="preserve">Decreto N° 104, de 2020, del Ministerio del Interior y Seguridad Pública, que declara estado de excepción constitucional de catástrofe, por calamidad pública, en el territorio nacional; y </w:t>
      </w:r>
    </w:p>
    <w:p w14:paraId="4D69DBC8" w14:textId="77777777" w:rsidR="000F0C3D" w:rsidRPr="00F32E21" w:rsidRDefault="000F0C3D" w:rsidP="000F0C3D">
      <w:pPr>
        <w:ind w:left="2836"/>
        <w:jc w:val="both"/>
        <w:rPr>
          <w:rFonts w:ascii="Verdana" w:hAnsi="Verdana" w:cs="Arial"/>
          <w:bCs/>
          <w:sz w:val="20"/>
          <w:szCs w:val="20"/>
          <w:lang w:val="es-CL"/>
        </w:rPr>
      </w:pPr>
    </w:p>
    <w:p w14:paraId="71215820" w14:textId="77777777" w:rsidR="00125EBE" w:rsidRPr="00F32E21" w:rsidRDefault="005657E3" w:rsidP="3A97257B">
      <w:pPr>
        <w:numPr>
          <w:ilvl w:val="0"/>
          <w:numId w:val="4"/>
        </w:numPr>
        <w:jc w:val="both"/>
        <w:rPr>
          <w:rFonts w:ascii="Verdana" w:hAnsi="Verdana" w:cs="Arial"/>
          <w:sz w:val="20"/>
          <w:szCs w:val="20"/>
          <w:lang w:val="es-CL"/>
        </w:rPr>
      </w:pPr>
      <w:r w:rsidRPr="3A97257B">
        <w:rPr>
          <w:rFonts w:ascii="Verdana" w:hAnsi="Verdana" w:cs="Arial"/>
          <w:sz w:val="20"/>
          <w:szCs w:val="20"/>
        </w:rPr>
        <w:t>La Resolución N°</w:t>
      </w:r>
      <w:r w:rsidR="00803999" w:rsidRPr="3A97257B">
        <w:rPr>
          <w:rFonts w:ascii="Verdana" w:hAnsi="Verdana" w:cs="Arial"/>
          <w:sz w:val="20"/>
          <w:szCs w:val="20"/>
        </w:rPr>
        <w:t xml:space="preserve"> </w:t>
      </w:r>
      <w:r w:rsidR="00B569B4" w:rsidRPr="3A97257B">
        <w:rPr>
          <w:rFonts w:ascii="Verdana" w:hAnsi="Verdana" w:cs="Arial"/>
          <w:sz w:val="20"/>
          <w:szCs w:val="20"/>
        </w:rPr>
        <w:t>7</w:t>
      </w:r>
      <w:r w:rsidRPr="3A97257B">
        <w:rPr>
          <w:rFonts w:ascii="Verdana" w:hAnsi="Verdana" w:cs="Arial"/>
          <w:sz w:val="20"/>
          <w:szCs w:val="20"/>
        </w:rPr>
        <w:t>, de 20</w:t>
      </w:r>
      <w:r w:rsidR="00B569B4" w:rsidRPr="3A97257B">
        <w:rPr>
          <w:rFonts w:ascii="Verdana" w:hAnsi="Verdana" w:cs="Arial"/>
          <w:sz w:val="20"/>
          <w:szCs w:val="20"/>
        </w:rPr>
        <w:t>19</w:t>
      </w:r>
      <w:r w:rsidR="00803999" w:rsidRPr="3A97257B">
        <w:rPr>
          <w:rFonts w:ascii="Verdana" w:hAnsi="Verdana" w:cs="Arial"/>
          <w:sz w:val="20"/>
          <w:szCs w:val="20"/>
        </w:rPr>
        <w:t>,</w:t>
      </w:r>
      <w:r w:rsidRPr="3A97257B">
        <w:rPr>
          <w:rFonts w:ascii="Verdana" w:hAnsi="Verdana" w:cs="Arial"/>
          <w:sz w:val="20"/>
          <w:szCs w:val="20"/>
        </w:rPr>
        <w:t xml:space="preserve"> de Cont</w:t>
      </w:r>
      <w:r w:rsidR="0094612C" w:rsidRPr="3A97257B">
        <w:rPr>
          <w:rFonts w:ascii="Verdana" w:hAnsi="Verdana" w:cs="Arial"/>
          <w:sz w:val="20"/>
          <w:szCs w:val="20"/>
        </w:rPr>
        <w:t>raloría General de la República</w:t>
      </w:r>
      <w:r w:rsidR="00123445" w:rsidRPr="3A97257B">
        <w:rPr>
          <w:rFonts w:ascii="Verdana" w:hAnsi="Verdana" w:cs="Arial"/>
          <w:sz w:val="20"/>
          <w:szCs w:val="20"/>
        </w:rPr>
        <w:t>.</w:t>
      </w:r>
    </w:p>
    <w:p w14:paraId="273EC6FA" w14:textId="77777777" w:rsidR="009A6517" w:rsidRPr="00F32E21" w:rsidRDefault="009A6517" w:rsidP="005657E3">
      <w:pPr>
        <w:pStyle w:val="Textodecuerpo"/>
        <w:ind w:left="3540" w:hanging="3360"/>
        <w:rPr>
          <w:rFonts w:ascii="Verdana" w:hAnsi="Verdana" w:cs="Arial"/>
          <w:b/>
          <w:color w:val="auto"/>
          <w:sz w:val="20"/>
        </w:rPr>
      </w:pPr>
    </w:p>
    <w:p w14:paraId="2E642855" w14:textId="341AC5E0" w:rsidR="009A6517" w:rsidRPr="00F32E21" w:rsidRDefault="009A6517" w:rsidP="00B07BBA">
      <w:pPr>
        <w:pStyle w:val="Textodecuerpo"/>
        <w:rPr>
          <w:rFonts w:ascii="Verdana" w:hAnsi="Verdana" w:cs="Arial"/>
          <w:b/>
          <w:bCs/>
          <w:color w:val="auto"/>
          <w:sz w:val="20"/>
        </w:rPr>
      </w:pPr>
    </w:p>
    <w:p w14:paraId="536C119B" w14:textId="77777777" w:rsidR="005657E3" w:rsidRPr="00F32E21" w:rsidRDefault="005657E3" w:rsidP="005657E3">
      <w:pPr>
        <w:pStyle w:val="Textodecuerpo"/>
        <w:ind w:left="3540" w:hanging="3360"/>
        <w:rPr>
          <w:rFonts w:ascii="Verdana" w:hAnsi="Verdana" w:cs="Arial"/>
          <w:b/>
          <w:color w:val="auto"/>
          <w:sz w:val="20"/>
        </w:rPr>
      </w:pPr>
      <w:r w:rsidRPr="00F32E21">
        <w:rPr>
          <w:rFonts w:ascii="Verdana" w:hAnsi="Verdana" w:cs="Arial"/>
          <w:b/>
          <w:color w:val="auto"/>
          <w:sz w:val="20"/>
        </w:rPr>
        <w:t>CONSIDERANDO:</w:t>
      </w:r>
    </w:p>
    <w:p w14:paraId="73EC4125" w14:textId="77777777" w:rsidR="005657E3" w:rsidRPr="00F32E21" w:rsidRDefault="005657E3" w:rsidP="00E5520D">
      <w:pPr>
        <w:pStyle w:val="Textodecuerpo"/>
        <w:ind w:left="3261" w:hanging="426"/>
        <w:rPr>
          <w:rFonts w:ascii="Verdana" w:hAnsi="Verdana" w:cs="Arial"/>
          <w:b/>
          <w:color w:val="auto"/>
          <w:sz w:val="20"/>
        </w:rPr>
      </w:pPr>
    </w:p>
    <w:p w14:paraId="498C207A" w14:textId="5B23E432" w:rsidR="00D948D0" w:rsidRPr="00F32E21" w:rsidRDefault="00151C30" w:rsidP="00D948D0">
      <w:pPr>
        <w:pStyle w:val="Textodecuerpo"/>
        <w:numPr>
          <w:ilvl w:val="0"/>
          <w:numId w:val="3"/>
        </w:numPr>
        <w:ind w:left="3261" w:hanging="426"/>
        <w:rPr>
          <w:rFonts w:ascii="Verdana" w:hAnsi="Verdana" w:cs="Arial"/>
          <w:sz w:val="20"/>
          <w:lang w:val="es-ES"/>
        </w:rPr>
      </w:pPr>
      <w:r w:rsidRPr="00F32E21">
        <w:rPr>
          <w:rFonts w:ascii="Verdana" w:hAnsi="Verdana" w:cs="Arial"/>
          <w:sz w:val="20"/>
          <w:lang w:val="es-ES"/>
        </w:rPr>
        <w:t xml:space="preserve">Que el artículo 148º de la Ley General de Servicios Eléctricos, estableció un mecanismo de auto regulación del consumo eléctrico, a través del cual las empresas generadoras pueden convenir reducciones o aumentos temporales de consumo de energía con sus clientes regulados. Asimismo, esta disposición legal señaló que la Comisión debe establecer las normas que sean necesarias para la adecuada aplicación del mecanismo de auto regulación </w:t>
      </w:r>
      <w:r w:rsidR="004633C8" w:rsidRPr="00F32E21">
        <w:rPr>
          <w:rFonts w:ascii="Verdana" w:hAnsi="Verdana" w:cs="Arial"/>
          <w:sz w:val="20"/>
          <w:lang w:val="es-ES"/>
        </w:rPr>
        <w:t xml:space="preserve">de consumo </w:t>
      </w:r>
      <w:r w:rsidRPr="00F32E21">
        <w:rPr>
          <w:rFonts w:ascii="Verdana" w:hAnsi="Verdana" w:cs="Arial"/>
          <w:sz w:val="20"/>
          <w:lang w:val="es-ES"/>
        </w:rPr>
        <w:t>señalado, regulando los procedimientos, plazos y demás condiciones que se requieran para su ejecución</w:t>
      </w:r>
      <w:r w:rsidR="004F5727" w:rsidRPr="00F32E21">
        <w:rPr>
          <w:rFonts w:ascii="Verdana" w:hAnsi="Verdana" w:cs="Arial"/>
          <w:sz w:val="20"/>
        </w:rPr>
        <w:t>;</w:t>
      </w:r>
    </w:p>
    <w:p w14:paraId="1FC6C1DD" w14:textId="77777777" w:rsidR="00D948D0" w:rsidRPr="00F32E21" w:rsidRDefault="00D948D0" w:rsidP="00D948D0">
      <w:pPr>
        <w:pStyle w:val="Textodecuerpo"/>
        <w:ind w:left="2835"/>
        <w:rPr>
          <w:rFonts w:ascii="Verdana" w:hAnsi="Verdana" w:cs="Arial"/>
          <w:sz w:val="20"/>
          <w:lang w:val="es-ES"/>
        </w:rPr>
      </w:pPr>
    </w:p>
    <w:p w14:paraId="2707F116" w14:textId="77777777" w:rsidR="00D948D0" w:rsidRPr="00F32E21" w:rsidRDefault="00063C52" w:rsidP="00D948D0">
      <w:pPr>
        <w:pStyle w:val="Textodecuerpo"/>
        <w:numPr>
          <w:ilvl w:val="0"/>
          <w:numId w:val="3"/>
        </w:numPr>
        <w:ind w:left="3261" w:hanging="426"/>
        <w:rPr>
          <w:rFonts w:ascii="Verdana" w:hAnsi="Verdana" w:cs="Arial"/>
          <w:sz w:val="20"/>
          <w:lang w:val="es-ES"/>
        </w:rPr>
      </w:pPr>
      <w:r w:rsidRPr="00F32E21">
        <w:rPr>
          <w:rFonts w:ascii="Verdana" w:hAnsi="Verdana" w:cs="Arial"/>
          <w:sz w:val="20"/>
        </w:rPr>
        <w:t>Que por la Resolución E</w:t>
      </w:r>
      <w:r w:rsidR="00D948D0" w:rsidRPr="00F32E21">
        <w:rPr>
          <w:rFonts w:ascii="Verdana" w:hAnsi="Verdana" w:cs="Arial"/>
          <w:sz w:val="20"/>
        </w:rPr>
        <w:t xml:space="preserve">xenta CNE Nº 386, de 25 de junio de 2007, y sus modificaciones, se establecieron las normas para la adecuada aplicación del </w:t>
      </w:r>
      <w:r w:rsidR="00D948D0" w:rsidRPr="00F32E21">
        <w:rPr>
          <w:rFonts w:ascii="Verdana" w:hAnsi="Verdana" w:cs="Arial"/>
          <w:sz w:val="20"/>
          <w:lang w:val="es-ES"/>
        </w:rPr>
        <w:t>artículo 148º de la Ley G</w:t>
      </w:r>
      <w:r w:rsidR="002645BB" w:rsidRPr="00F32E21">
        <w:rPr>
          <w:rFonts w:ascii="Verdana" w:hAnsi="Verdana" w:cs="Arial"/>
          <w:sz w:val="20"/>
          <w:lang w:val="es-ES"/>
        </w:rPr>
        <w:t>eneral de Servicios Eléctricos</w:t>
      </w:r>
      <w:r w:rsidR="00D948D0" w:rsidRPr="00F32E21">
        <w:rPr>
          <w:rFonts w:ascii="Verdana" w:hAnsi="Verdana" w:cs="Arial"/>
          <w:sz w:val="20"/>
          <w:lang w:val="es-ES"/>
        </w:rPr>
        <w:t>;</w:t>
      </w:r>
    </w:p>
    <w:p w14:paraId="76B89C80" w14:textId="77777777" w:rsidR="00E0057F" w:rsidRPr="00F32E21" w:rsidRDefault="00E0057F" w:rsidP="00E0057F">
      <w:pPr>
        <w:pStyle w:val="Textodecuerpo"/>
        <w:ind w:left="2835"/>
        <w:rPr>
          <w:rFonts w:ascii="Verdana" w:hAnsi="Verdana" w:cs="Arial"/>
          <w:sz w:val="20"/>
          <w:lang w:val="es-ES"/>
        </w:rPr>
      </w:pPr>
    </w:p>
    <w:p w14:paraId="2358CD98" w14:textId="0C09159C" w:rsidR="00E552C8" w:rsidRPr="00F32E21" w:rsidRDefault="00151C30" w:rsidP="00E0057F">
      <w:pPr>
        <w:pStyle w:val="Textodecuerpo"/>
        <w:numPr>
          <w:ilvl w:val="0"/>
          <w:numId w:val="3"/>
        </w:numPr>
        <w:ind w:left="3261" w:hanging="426"/>
        <w:rPr>
          <w:rFonts w:ascii="Verdana" w:hAnsi="Verdana" w:cs="Arial"/>
          <w:sz w:val="20"/>
          <w:lang w:val="es-ES"/>
        </w:rPr>
      </w:pPr>
      <w:r w:rsidRPr="00F32E21">
        <w:rPr>
          <w:rFonts w:ascii="Verdana" w:hAnsi="Verdana" w:cs="Arial"/>
          <w:sz w:val="20"/>
          <w:lang w:val="es-ES"/>
        </w:rPr>
        <w:t>Que, para facilitar el conocimiento y la aplicación d</w:t>
      </w:r>
      <w:r w:rsidR="00E0057F" w:rsidRPr="00F32E21">
        <w:rPr>
          <w:rFonts w:ascii="Verdana" w:hAnsi="Verdana" w:cs="Arial"/>
          <w:sz w:val="20"/>
          <w:lang w:val="es-ES"/>
        </w:rPr>
        <w:t>e la Resolución E</w:t>
      </w:r>
      <w:r w:rsidRPr="00F32E21">
        <w:rPr>
          <w:rFonts w:ascii="Verdana" w:hAnsi="Verdana" w:cs="Arial"/>
          <w:sz w:val="20"/>
          <w:lang w:val="es-ES"/>
        </w:rPr>
        <w:t>xenta</w:t>
      </w:r>
      <w:r w:rsidR="00E0057F" w:rsidRPr="00F32E21">
        <w:rPr>
          <w:rFonts w:ascii="Verdana" w:hAnsi="Verdana" w:cs="Arial"/>
          <w:sz w:val="20"/>
          <w:lang w:val="es-ES"/>
        </w:rPr>
        <w:t xml:space="preserve"> C</w:t>
      </w:r>
      <w:r w:rsidRPr="00F32E21">
        <w:rPr>
          <w:rFonts w:ascii="Verdana" w:hAnsi="Verdana" w:cs="Arial"/>
          <w:sz w:val="20"/>
          <w:lang w:val="es-ES"/>
        </w:rPr>
        <w:t xml:space="preserve">NE Nº </w:t>
      </w:r>
      <w:r w:rsidR="003E3380" w:rsidRPr="00F32E21">
        <w:rPr>
          <w:rFonts w:ascii="Verdana" w:hAnsi="Verdana" w:cs="Arial"/>
          <w:sz w:val="20"/>
          <w:lang w:val="es-ES"/>
        </w:rPr>
        <w:t xml:space="preserve">386 </w:t>
      </w:r>
      <w:r w:rsidR="00E0057F" w:rsidRPr="00F32E21">
        <w:rPr>
          <w:rFonts w:ascii="Verdana" w:hAnsi="Verdana" w:cs="Arial"/>
          <w:sz w:val="20"/>
          <w:lang w:val="es-ES"/>
        </w:rPr>
        <w:t>de 2007</w:t>
      </w:r>
      <w:r w:rsidRPr="00F32E21">
        <w:rPr>
          <w:rFonts w:ascii="Verdana" w:hAnsi="Verdana" w:cs="Arial"/>
          <w:sz w:val="20"/>
          <w:lang w:val="es-ES"/>
        </w:rPr>
        <w:t xml:space="preserve">, </w:t>
      </w:r>
      <w:r w:rsidR="004633C8" w:rsidRPr="00F32E21">
        <w:rPr>
          <w:rFonts w:ascii="Verdana" w:hAnsi="Verdana" w:cs="Arial"/>
          <w:sz w:val="20"/>
          <w:lang w:val="es-ES"/>
        </w:rPr>
        <w:t>é</w:t>
      </w:r>
      <w:r w:rsidR="00D948D0" w:rsidRPr="00F32E21">
        <w:rPr>
          <w:rFonts w:ascii="Verdana" w:hAnsi="Verdana" w:cs="Arial"/>
          <w:sz w:val="20"/>
          <w:lang w:val="es-ES"/>
        </w:rPr>
        <w:t xml:space="preserve">sta </w:t>
      </w:r>
      <w:r w:rsidR="00E0057F" w:rsidRPr="00F32E21">
        <w:rPr>
          <w:rFonts w:ascii="Verdana" w:hAnsi="Verdana" w:cs="Arial"/>
          <w:sz w:val="20"/>
          <w:lang w:val="es-ES"/>
        </w:rPr>
        <w:t>fue refundida</w:t>
      </w:r>
      <w:r w:rsidRPr="00F32E21">
        <w:rPr>
          <w:rFonts w:ascii="Verdana" w:hAnsi="Verdana" w:cs="Arial"/>
          <w:sz w:val="20"/>
          <w:lang w:val="es-ES"/>
        </w:rPr>
        <w:t xml:space="preserve"> en un solo texto con las</w:t>
      </w:r>
      <w:r w:rsidR="00E0057F" w:rsidRPr="00F32E21">
        <w:rPr>
          <w:rFonts w:ascii="Verdana" w:hAnsi="Verdana" w:cs="Arial"/>
          <w:sz w:val="20"/>
          <w:lang w:val="es-ES"/>
        </w:rPr>
        <w:t xml:space="preserve"> disposiciones que introdujeron</w:t>
      </w:r>
      <w:r w:rsidRPr="00F32E21">
        <w:rPr>
          <w:rFonts w:ascii="Verdana" w:hAnsi="Verdana" w:cs="Arial"/>
          <w:sz w:val="20"/>
          <w:lang w:val="es-ES"/>
        </w:rPr>
        <w:t xml:space="preserve"> modificaciones</w:t>
      </w:r>
      <w:r w:rsidR="00E0057F" w:rsidRPr="00F32E21">
        <w:rPr>
          <w:rFonts w:ascii="Verdana" w:hAnsi="Verdana" w:cs="Arial"/>
          <w:sz w:val="20"/>
          <w:lang w:val="es-ES"/>
        </w:rPr>
        <w:t xml:space="preserve">, mediante la Resolución Exenta </w:t>
      </w:r>
      <w:r w:rsidR="003E3380" w:rsidRPr="00F32E21">
        <w:rPr>
          <w:rFonts w:ascii="Verdana" w:hAnsi="Verdana" w:cs="Arial"/>
          <w:sz w:val="20"/>
          <w:lang w:val="es-ES"/>
        </w:rPr>
        <w:t>C</w:t>
      </w:r>
      <w:r w:rsidR="00E0057F" w:rsidRPr="00F32E21">
        <w:rPr>
          <w:rFonts w:ascii="Verdana" w:hAnsi="Verdana" w:cs="Arial"/>
          <w:sz w:val="20"/>
          <w:lang w:val="es-ES"/>
        </w:rPr>
        <w:t>N</w:t>
      </w:r>
      <w:r w:rsidR="008E347A" w:rsidRPr="00F32E21">
        <w:rPr>
          <w:rFonts w:ascii="Verdana" w:hAnsi="Verdana" w:cs="Arial"/>
          <w:sz w:val="20"/>
          <w:lang w:val="es-ES"/>
        </w:rPr>
        <w:t xml:space="preserve">E Nº </w:t>
      </w:r>
      <w:r w:rsidR="00393CFB" w:rsidRPr="00F32E21">
        <w:rPr>
          <w:rFonts w:ascii="Verdana" w:hAnsi="Verdana" w:cs="Arial"/>
          <w:sz w:val="20"/>
          <w:lang w:val="es-ES"/>
        </w:rPr>
        <w:t>164</w:t>
      </w:r>
      <w:r w:rsidR="008E347A" w:rsidRPr="00F32E21">
        <w:rPr>
          <w:rFonts w:ascii="Verdana" w:hAnsi="Verdana" w:cs="Arial"/>
          <w:sz w:val="20"/>
          <w:lang w:val="es-ES"/>
        </w:rPr>
        <w:t xml:space="preserve"> de </w:t>
      </w:r>
      <w:r w:rsidR="00E0057F" w:rsidRPr="00F32E21">
        <w:rPr>
          <w:rFonts w:ascii="Verdana" w:hAnsi="Verdana" w:cs="Arial"/>
          <w:sz w:val="20"/>
          <w:lang w:val="es-ES"/>
        </w:rPr>
        <w:t>2010 antes referida</w:t>
      </w:r>
      <w:r w:rsidR="00D948D0" w:rsidRPr="00F32E21">
        <w:rPr>
          <w:rFonts w:ascii="Verdana" w:hAnsi="Verdana" w:cs="Arial"/>
          <w:sz w:val="20"/>
        </w:rPr>
        <w:t>;</w:t>
      </w:r>
    </w:p>
    <w:p w14:paraId="20D3F3B2" w14:textId="77777777" w:rsidR="009808E8" w:rsidRPr="00F32E21" w:rsidRDefault="009808E8" w:rsidP="009808E8">
      <w:pPr>
        <w:pStyle w:val="Textodecuerpo"/>
        <w:ind w:left="2835"/>
        <w:rPr>
          <w:rFonts w:ascii="Verdana" w:hAnsi="Verdana" w:cs="Arial"/>
          <w:sz w:val="20"/>
          <w:lang w:val="es-ES"/>
        </w:rPr>
      </w:pPr>
    </w:p>
    <w:p w14:paraId="7E38C555" w14:textId="1F01E919" w:rsidR="00416610" w:rsidRPr="00F32E21" w:rsidRDefault="009808E8" w:rsidP="3A97257B">
      <w:pPr>
        <w:pStyle w:val="Textodecuerpo"/>
        <w:numPr>
          <w:ilvl w:val="0"/>
          <w:numId w:val="3"/>
        </w:numPr>
        <w:ind w:left="3261" w:hanging="426"/>
        <w:rPr>
          <w:rFonts w:ascii="Verdana" w:hAnsi="Verdana" w:cs="Arial"/>
          <w:sz w:val="20"/>
          <w:lang w:val="es-ES"/>
        </w:rPr>
      </w:pPr>
      <w:r w:rsidRPr="3A97257B">
        <w:rPr>
          <w:rFonts w:ascii="Verdana" w:hAnsi="Verdana" w:cs="Arial"/>
          <w:sz w:val="20"/>
        </w:rPr>
        <w:lastRenderedPageBreak/>
        <w:t xml:space="preserve">Que, de conformidad a lo señalado en el Oficio ORD. </w:t>
      </w:r>
      <w:r w:rsidR="337BA5BF" w:rsidRPr="3A97257B">
        <w:rPr>
          <w:rFonts w:ascii="Verdana" w:hAnsi="Verdana" w:cs="Arial"/>
          <w:sz w:val="20"/>
        </w:rPr>
        <w:t>538</w:t>
      </w:r>
      <w:r w:rsidR="4F34A50A" w:rsidRPr="3A97257B">
        <w:rPr>
          <w:rFonts w:ascii="Verdana" w:hAnsi="Verdana" w:cs="Arial"/>
          <w:sz w:val="20"/>
        </w:rPr>
        <w:t xml:space="preserve"> </w:t>
      </w:r>
      <w:r w:rsidRPr="3A97257B">
        <w:rPr>
          <w:rFonts w:ascii="Verdana" w:hAnsi="Verdana" w:cs="Arial"/>
          <w:sz w:val="20"/>
        </w:rPr>
        <w:t xml:space="preserve">del Ministerio de Energía, de 2020, </w:t>
      </w:r>
      <w:r w:rsidR="00416610" w:rsidRPr="3A97257B">
        <w:rPr>
          <w:rFonts w:ascii="Verdana" w:hAnsi="Verdana" w:cs="Arial"/>
          <w:sz w:val="20"/>
        </w:rPr>
        <w:t xml:space="preserve">es necesario modificar la Resolución Exenta </w:t>
      </w:r>
      <w:r w:rsidR="00416610" w:rsidRPr="3A97257B">
        <w:rPr>
          <w:rFonts w:ascii="Verdana" w:hAnsi="Verdana" w:cs="Arial"/>
          <w:sz w:val="20"/>
          <w:lang w:val="es-ES"/>
        </w:rPr>
        <w:t xml:space="preserve">Nº </w:t>
      </w:r>
      <w:r w:rsidR="00393CFB" w:rsidRPr="3A97257B">
        <w:rPr>
          <w:rFonts w:ascii="Verdana" w:hAnsi="Verdana" w:cs="Arial"/>
          <w:sz w:val="20"/>
          <w:lang w:val="es-ES"/>
        </w:rPr>
        <w:t>164</w:t>
      </w:r>
      <w:r w:rsidR="008E347A" w:rsidRPr="3A97257B">
        <w:rPr>
          <w:rFonts w:ascii="Verdana" w:hAnsi="Verdana" w:cs="Arial"/>
          <w:sz w:val="20"/>
          <w:lang w:val="es-ES"/>
        </w:rPr>
        <w:t xml:space="preserve"> de </w:t>
      </w:r>
      <w:r w:rsidR="003E3380" w:rsidRPr="3A97257B">
        <w:rPr>
          <w:rFonts w:ascii="Verdana" w:hAnsi="Verdana" w:cs="Arial"/>
          <w:sz w:val="20"/>
          <w:lang w:val="es-ES"/>
        </w:rPr>
        <w:t xml:space="preserve">2010 </w:t>
      </w:r>
      <w:r w:rsidR="00416610" w:rsidRPr="3A97257B">
        <w:rPr>
          <w:rFonts w:ascii="Verdana" w:hAnsi="Verdana" w:cs="Arial"/>
          <w:sz w:val="20"/>
          <w:lang w:val="es-ES"/>
        </w:rPr>
        <w:t>para establecer las normas que permitan la adecuada aplicación del mecanismo establecido en el artículo 148º de la Ley</w:t>
      </w:r>
      <w:r w:rsidR="00140F32" w:rsidRPr="3A97257B">
        <w:rPr>
          <w:rFonts w:ascii="Verdana" w:hAnsi="Verdana" w:cs="Arial"/>
          <w:sz w:val="20"/>
          <w:lang w:val="es-ES"/>
        </w:rPr>
        <w:t xml:space="preserve"> con el fin de </w:t>
      </w:r>
      <w:r w:rsidR="00140F32" w:rsidRPr="3A97257B">
        <w:rPr>
          <w:rFonts w:ascii="Verdana" w:hAnsi="Verdana" w:cs="Arial"/>
          <w:sz w:val="20"/>
        </w:rPr>
        <w:t>incentivar el uso de tecnologías de calefacción menos contaminantes en el marco de la crisis sanitaria que afecta al país</w:t>
      </w:r>
      <w:r w:rsidR="00416610" w:rsidRPr="3A97257B">
        <w:rPr>
          <w:rFonts w:ascii="Verdana" w:hAnsi="Verdana" w:cs="Arial"/>
          <w:sz w:val="20"/>
          <w:lang w:val="es-ES"/>
        </w:rPr>
        <w:t xml:space="preserve">; </w:t>
      </w:r>
      <w:r w:rsidR="003E3380" w:rsidRPr="3A97257B">
        <w:rPr>
          <w:rFonts w:ascii="Verdana" w:hAnsi="Verdana" w:cs="Arial"/>
          <w:sz w:val="20"/>
          <w:lang w:val="es-ES"/>
        </w:rPr>
        <w:t>y</w:t>
      </w:r>
    </w:p>
    <w:p w14:paraId="62F74DA1" w14:textId="77777777" w:rsidR="00416610" w:rsidRPr="00F32E21" w:rsidRDefault="00416610" w:rsidP="00416610">
      <w:pPr>
        <w:pStyle w:val="Textodecuerpo"/>
        <w:ind w:left="2835"/>
        <w:rPr>
          <w:rFonts w:ascii="Verdana" w:hAnsi="Verdana" w:cs="Arial"/>
          <w:sz w:val="20"/>
          <w:lang w:val="es-ES"/>
        </w:rPr>
      </w:pPr>
    </w:p>
    <w:p w14:paraId="446A0E27" w14:textId="2650431D" w:rsidR="005657E3" w:rsidRPr="00F32E21" w:rsidRDefault="003270FB" w:rsidP="00416610">
      <w:pPr>
        <w:pStyle w:val="Textodecuerpo"/>
        <w:numPr>
          <w:ilvl w:val="0"/>
          <w:numId w:val="3"/>
        </w:numPr>
        <w:ind w:left="3261" w:hanging="426"/>
        <w:rPr>
          <w:rFonts w:ascii="Verdana" w:hAnsi="Verdana" w:cs="Arial"/>
          <w:sz w:val="20"/>
          <w:lang w:val="es-ES"/>
        </w:rPr>
      </w:pPr>
      <w:r w:rsidRPr="00F32E21">
        <w:rPr>
          <w:rFonts w:ascii="Verdana" w:hAnsi="Verdana" w:cs="Arial"/>
          <w:sz w:val="20"/>
        </w:rPr>
        <w:t>Que, conforme a lo expuesto, mediante la presente</w:t>
      </w:r>
      <w:r w:rsidR="00E97C95" w:rsidRPr="00F32E21">
        <w:rPr>
          <w:rFonts w:ascii="Verdana" w:hAnsi="Verdana" w:cs="Arial"/>
          <w:sz w:val="20"/>
        </w:rPr>
        <w:t xml:space="preserve"> resolución</w:t>
      </w:r>
      <w:r w:rsidRPr="00F32E21">
        <w:rPr>
          <w:rFonts w:ascii="Verdana" w:hAnsi="Verdana" w:cs="Arial"/>
          <w:sz w:val="20"/>
        </w:rPr>
        <w:t xml:space="preserve"> se</w:t>
      </w:r>
      <w:r w:rsidR="00E476F8" w:rsidRPr="00F32E21">
        <w:rPr>
          <w:rFonts w:ascii="Verdana" w:hAnsi="Verdana" w:cs="Arial"/>
          <w:sz w:val="20"/>
        </w:rPr>
        <w:t xml:space="preserve"> introduce un nuevo Capítulo 10</w:t>
      </w:r>
      <w:r w:rsidR="003E3380" w:rsidRPr="00F32E21">
        <w:rPr>
          <w:rFonts w:ascii="Verdana" w:hAnsi="Verdana" w:cs="Arial"/>
          <w:sz w:val="20"/>
        </w:rPr>
        <w:t xml:space="preserve"> a la Resolución Exenta</w:t>
      </w:r>
      <w:r w:rsidR="001303F9" w:rsidRPr="00F32E21">
        <w:rPr>
          <w:rFonts w:ascii="Verdana" w:hAnsi="Verdana" w:cs="Arial"/>
          <w:sz w:val="20"/>
        </w:rPr>
        <w:t xml:space="preserve"> CNE</w:t>
      </w:r>
      <w:r w:rsidR="003E3380" w:rsidRPr="00F32E21">
        <w:rPr>
          <w:rFonts w:ascii="Verdana" w:hAnsi="Verdana" w:cs="Arial"/>
          <w:sz w:val="20"/>
        </w:rPr>
        <w:t xml:space="preserve"> </w:t>
      </w:r>
      <w:r w:rsidR="003E3380" w:rsidRPr="00F32E21">
        <w:rPr>
          <w:rFonts w:ascii="Verdana" w:hAnsi="Verdana" w:cs="Arial"/>
          <w:sz w:val="20"/>
          <w:lang w:val="es-ES"/>
        </w:rPr>
        <w:t xml:space="preserve">Nº </w:t>
      </w:r>
      <w:r w:rsidR="00393CFB" w:rsidRPr="00F32E21">
        <w:rPr>
          <w:rFonts w:ascii="Verdana" w:hAnsi="Verdana" w:cs="Arial"/>
          <w:sz w:val="20"/>
          <w:lang w:val="es-ES"/>
        </w:rPr>
        <w:t>164</w:t>
      </w:r>
      <w:r w:rsidR="008E347A" w:rsidRPr="00F32E21">
        <w:rPr>
          <w:rFonts w:ascii="Verdana" w:hAnsi="Verdana" w:cs="Arial"/>
          <w:sz w:val="20"/>
          <w:lang w:val="es-ES"/>
        </w:rPr>
        <w:t xml:space="preserve"> de </w:t>
      </w:r>
      <w:r w:rsidR="003E3380" w:rsidRPr="00F32E21">
        <w:rPr>
          <w:rFonts w:ascii="Verdana" w:hAnsi="Verdana" w:cs="Arial"/>
          <w:sz w:val="20"/>
          <w:lang w:val="es-ES"/>
        </w:rPr>
        <w:t xml:space="preserve">2010, </w:t>
      </w:r>
      <w:r w:rsidR="00DA4E96" w:rsidRPr="00F32E21">
        <w:rPr>
          <w:rFonts w:ascii="Verdana" w:hAnsi="Verdana" w:cs="Arial"/>
          <w:sz w:val="20"/>
        </w:rPr>
        <w:t xml:space="preserve">en </w:t>
      </w:r>
      <w:r w:rsidR="00E476F8" w:rsidRPr="00F32E21">
        <w:rPr>
          <w:rFonts w:ascii="Verdana" w:hAnsi="Verdana" w:cs="Arial"/>
          <w:sz w:val="20"/>
        </w:rPr>
        <w:t>conformidad a</w:t>
      </w:r>
      <w:r w:rsidR="00DA4E96" w:rsidRPr="00F32E21">
        <w:rPr>
          <w:rFonts w:ascii="Verdana" w:hAnsi="Verdana" w:cs="Arial"/>
          <w:sz w:val="20"/>
        </w:rPr>
        <w:t xml:space="preserve"> lo establecido en el artículo </w:t>
      </w:r>
      <w:r w:rsidR="00416610" w:rsidRPr="00F32E21">
        <w:rPr>
          <w:rFonts w:ascii="Verdana" w:hAnsi="Verdana" w:cs="Arial"/>
          <w:sz w:val="20"/>
        </w:rPr>
        <w:t>148</w:t>
      </w:r>
      <w:r w:rsidR="00416610" w:rsidRPr="00F32E21">
        <w:rPr>
          <w:rFonts w:ascii="Verdana" w:hAnsi="Verdana" w:cs="Arial"/>
          <w:sz w:val="20"/>
          <w:lang w:val="es-ES"/>
        </w:rPr>
        <w:t>º</w:t>
      </w:r>
      <w:r w:rsidR="00416610" w:rsidRPr="00F32E21">
        <w:rPr>
          <w:rFonts w:ascii="Verdana" w:hAnsi="Verdana" w:cs="Arial"/>
          <w:sz w:val="20"/>
        </w:rPr>
        <w:t xml:space="preserve"> </w:t>
      </w:r>
      <w:r w:rsidR="00DA4E96" w:rsidRPr="00F32E21">
        <w:rPr>
          <w:rFonts w:ascii="Verdana" w:hAnsi="Verdana" w:cs="Arial"/>
          <w:sz w:val="20"/>
        </w:rPr>
        <w:t xml:space="preserve"> de la Ley</w:t>
      </w:r>
      <w:r w:rsidR="005657E3" w:rsidRPr="00F32E21">
        <w:rPr>
          <w:rFonts w:ascii="Verdana" w:hAnsi="Verdana" w:cs="Arial"/>
          <w:sz w:val="20"/>
        </w:rPr>
        <w:t>.</w:t>
      </w:r>
    </w:p>
    <w:p w14:paraId="33ADC0E4" w14:textId="77777777" w:rsidR="0002249D" w:rsidRPr="00F32E21" w:rsidRDefault="0002249D" w:rsidP="005657E3">
      <w:pPr>
        <w:pStyle w:val="Textodecuerpo"/>
        <w:outlineLvl w:val="0"/>
        <w:rPr>
          <w:rFonts w:ascii="Verdana" w:hAnsi="Verdana" w:cs="Arial"/>
          <w:b/>
          <w:color w:val="auto"/>
          <w:sz w:val="20"/>
        </w:rPr>
      </w:pPr>
    </w:p>
    <w:p w14:paraId="2BCDB2B0" w14:textId="77777777" w:rsidR="003D3897" w:rsidRPr="00F32E21" w:rsidRDefault="003D3897" w:rsidP="005657E3">
      <w:pPr>
        <w:pStyle w:val="Textodecuerpo"/>
        <w:outlineLvl w:val="0"/>
        <w:rPr>
          <w:rFonts w:ascii="Verdana" w:hAnsi="Verdana" w:cs="Arial"/>
          <w:b/>
          <w:color w:val="auto"/>
          <w:sz w:val="20"/>
        </w:rPr>
      </w:pPr>
    </w:p>
    <w:p w14:paraId="0D4CC4D6" w14:textId="77777777" w:rsidR="005657E3" w:rsidRPr="00F32E21" w:rsidRDefault="005657E3" w:rsidP="003E15C4">
      <w:pPr>
        <w:pStyle w:val="Textodecuerpo"/>
        <w:outlineLvl w:val="0"/>
        <w:rPr>
          <w:rFonts w:ascii="Verdana" w:hAnsi="Verdana" w:cs="Arial"/>
          <w:b/>
          <w:color w:val="auto"/>
          <w:sz w:val="20"/>
        </w:rPr>
      </w:pPr>
      <w:r w:rsidRPr="00F32E21">
        <w:rPr>
          <w:rFonts w:ascii="Verdana" w:hAnsi="Verdana" w:cs="Arial"/>
          <w:b/>
          <w:color w:val="auto"/>
          <w:sz w:val="20"/>
        </w:rPr>
        <w:t>RESUELVO:</w:t>
      </w:r>
    </w:p>
    <w:p w14:paraId="5527F060" w14:textId="77777777" w:rsidR="003D3897" w:rsidRPr="00F32E21" w:rsidRDefault="003D3897" w:rsidP="006B53E5">
      <w:pPr>
        <w:jc w:val="both"/>
        <w:rPr>
          <w:rFonts w:ascii="Verdana" w:hAnsi="Verdana"/>
          <w:b/>
          <w:sz w:val="20"/>
          <w:szCs w:val="20"/>
        </w:rPr>
      </w:pPr>
    </w:p>
    <w:p w14:paraId="783D7A46" w14:textId="702B83E7" w:rsidR="00D631F6" w:rsidRPr="000E76AB" w:rsidRDefault="0094612C" w:rsidP="0092011E">
      <w:pPr>
        <w:jc w:val="both"/>
        <w:rPr>
          <w:rFonts w:ascii="Verdana" w:hAnsi="Verdana" w:cs="Arial"/>
          <w:sz w:val="20"/>
          <w:szCs w:val="20"/>
        </w:rPr>
      </w:pPr>
      <w:r w:rsidRPr="00F32E21">
        <w:rPr>
          <w:rFonts w:ascii="Verdana" w:hAnsi="Verdana"/>
          <w:b/>
          <w:sz w:val="20"/>
          <w:szCs w:val="20"/>
        </w:rPr>
        <w:t>ARTÍCULO PRIMERO</w:t>
      </w:r>
      <w:r w:rsidRPr="00F32E21">
        <w:rPr>
          <w:rFonts w:ascii="Verdana" w:hAnsi="Verdana"/>
          <w:b/>
          <w:bCs/>
          <w:w w:val="99"/>
          <w:sz w:val="20"/>
          <w:szCs w:val="20"/>
        </w:rPr>
        <w:t>:</w:t>
      </w:r>
      <w:r w:rsidR="00487B94" w:rsidRPr="00F32E21">
        <w:rPr>
          <w:rFonts w:ascii="Verdana" w:hAnsi="Verdana" w:cs="Arial"/>
          <w:color w:val="000000"/>
          <w:sz w:val="20"/>
          <w:szCs w:val="20"/>
          <w:lang w:val="es-CL"/>
        </w:rPr>
        <w:t xml:space="preserve"> </w:t>
      </w:r>
      <w:r w:rsidR="002645BB" w:rsidRPr="00F32E21">
        <w:rPr>
          <w:rFonts w:ascii="Verdana" w:hAnsi="Verdana" w:cs="Arial"/>
          <w:color w:val="000000"/>
          <w:sz w:val="20"/>
          <w:szCs w:val="20"/>
        </w:rPr>
        <w:t>Introdúzcase</w:t>
      </w:r>
      <w:r w:rsidR="00E476F8" w:rsidRPr="00F32E21">
        <w:rPr>
          <w:rFonts w:ascii="Verdana" w:hAnsi="Verdana" w:cs="Arial"/>
          <w:color w:val="000000"/>
          <w:sz w:val="20"/>
          <w:szCs w:val="20"/>
        </w:rPr>
        <w:t xml:space="preserve"> </w:t>
      </w:r>
      <w:r w:rsidR="00D631F6" w:rsidRPr="00F32E21">
        <w:rPr>
          <w:rFonts w:ascii="Verdana" w:hAnsi="Verdana" w:cs="Arial"/>
          <w:color w:val="000000"/>
          <w:sz w:val="20"/>
          <w:szCs w:val="20"/>
        </w:rPr>
        <w:t>el siguiente</w:t>
      </w:r>
      <w:r w:rsidR="001303F9" w:rsidRPr="00F32E21">
        <w:rPr>
          <w:rFonts w:ascii="Verdana" w:hAnsi="Verdana" w:cs="Arial"/>
          <w:color w:val="000000"/>
          <w:sz w:val="20"/>
          <w:szCs w:val="20"/>
        </w:rPr>
        <w:t xml:space="preserve"> </w:t>
      </w:r>
      <w:r w:rsidR="00D631F6" w:rsidRPr="00F32E21">
        <w:rPr>
          <w:rFonts w:ascii="Verdana" w:hAnsi="Verdana" w:cs="Arial"/>
          <w:color w:val="000000"/>
          <w:sz w:val="20"/>
          <w:szCs w:val="20"/>
        </w:rPr>
        <w:t>c</w:t>
      </w:r>
      <w:r w:rsidR="00E476F8" w:rsidRPr="00F32E21">
        <w:rPr>
          <w:rFonts w:ascii="Verdana" w:hAnsi="Verdana" w:cs="Arial"/>
          <w:color w:val="000000"/>
          <w:sz w:val="20"/>
          <w:szCs w:val="20"/>
        </w:rPr>
        <w:t xml:space="preserve">apítulo a la </w:t>
      </w:r>
      <w:r w:rsidR="001303F9" w:rsidRPr="000E76AB">
        <w:rPr>
          <w:rFonts w:ascii="Verdana" w:hAnsi="Verdana" w:cs="Arial"/>
          <w:sz w:val="20"/>
          <w:szCs w:val="20"/>
        </w:rPr>
        <w:t xml:space="preserve">Resolución Exenta CNE Nº </w:t>
      </w:r>
      <w:r w:rsidR="00393CFB" w:rsidRPr="000E76AB">
        <w:rPr>
          <w:rFonts w:ascii="Verdana" w:hAnsi="Verdana" w:cs="Arial"/>
          <w:sz w:val="20"/>
          <w:szCs w:val="20"/>
        </w:rPr>
        <w:t>164</w:t>
      </w:r>
      <w:r w:rsidR="008E347A" w:rsidRPr="000E76AB">
        <w:rPr>
          <w:rFonts w:ascii="Verdana" w:hAnsi="Verdana" w:cs="Arial"/>
          <w:sz w:val="20"/>
          <w:szCs w:val="20"/>
        </w:rPr>
        <w:t xml:space="preserve"> de </w:t>
      </w:r>
      <w:r w:rsidR="001303F9" w:rsidRPr="000E76AB">
        <w:rPr>
          <w:rFonts w:ascii="Verdana" w:hAnsi="Verdana" w:cs="Arial"/>
          <w:sz w:val="20"/>
          <w:szCs w:val="20"/>
        </w:rPr>
        <w:t>2010</w:t>
      </w:r>
      <w:r w:rsidR="00D631F6" w:rsidRPr="000E76AB">
        <w:rPr>
          <w:rFonts w:ascii="Verdana" w:hAnsi="Verdana" w:cs="Arial"/>
          <w:sz w:val="20"/>
          <w:szCs w:val="20"/>
        </w:rPr>
        <w:t xml:space="preserve">. </w:t>
      </w:r>
    </w:p>
    <w:p w14:paraId="6988C2BE" w14:textId="77777777" w:rsidR="00D631F6" w:rsidRPr="000E76AB" w:rsidRDefault="00D631F6" w:rsidP="0092011E">
      <w:pPr>
        <w:jc w:val="both"/>
        <w:rPr>
          <w:rFonts w:ascii="Verdana" w:hAnsi="Verdana" w:cs="Arial"/>
          <w:sz w:val="20"/>
          <w:szCs w:val="20"/>
        </w:rPr>
      </w:pPr>
    </w:p>
    <w:p w14:paraId="3EA3E1D8" w14:textId="76A6F58B" w:rsidR="0092011E" w:rsidRPr="000E76AB" w:rsidRDefault="00D631F6" w:rsidP="0092011E">
      <w:pPr>
        <w:jc w:val="both"/>
        <w:rPr>
          <w:rFonts w:ascii="Verdana" w:hAnsi="Verdana" w:cs="Arial"/>
          <w:sz w:val="20"/>
          <w:szCs w:val="20"/>
        </w:rPr>
      </w:pPr>
      <w:r w:rsidRPr="000E76AB">
        <w:rPr>
          <w:rFonts w:ascii="Verdana" w:hAnsi="Verdana" w:cs="Arial"/>
          <w:sz w:val="20"/>
          <w:szCs w:val="20"/>
        </w:rPr>
        <w:t xml:space="preserve">Capítulo 10: </w:t>
      </w:r>
      <w:r w:rsidR="00077A68" w:rsidRPr="000E76AB">
        <w:rPr>
          <w:rFonts w:ascii="Verdana" w:hAnsi="Verdana" w:cs="Arial"/>
          <w:sz w:val="20"/>
          <w:szCs w:val="20"/>
        </w:rPr>
        <w:t>E</w:t>
      </w:r>
      <w:r w:rsidRPr="000E76AB">
        <w:rPr>
          <w:rFonts w:ascii="Verdana" w:hAnsi="Verdana" w:cs="Arial"/>
          <w:sz w:val="20"/>
          <w:szCs w:val="20"/>
        </w:rPr>
        <w:t>stablece</w:t>
      </w:r>
      <w:r w:rsidR="0044731F" w:rsidRPr="000E76AB">
        <w:rPr>
          <w:rFonts w:ascii="Verdana" w:hAnsi="Verdana" w:cs="Arial"/>
          <w:sz w:val="20"/>
          <w:szCs w:val="20"/>
        </w:rPr>
        <w:t xml:space="preserve"> </w:t>
      </w:r>
      <w:r w:rsidR="0092011E" w:rsidRPr="000E76AB">
        <w:rPr>
          <w:rFonts w:ascii="Verdana" w:hAnsi="Verdana" w:cs="Arial"/>
          <w:sz w:val="20"/>
          <w:szCs w:val="20"/>
        </w:rPr>
        <w:t xml:space="preserve">las condiciones para la realización de </w:t>
      </w:r>
      <w:r w:rsidR="00F9049A" w:rsidRPr="000E76AB">
        <w:rPr>
          <w:rFonts w:ascii="Verdana" w:hAnsi="Verdana" w:cs="Arial"/>
          <w:sz w:val="20"/>
          <w:szCs w:val="20"/>
        </w:rPr>
        <w:t>ofertas por aumento</w:t>
      </w:r>
      <w:r w:rsidR="00BE295D">
        <w:rPr>
          <w:rFonts w:ascii="Verdana" w:hAnsi="Verdana" w:cs="Arial"/>
          <w:sz w:val="20"/>
          <w:szCs w:val="20"/>
        </w:rPr>
        <w:t>s</w:t>
      </w:r>
      <w:r w:rsidR="00F9049A" w:rsidRPr="000E76AB">
        <w:rPr>
          <w:rFonts w:ascii="Verdana" w:hAnsi="Verdana" w:cs="Arial"/>
          <w:sz w:val="20"/>
          <w:szCs w:val="20"/>
        </w:rPr>
        <w:t xml:space="preserve"> de consumo</w:t>
      </w:r>
      <w:r w:rsidR="0092011E" w:rsidRPr="000E76AB">
        <w:rPr>
          <w:rFonts w:ascii="Verdana" w:hAnsi="Verdana" w:cs="Arial"/>
          <w:sz w:val="20"/>
          <w:szCs w:val="20"/>
        </w:rPr>
        <w:t>, que tenga</w:t>
      </w:r>
      <w:r w:rsidR="00BE295D">
        <w:rPr>
          <w:rFonts w:ascii="Verdana" w:hAnsi="Verdana" w:cs="Arial"/>
          <w:sz w:val="20"/>
          <w:szCs w:val="20"/>
        </w:rPr>
        <w:t>n</w:t>
      </w:r>
      <w:r w:rsidR="0092011E" w:rsidRPr="000E76AB">
        <w:rPr>
          <w:rFonts w:ascii="Verdana" w:hAnsi="Verdana" w:cs="Arial"/>
          <w:sz w:val="20"/>
          <w:szCs w:val="20"/>
        </w:rPr>
        <w:t xml:space="preserve"> por objeto la realización de </w:t>
      </w:r>
      <w:r w:rsidR="00BE295D">
        <w:rPr>
          <w:rFonts w:ascii="Verdana" w:hAnsi="Verdana" w:cs="Arial"/>
          <w:sz w:val="20"/>
          <w:szCs w:val="20"/>
        </w:rPr>
        <w:t>re</w:t>
      </w:r>
      <w:r w:rsidR="0092011E" w:rsidRPr="000E76AB">
        <w:rPr>
          <w:rFonts w:ascii="Verdana" w:hAnsi="Verdana" w:cs="Arial"/>
          <w:sz w:val="20"/>
          <w:szCs w:val="20"/>
        </w:rPr>
        <w:t xml:space="preserve">conversiones </w:t>
      </w:r>
      <w:r w:rsidR="00BE295D" w:rsidRPr="000E76AB">
        <w:rPr>
          <w:rFonts w:ascii="Verdana" w:hAnsi="Verdana" w:cs="Arial"/>
          <w:sz w:val="20"/>
          <w:szCs w:val="20"/>
        </w:rPr>
        <w:t xml:space="preserve">para </w:t>
      </w:r>
      <w:r w:rsidR="00BE295D">
        <w:rPr>
          <w:rFonts w:ascii="Verdana" w:hAnsi="Verdana" w:cs="Arial"/>
          <w:sz w:val="20"/>
          <w:szCs w:val="20"/>
        </w:rPr>
        <w:t xml:space="preserve">transición </w:t>
      </w:r>
      <w:r w:rsidR="0092011E" w:rsidRPr="000E76AB">
        <w:rPr>
          <w:rFonts w:ascii="Verdana" w:hAnsi="Verdana" w:cs="Arial"/>
          <w:sz w:val="20"/>
          <w:szCs w:val="20"/>
        </w:rPr>
        <w:t>energética</w:t>
      </w:r>
      <w:r w:rsidR="00BE295D" w:rsidRPr="000E76AB" w:rsidDel="00BE295D">
        <w:rPr>
          <w:rFonts w:ascii="Verdana" w:hAnsi="Verdana" w:cs="Arial"/>
          <w:sz w:val="20"/>
          <w:szCs w:val="20"/>
        </w:rPr>
        <w:t xml:space="preserve"> </w:t>
      </w:r>
      <w:r w:rsidR="0092011E" w:rsidRPr="000E76AB">
        <w:rPr>
          <w:rFonts w:ascii="Verdana" w:hAnsi="Verdana" w:cs="Arial"/>
          <w:sz w:val="20"/>
          <w:szCs w:val="20"/>
        </w:rPr>
        <w:t>residencial. </w:t>
      </w:r>
    </w:p>
    <w:p w14:paraId="301BE7BF" w14:textId="77777777" w:rsidR="00757525" w:rsidRPr="000E76AB" w:rsidRDefault="00757525" w:rsidP="0092011E">
      <w:pPr>
        <w:jc w:val="both"/>
        <w:rPr>
          <w:rFonts w:ascii="Verdana" w:hAnsi="Verdana" w:cs="Arial"/>
          <w:sz w:val="20"/>
          <w:szCs w:val="20"/>
        </w:rPr>
      </w:pPr>
    </w:p>
    <w:p w14:paraId="399660C8" w14:textId="7E26DFCF" w:rsidR="000D03DD" w:rsidRPr="00F32E21" w:rsidRDefault="00757525" w:rsidP="3A97257B">
      <w:pPr>
        <w:pStyle w:val="Textodecuerpo"/>
        <w:rPr>
          <w:rFonts w:ascii="Verdana" w:hAnsi="Verdana" w:cs="Arial"/>
          <w:sz w:val="20"/>
        </w:rPr>
      </w:pPr>
      <w:r w:rsidRPr="3A97257B">
        <w:rPr>
          <w:rFonts w:ascii="Verdana" w:hAnsi="Verdana" w:cs="Arial"/>
          <w:b/>
          <w:bCs/>
          <w:sz w:val="20"/>
        </w:rPr>
        <w:t>Artículo 64</w:t>
      </w:r>
      <w:r w:rsidRPr="3A97257B">
        <w:rPr>
          <w:rFonts w:ascii="Verdana" w:hAnsi="Verdana" w:cs="Arial"/>
          <w:b/>
          <w:bCs/>
          <w:sz w:val="20"/>
          <w:lang w:val="es-ES"/>
        </w:rPr>
        <w:t>º</w:t>
      </w:r>
      <w:r w:rsidRPr="3A97257B">
        <w:rPr>
          <w:rFonts w:ascii="Verdana" w:hAnsi="Verdana" w:cs="Arial"/>
          <w:b/>
          <w:bCs/>
          <w:sz w:val="20"/>
        </w:rPr>
        <w:t>: Principios generales de aplicación.</w:t>
      </w:r>
      <w:r w:rsidRPr="3A97257B">
        <w:rPr>
          <w:rFonts w:ascii="Verdana" w:hAnsi="Verdana" w:cs="Arial"/>
          <w:sz w:val="20"/>
        </w:rPr>
        <w:t xml:space="preserve"> L</w:t>
      </w:r>
      <w:r w:rsidR="00F9049A" w:rsidRPr="3A97257B">
        <w:rPr>
          <w:rFonts w:ascii="Verdana" w:hAnsi="Verdana" w:cs="Arial"/>
          <w:sz w:val="20"/>
        </w:rPr>
        <w:t xml:space="preserve">os generadores que suministren energía eléctrica a </w:t>
      </w:r>
      <w:r w:rsidR="00804F20" w:rsidRPr="3A97257B">
        <w:rPr>
          <w:rFonts w:ascii="Verdana" w:hAnsi="Verdana" w:cs="Arial"/>
          <w:sz w:val="20"/>
        </w:rPr>
        <w:t xml:space="preserve">usuarios finales </w:t>
      </w:r>
      <w:r w:rsidR="00C3755F" w:rsidRPr="3A97257B">
        <w:rPr>
          <w:rFonts w:ascii="Verdana" w:hAnsi="Verdana" w:cs="Arial"/>
          <w:sz w:val="20"/>
        </w:rPr>
        <w:t xml:space="preserve">sujetos a regulación de precios </w:t>
      </w:r>
      <w:r w:rsidR="00F9049A" w:rsidRPr="3A97257B">
        <w:rPr>
          <w:rFonts w:ascii="Verdana" w:hAnsi="Verdana" w:cs="Arial"/>
          <w:sz w:val="20"/>
        </w:rPr>
        <w:t xml:space="preserve">podrán realizar </w:t>
      </w:r>
      <w:r w:rsidR="00FE36E9" w:rsidRPr="3A97257B">
        <w:rPr>
          <w:rFonts w:ascii="Verdana" w:hAnsi="Verdana" w:cs="Arial"/>
          <w:sz w:val="20"/>
        </w:rPr>
        <w:t>ofertas, a través de la empresa concesionaria de</w:t>
      </w:r>
      <w:r w:rsidR="00BE295D" w:rsidRPr="3A97257B">
        <w:rPr>
          <w:rFonts w:ascii="Verdana" w:hAnsi="Verdana" w:cs="Arial"/>
          <w:sz w:val="20"/>
        </w:rPr>
        <w:t xml:space="preserve"> servicio público de</w:t>
      </w:r>
      <w:r w:rsidR="00FE36E9" w:rsidRPr="3A97257B">
        <w:rPr>
          <w:rFonts w:ascii="Verdana" w:hAnsi="Verdana" w:cs="Arial"/>
          <w:sz w:val="20"/>
        </w:rPr>
        <w:t xml:space="preserve"> distribución, a aquellos usuarios cuya</w:t>
      </w:r>
      <w:r w:rsidR="00037C05" w:rsidRPr="3A97257B">
        <w:rPr>
          <w:rFonts w:ascii="Verdana" w:hAnsi="Verdana" w:cs="Arial"/>
          <w:sz w:val="20"/>
        </w:rPr>
        <w:t xml:space="preserve"> tarifa </w:t>
      </w:r>
      <w:r w:rsidR="009947F1" w:rsidRPr="3A97257B">
        <w:rPr>
          <w:rFonts w:ascii="Verdana" w:hAnsi="Verdana" w:cs="Arial"/>
          <w:sz w:val="20"/>
        </w:rPr>
        <w:t xml:space="preserve">de electricidad vigente </w:t>
      </w:r>
      <w:r w:rsidR="00037C05" w:rsidRPr="3A97257B">
        <w:rPr>
          <w:rFonts w:ascii="Verdana" w:hAnsi="Verdana" w:cs="Arial"/>
          <w:sz w:val="20"/>
        </w:rPr>
        <w:t>sea de carácter residencial</w:t>
      </w:r>
      <w:r w:rsidR="00FE36E9" w:rsidRPr="3A97257B">
        <w:rPr>
          <w:rFonts w:ascii="Verdana" w:hAnsi="Verdana" w:cs="Arial"/>
          <w:sz w:val="20"/>
        </w:rPr>
        <w:t>, con el objeto de incentivar</w:t>
      </w:r>
      <w:r w:rsidR="00894971" w:rsidRPr="3A97257B">
        <w:rPr>
          <w:rFonts w:ascii="Verdana" w:hAnsi="Verdana" w:cs="Arial"/>
          <w:sz w:val="20"/>
        </w:rPr>
        <w:t xml:space="preserve"> aumentos de consumo a través de</w:t>
      </w:r>
      <w:r w:rsidR="00FE36E9" w:rsidRPr="3A97257B">
        <w:rPr>
          <w:rFonts w:ascii="Verdana" w:hAnsi="Verdana" w:cs="Arial"/>
          <w:sz w:val="20"/>
        </w:rPr>
        <w:t xml:space="preserve"> la realización de </w:t>
      </w:r>
      <w:r w:rsidR="00CA6624" w:rsidRPr="3A97257B">
        <w:rPr>
          <w:rFonts w:ascii="Verdana" w:hAnsi="Verdana" w:cs="Arial"/>
          <w:sz w:val="20"/>
        </w:rPr>
        <w:t>re</w:t>
      </w:r>
      <w:r w:rsidR="00FE36E9" w:rsidRPr="3A97257B">
        <w:rPr>
          <w:rFonts w:ascii="Verdana" w:hAnsi="Verdana" w:cs="Arial"/>
          <w:sz w:val="20"/>
        </w:rPr>
        <w:t xml:space="preserve">conversiones para </w:t>
      </w:r>
      <w:r w:rsidR="001B32E2" w:rsidRPr="3A97257B">
        <w:rPr>
          <w:rFonts w:ascii="Verdana" w:hAnsi="Verdana" w:cs="Arial"/>
          <w:sz w:val="20"/>
        </w:rPr>
        <w:t>transición energética</w:t>
      </w:r>
      <w:r w:rsidR="00FE36E9" w:rsidRPr="3A97257B">
        <w:rPr>
          <w:rFonts w:ascii="Verdana" w:hAnsi="Verdana" w:cs="Arial"/>
          <w:sz w:val="20"/>
        </w:rPr>
        <w:t xml:space="preserve"> residencial, </w:t>
      </w:r>
      <w:r w:rsidR="00BF505B" w:rsidRPr="3A97257B">
        <w:rPr>
          <w:rFonts w:ascii="Verdana" w:hAnsi="Verdana" w:cs="Arial"/>
          <w:sz w:val="20"/>
        </w:rPr>
        <w:t>en conformidad a las normas que se establecen en el presente capí</w:t>
      </w:r>
      <w:r w:rsidR="000D03DD" w:rsidRPr="3A97257B">
        <w:rPr>
          <w:rFonts w:ascii="Verdana" w:hAnsi="Verdana" w:cs="Arial"/>
          <w:sz w:val="20"/>
        </w:rPr>
        <w:t xml:space="preserve">tulo. </w:t>
      </w:r>
    </w:p>
    <w:p w14:paraId="590B9CB1" w14:textId="77777777" w:rsidR="000D03DD" w:rsidRPr="00F32E21" w:rsidRDefault="000D03DD" w:rsidP="00757525">
      <w:pPr>
        <w:pStyle w:val="Textodecuerpo"/>
        <w:rPr>
          <w:rFonts w:ascii="Verdana" w:hAnsi="Verdana" w:cs="Arial"/>
          <w:sz w:val="20"/>
        </w:rPr>
      </w:pPr>
    </w:p>
    <w:p w14:paraId="223FCD76" w14:textId="254DDE8D" w:rsidR="00E153EC" w:rsidRDefault="000D03DD" w:rsidP="3A97257B">
      <w:pPr>
        <w:pStyle w:val="Textodecuerpo"/>
        <w:rPr>
          <w:rFonts w:ascii="Verdana" w:hAnsi="Verdana" w:cs="Arial"/>
          <w:sz w:val="20"/>
        </w:rPr>
      </w:pPr>
      <w:r w:rsidRPr="3A97257B">
        <w:rPr>
          <w:rFonts w:ascii="Verdana" w:hAnsi="Verdana" w:cs="Arial"/>
          <w:sz w:val="20"/>
        </w:rPr>
        <w:t xml:space="preserve">Las </w:t>
      </w:r>
      <w:r w:rsidR="00BF505B" w:rsidRPr="3A97257B">
        <w:rPr>
          <w:rFonts w:ascii="Verdana" w:hAnsi="Verdana" w:cs="Arial"/>
          <w:sz w:val="20"/>
        </w:rPr>
        <w:t xml:space="preserve">ofertas </w:t>
      </w:r>
      <w:r w:rsidR="00DB4BD7" w:rsidRPr="3A97257B">
        <w:rPr>
          <w:rFonts w:ascii="Verdana" w:hAnsi="Verdana" w:cs="Arial"/>
          <w:sz w:val="20"/>
        </w:rPr>
        <w:t xml:space="preserve">podrán </w:t>
      </w:r>
      <w:r w:rsidRPr="3A97257B">
        <w:rPr>
          <w:rFonts w:ascii="Verdana" w:hAnsi="Verdana" w:cs="Arial"/>
          <w:sz w:val="20"/>
        </w:rPr>
        <w:t>r</w:t>
      </w:r>
      <w:r w:rsidR="00757525" w:rsidRPr="3A97257B">
        <w:rPr>
          <w:rFonts w:ascii="Verdana" w:hAnsi="Verdana" w:cs="Arial"/>
          <w:sz w:val="20"/>
        </w:rPr>
        <w:t xml:space="preserve">ealizarse por </w:t>
      </w:r>
      <w:r w:rsidR="001B32E2" w:rsidRPr="3A97257B">
        <w:rPr>
          <w:rFonts w:ascii="Verdana" w:hAnsi="Verdana" w:cs="Arial"/>
          <w:sz w:val="20"/>
        </w:rPr>
        <w:t>generadores</w:t>
      </w:r>
      <w:r w:rsidR="00BC722F" w:rsidRPr="3A97257B">
        <w:rPr>
          <w:rFonts w:ascii="Verdana" w:hAnsi="Verdana" w:cs="Arial"/>
          <w:sz w:val="20"/>
        </w:rPr>
        <w:t xml:space="preserve"> que cuenten </w:t>
      </w:r>
      <w:r w:rsidR="00BF505B" w:rsidRPr="3A97257B">
        <w:rPr>
          <w:rFonts w:ascii="Verdana" w:hAnsi="Verdana" w:cs="Arial"/>
          <w:sz w:val="20"/>
        </w:rPr>
        <w:t xml:space="preserve">con contratos de suministro </w:t>
      </w:r>
      <w:r w:rsidR="00F90E84" w:rsidRPr="3A97257B">
        <w:rPr>
          <w:rFonts w:ascii="Verdana" w:hAnsi="Verdana" w:cs="Arial"/>
          <w:sz w:val="20"/>
        </w:rPr>
        <w:t xml:space="preserve">con </w:t>
      </w:r>
      <w:r w:rsidR="003243F5" w:rsidRPr="3A97257B">
        <w:rPr>
          <w:rFonts w:ascii="Verdana" w:hAnsi="Verdana" w:cs="Arial"/>
          <w:sz w:val="20"/>
        </w:rPr>
        <w:t xml:space="preserve">la empresa concesionaria </w:t>
      </w:r>
      <w:r w:rsidR="00BF505B" w:rsidRPr="3A97257B">
        <w:rPr>
          <w:rFonts w:ascii="Verdana" w:hAnsi="Verdana" w:cs="Arial"/>
          <w:sz w:val="20"/>
        </w:rPr>
        <w:t xml:space="preserve">de distribución del área de concesión en la que esté ubicado el </w:t>
      </w:r>
      <w:r w:rsidR="00BE295D" w:rsidRPr="3A97257B">
        <w:rPr>
          <w:rFonts w:ascii="Verdana" w:hAnsi="Verdana" w:cs="Arial"/>
          <w:sz w:val="20"/>
        </w:rPr>
        <w:t xml:space="preserve">usuario final </w:t>
      </w:r>
      <w:r w:rsidR="005F1B16" w:rsidRPr="3A97257B">
        <w:rPr>
          <w:rFonts w:ascii="Verdana" w:hAnsi="Verdana" w:cs="Arial"/>
          <w:sz w:val="20"/>
        </w:rPr>
        <w:t>destinatario final de la oferta</w:t>
      </w:r>
      <w:r w:rsidR="00DB4BD7" w:rsidRPr="3A97257B">
        <w:rPr>
          <w:rFonts w:ascii="Verdana" w:hAnsi="Verdana" w:cs="Arial"/>
          <w:sz w:val="20"/>
        </w:rPr>
        <w:t xml:space="preserve"> y que hayan iniciado su suministro al momento de implementación de la oferta</w:t>
      </w:r>
      <w:r w:rsidR="001B32E2" w:rsidRPr="3A97257B">
        <w:rPr>
          <w:rFonts w:ascii="Verdana" w:hAnsi="Verdana" w:cs="Arial"/>
          <w:sz w:val="20"/>
        </w:rPr>
        <w:t>.</w:t>
      </w:r>
      <w:r w:rsidR="005F1B16" w:rsidRPr="3A97257B">
        <w:rPr>
          <w:rFonts w:ascii="Verdana" w:hAnsi="Verdana" w:cs="Arial"/>
          <w:sz w:val="20"/>
        </w:rPr>
        <w:t xml:space="preserve"> Los aumentos temporales de consumo </w:t>
      </w:r>
      <w:r w:rsidR="00757525" w:rsidRPr="3A97257B">
        <w:rPr>
          <w:rFonts w:ascii="Verdana" w:hAnsi="Verdana" w:cs="Arial"/>
          <w:sz w:val="20"/>
        </w:rPr>
        <w:t>se imputarán al contrato de suministro</w:t>
      </w:r>
      <w:r w:rsidR="005F1B16" w:rsidRPr="3A97257B">
        <w:rPr>
          <w:rFonts w:ascii="Verdana" w:hAnsi="Verdana" w:cs="Arial"/>
          <w:sz w:val="20"/>
        </w:rPr>
        <w:t xml:space="preserve"> </w:t>
      </w:r>
      <w:r w:rsidR="00E153EC" w:rsidRPr="3A97257B">
        <w:rPr>
          <w:rFonts w:ascii="Verdana" w:hAnsi="Verdana" w:cs="Arial"/>
          <w:sz w:val="20"/>
        </w:rPr>
        <w:t>del generador correspondiente</w:t>
      </w:r>
      <w:r w:rsidR="00757525" w:rsidRPr="3A97257B">
        <w:rPr>
          <w:rFonts w:ascii="Verdana" w:hAnsi="Verdana" w:cs="Arial"/>
          <w:sz w:val="20"/>
        </w:rPr>
        <w:t>, los cuales no p</w:t>
      </w:r>
      <w:r w:rsidR="005F1B16" w:rsidRPr="3A97257B">
        <w:rPr>
          <w:rFonts w:ascii="Verdana" w:hAnsi="Verdana" w:cs="Arial"/>
          <w:sz w:val="20"/>
        </w:rPr>
        <w:t>odrán</w:t>
      </w:r>
      <w:r w:rsidR="00757525" w:rsidRPr="3A97257B">
        <w:rPr>
          <w:rFonts w:ascii="Verdana" w:hAnsi="Verdana" w:cs="Arial"/>
          <w:sz w:val="20"/>
        </w:rPr>
        <w:t xml:space="preserve"> ser modificados</w:t>
      </w:r>
      <w:r w:rsidR="00FD6F49" w:rsidRPr="3A97257B">
        <w:rPr>
          <w:rFonts w:ascii="Verdana" w:hAnsi="Verdana" w:cs="Arial"/>
          <w:sz w:val="20"/>
        </w:rPr>
        <w:t xml:space="preserve"> con objeto de esta resolución</w:t>
      </w:r>
      <w:r w:rsidR="00757525" w:rsidRPr="3A97257B">
        <w:rPr>
          <w:rFonts w:ascii="Verdana" w:hAnsi="Verdana" w:cs="Arial"/>
          <w:sz w:val="20"/>
        </w:rPr>
        <w:t xml:space="preserve">. </w:t>
      </w:r>
    </w:p>
    <w:p w14:paraId="53B62214" w14:textId="77777777" w:rsidR="00E008B2" w:rsidRDefault="00E008B2" w:rsidP="000D03DD">
      <w:pPr>
        <w:pStyle w:val="Textodecuerpo"/>
        <w:rPr>
          <w:rFonts w:ascii="Verdana" w:hAnsi="Verdana" w:cs="Arial"/>
          <w:sz w:val="20"/>
        </w:rPr>
      </w:pPr>
    </w:p>
    <w:p w14:paraId="2D870972" w14:textId="0AF6269D" w:rsidR="000D03DD" w:rsidRPr="00F32E21" w:rsidRDefault="00484312" w:rsidP="000D03DD">
      <w:pPr>
        <w:pStyle w:val="Textodecuerpo"/>
        <w:rPr>
          <w:rFonts w:ascii="Verdana" w:hAnsi="Verdana" w:cs="Arial"/>
          <w:sz w:val="20"/>
        </w:rPr>
      </w:pPr>
      <w:r>
        <w:rPr>
          <w:rFonts w:ascii="Verdana" w:hAnsi="Verdana" w:cs="Arial"/>
          <w:sz w:val="20"/>
        </w:rPr>
        <w:t>Par estos efectos, se considerarán</w:t>
      </w:r>
      <w:r w:rsidR="00E008B2">
        <w:rPr>
          <w:rFonts w:ascii="Verdana" w:hAnsi="Verdana" w:cs="Arial"/>
          <w:sz w:val="20"/>
        </w:rPr>
        <w:t xml:space="preserve"> aumentos </w:t>
      </w:r>
      <w:r>
        <w:rPr>
          <w:rFonts w:ascii="Verdana" w:hAnsi="Verdana" w:cs="Arial"/>
          <w:sz w:val="20"/>
        </w:rPr>
        <w:t xml:space="preserve">temporales </w:t>
      </w:r>
      <w:r w:rsidR="00E008B2">
        <w:rPr>
          <w:rFonts w:ascii="Verdana" w:hAnsi="Verdana" w:cs="Arial"/>
          <w:sz w:val="20"/>
        </w:rPr>
        <w:t xml:space="preserve">de consumo todos aquellos </w:t>
      </w:r>
      <w:r w:rsidR="00E153EC">
        <w:rPr>
          <w:rFonts w:ascii="Verdana" w:hAnsi="Verdana" w:cs="Arial"/>
          <w:sz w:val="20"/>
        </w:rPr>
        <w:t xml:space="preserve">que se realicen durante el periodo definido en </w:t>
      </w:r>
      <w:r w:rsidR="00500C5A">
        <w:rPr>
          <w:rFonts w:ascii="Verdana" w:hAnsi="Verdana" w:cs="Arial"/>
          <w:sz w:val="20"/>
        </w:rPr>
        <w:t>la estrategia de recambio energético residencial</w:t>
      </w:r>
      <w:r w:rsidR="00E153EC">
        <w:rPr>
          <w:rFonts w:ascii="Verdana" w:hAnsi="Verdana" w:cs="Arial"/>
          <w:sz w:val="20"/>
        </w:rPr>
        <w:t xml:space="preserve"> del Ministerio de Energía, </w:t>
      </w:r>
      <w:r w:rsidR="00CA6624">
        <w:rPr>
          <w:rFonts w:ascii="Verdana" w:hAnsi="Verdana" w:cs="Arial"/>
          <w:sz w:val="20"/>
        </w:rPr>
        <w:t xml:space="preserve">cuya realización se enmarque dentro de </w:t>
      </w:r>
      <w:r w:rsidR="00E008B2">
        <w:rPr>
          <w:rFonts w:ascii="Verdana" w:hAnsi="Verdana" w:cs="Arial"/>
          <w:sz w:val="20"/>
        </w:rPr>
        <w:t xml:space="preserve">las condiciones y </w:t>
      </w:r>
      <w:r w:rsidR="00CA6624">
        <w:rPr>
          <w:rFonts w:ascii="Verdana" w:hAnsi="Verdana" w:cs="Arial"/>
          <w:sz w:val="20"/>
        </w:rPr>
        <w:t xml:space="preserve">objetivos establecidos por éste.  </w:t>
      </w:r>
    </w:p>
    <w:p w14:paraId="30821768" w14:textId="77777777" w:rsidR="000D03DD" w:rsidRPr="00F32E21" w:rsidRDefault="000D03DD" w:rsidP="000D03DD">
      <w:pPr>
        <w:pStyle w:val="Textodecuerpo"/>
        <w:rPr>
          <w:rFonts w:ascii="Verdana" w:hAnsi="Verdana" w:cs="Arial"/>
          <w:sz w:val="20"/>
        </w:rPr>
      </w:pPr>
    </w:p>
    <w:p w14:paraId="09C8C514" w14:textId="2ED75DFC" w:rsidR="00D027EA" w:rsidRPr="00F32E21" w:rsidRDefault="000D03DD" w:rsidP="000D03DD">
      <w:pPr>
        <w:pStyle w:val="Textodecuerpo"/>
        <w:rPr>
          <w:rFonts w:ascii="Verdana" w:hAnsi="Verdana" w:cs="Arial"/>
          <w:sz w:val="20"/>
        </w:rPr>
      </w:pPr>
      <w:r w:rsidRPr="00F32E21">
        <w:rPr>
          <w:rFonts w:ascii="Verdana" w:hAnsi="Verdana" w:cs="Arial"/>
          <w:sz w:val="20"/>
        </w:rPr>
        <w:t xml:space="preserve">Todos aquellos </w:t>
      </w:r>
      <w:r w:rsidRPr="00F32E21">
        <w:rPr>
          <w:rFonts w:ascii="Verdana" w:hAnsi="Verdana" w:cs="Arial"/>
          <w:bCs/>
          <w:sz w:val="20"/>
        </w:rPr>
        <w:t>c</w:t>
      </w:r>
      <w:r w:rsidR="00757525" w:rsidRPr="00F32E21">
        <w:rPr>
          <w:rFonts w:ascii="Verdana" w:hAnsi="Verdana" w:cs="Arial"/>
          <w:bCs/>
          <w:sz w:val="20"/>
        </w:rPr>
        <w:t>ostos</w:t>
      </w:r>
      <w:r w:rsidRPr="00F32E21">
        <w:rPr>
          <w:rFonts w:ascii="Verdana" w:hAnsi="Verdana" w:cs="Arial"/>
          <w:bCs/>
          <w:sz w:val="20"/>
        </w:rPr>
        <w:t xml:space="preserve"> adicionales que se</w:t>
      </w:r>
      <w:r w:rsidR="00757525" w:rsidRPr="00F32E21">
        <w:rPr>
          <w:rFonts w:ascii="Verdana" w:hAnsi="Verdana" w:cs="Arial"/>
          <w:sz w:val="20"/>
        </w:rPr>
        <w:t> rela</w:t>
      </w:r>
      <w:r w:rsidRPr="00F32E21">
        <w:rPr>
          <w:rFonts w:ascii="Verdana" w:hAnsi="Verdana" w:cs="Arial"/>
          <w:sz w:val="20"/>
        </w:rPr>
        <w:t>cionen</w:t>
      </w:r>
      <w:r w:rsidR="00757525" w:rsidRPr="00F32E21">
        <w:rPr>
          <w:rFonts w:ascii="Verdana" w:hAnsi="Verdana" w:cs="Arial"/>
          <w:sz w:val="20"/>
        </w:rPr>
        <w:t xml:space="preserve"> con la implementación </w:t>
      </w:r>
      <w:r w:rsidR="005F00F0">
        <w:rPr>
          <w:rFonts w:ascii="Verdana" w:hAnsi="Verdana" w:cs="Arial"/>
          <w:sz w:val="20"/>
        </w:rPr>
        <w:t xml:space="preserve">y operación </w:t>
      </w:r>
      <w:r w:rsidR="00757525" w:rsidRPr="00F32E21">
        <w:rPr>
          <w:rFonts w:ascii="Verdana" w:hAnsi="Verdana" w:cs="Arial"/>
          <w:sz w:val="20"/>
        </w:rPr>
        <w:t>del </w:t>
      </w:r>
      <w:r w:rsidR="00757525" w:rsidRPr="00F32E21">
        <w:rPr>
          <w:rFonts w:ascii="Verdana" w:hAnsi="Verdana" w:cs="Arial"/>
          <w:bCs/>
          <w:sz w:val="20"/>
        </w:rPr>
        <w:t>sistema de incentivos</w:t>
      </w:r>
      <w:r w:rsidR="00757525" w:rsidRPr="00F32E21">
        <w:rPr>
          <w:rFonts w:ascii="Verdana" w:hAnsi="Verdana" w:cs="Arial"/>
          <w:sz w:val="20"/>
        </w:rPr>
        <w:t> </w:t>
      </w:r>
      <w:r w:rsidR="005C0DE1" w:rsidRPr="00F32E21">
        <w:rPr>
          <w:rFonts w:ascii="Verdana" w:hAnsi="Verdana" w:cs="Arial"/>
          <w:sz w:val="20"/>
        </w:rPr>
        <w:t>para</w:t>
      </w:r>
      <w:r w:rsidR="00757525" w:rsidRPr="00F32E21">
        <w:rPr>
          <w:rFonts w:ascii="Verdana" w:hAnsi="Verdana" w:cs="Arial"/>
          <w:sz w:val="20"/>
        </w:rPr>
        <w:t xml:space="preserve"> aumentos de consumo </w:t>
      </w:r>
      <w:r w:rsidR="005C0DE1" w:rsidRPr="00F32E21">
        <w:rPr>
          <w:rFonts w:ascii="Verdana" w:hAnsi="Verdana" w:cs="Arial"/>
          <w:sz w:val="20"/>
        </w:rPr>
        <w:t xml:space="preserve">que tengan por objeto </w:t>
      </w:r>
      <w:r w:rsidR="00BC722F">
        <w:rPr>
          <w:rFonts w:ascii="Verdana" w:hAnsi="Verdana" w:cs="Arial"/>
          <w:sz w:val="20"/>
        </w:rPr>
        <w:t xml:space="preserve">la </w:t>
      </w:r>
      <w:r w:rsidR="00BC722F">
        <w:rPr>
          <w:rFonts w:ascii="Verdana" w:hAnsi="Verdana" w:cs="Arial"/>
          <w:sz w:val="20"/>
        </w:rPr>
        <w:lastRenderedPageBreak/>
        <w:t xml:space="preserve">reconversión </w:t>
      </w:r>
      <w:r w:rsidR="005C0DE1" w:rsidRPr="00F32E21">
        <w:rPr>
          <w:rFonts w:ascii="Verdana" w:hAnsi="Verdana" w:cs="Arial"/>
          <w:sz w:val="20"/>
        </w:rPr>
        <w:t xml:space="preserve">para </w:t>
      </w:r>
      <w:r w:rsidR="00CA6624">
        <w:rPr>
          <w:rFonts w:ascii="Verdana" w:hAnsi="Verdana" w:cs="Arial"/>
          <w:sz w:val="20"/>
        </w:rPr>
        <w:t>transición energética</w:t>
      </w:r>
      <w:r w:rsidR="00CA6624" w:rsidRPr="00F32E21">
        <w:rPr>
          <w:rFonts w:ascii="Verdana" w:hAnsi="Verdana" w:cs="Arial"/>
          <w:sz w:val="20"/>
        </w:rPr>
        <w:t xml:space="preserve"> </w:t>
      </w:r>
      <w:r w:rsidR="005C0DE1" w:rsidRPr="00F32E21">
        <w:rPr>
          <w:rFonts w:ascii="Verdana" w:hAnsi="Verdana" w:cs="Arial"/>
          <w:sz w:val="20"/>
        </w:rPr>
        <w:t>residencial</w:t>
      </w:r>
      <w:r w:rsidRPr="00F32E21">
        <w:rPr>
          <w:rFonts w:ascii="Verdana" w:hAnsi="Verdana" w:cs="Arial"/>
          <w:sz w:val="20"/>
        </w:rPr>
        <w:t xml:space="preserve"> </w:t>
      </w:r>
      <w:r w:rsidR="00757525" w:rsidRPr="00F32E21">
        <w:rPr>
          <w:rFonts w:ascii="Verdana" w:hAnsi="Verdana" w:cs="Arial"/>
          <w:bCs/>
          <w:sz w:val="20"/>
        </w:rPr>
        <w:t>serán de cargo de</w:t>
      </w:r>
      <w:r w:rsidR="00484312">
        <w:rPr>
          <w:rFonts w:ascii="Verdana" w:hAnsi="Verdana" w:cs="Arial"/>
          <w:bCs/>
          <w:sz w:val="20"/>
        </w:rPr>
        <w:t xml:space="preserve"> </w:t>
      </w:r>
      <w:r w:rsidR="00757525" w:rsidRPr="00F32E21">
        <w:rPr>
          <w:rFonts w:ascii="Verdana" w:hAnsi="Verdana" w:cs="Arial"/>
          <w:bCs/>
          <w:sz w:val="20"/>
        </w:rPr>
        <w:t>l</w:t>
      </w:r>
      <w:r w:rsidR="00484312">
        <w:rPr>
          <w:rFonts w:ascii="Verdana" w:hAnsi="Verdana" w:cs="Arial"/>
          <w:bCs/>
          <w:sz w:val="20"/>
        </w:rPr>
        <w:t>os</w:t>
      </w:r>
      <w:r w:rsidR="00757525" w:rsidRPr="00F32E21">
        <w:rPr>
          <w:rFonts w:ascii="Verdana" w:hAnsi="Verdana" w:cs="Arial"/>
          <w:bCs/>
          <w:sz w:val="20"/>
        </w:rPr>
        <w:t xml:space="preserve"> generador</w:t>
      </w:r>
      <w:r w:rsidR="00484312">
        <w:rPr>
          <w:rFonts w:ascii="Verdana" w:hAnsi="Verdana" w:cs="Arial"/>
          <w:bCs/>
          <w:sz w:val="20"/>
        </w:rPr>
        <w:t>es</w:t>
      </w:r>
      <w:r w:rsidR="00757525" w:rsidRPr="00F32E21">
        <w:rPr>
          <w:rFonts w:ascii="Verdana" w:hAnsi="Verdana" w:cs="Arial"/>
          <w:bCs/>
          <w:sz w:val="20"/>
        </w:rPr>
        <w:t xml:space="preserve"> que realice</w:t>
      </w:r>
      <w:r w:rsidR="00484312">
        <w:rPr>
          <w:rFonts w:ascii="Verdana" w:hAnsi="Verdana" w:cs="Arial"/>
          <w:bCs/>
          <w:sz w:val="20"/>
        </w:rPr>
        <w:t>n</w:t>
      </w:r>
      <w:r w:rsidR="00757525" w:rsidRPr="00F32E21">
        <w:rPr>
          <w:rFonts w:ascii="Verdana" w:hAnsi="Verdana" w:cs="Arial"/>
          <w:bCs/>
          <w:sz w:val="20"/>
        </w:rPr>
        <w:t xml:space="preserve"> la</w:t>
      </w:r>
      <w:r w:rsidR="00484312">
        <w:rPr>
          <w:rFonts w:ascii="Verdana" w:hAnsi="Verdana" w:cs="Arial"/>
          <w:bCs/>
          <w:sz w:val="20"/>
        </w:rPr>
        <w:t>s</w:t>
      </w:r>
      <w:r w:rsidR="00757525" w:rsidRPr="00F32E21">
        <w:rPr>
          <w:rFonts w:ascii="Verdana" w:hAnsi="Verdana" w:cs="Arial"/>
          <w:bCs/>
          <w:sz w:val="20"/>
        </w:rPr>
        <w:t xml:space="preserve"> oferta</w:t>
      </w:r>
      <w:r w:rsidR="00484312">
        <w:rPr>
          <w:rFonts w:ascii="Verdana" w:hAnsi="Verdana" w:cs="Arial"/>
          <w:bCs/>
          <w:sz w:val="20"/>
        </w:rPr>
        <w:t>s</w:t>
      </w:r>
      <w:r w:rsidR="00757525" w:rsidRPr="00F32E21">
        <w:rPr>
          <w:rFonts w:ascii="Verdana" w:hAnsi="Verdana" w:cs="Arial"/>
          <w:bCs/>
          <w:sz w:val="20"/>
        </w:rPr>
        <w:t xml:space="preserve">. </w:t>
      </w:r>
    </w:p>
    <w:p w14:paraId="763D5100" w14:textId="77777777" w:rsidR="00D027EA" w:rsidRPr="00F32E21" w:rsidRDefault="00D027EA" w:rsidP="00D027EA">
      <w:pPr>
        <w:pStyle w:val="Textodecuerpo"/>
        <w:ind w:left="360"/>
        <w:rPr>
          <w:rFonts w:ascii="Verdana" w:hAnsi="Verdana" w:cs="Arial"/>
          <w:sz w:val="20"/>
        </w:rPr>
      </w:pPr>
    </w:p>
    <w:p w14:paraId="29596ACE" w14:textId="3A6BE6EF" w:rsidR="00814BBF" w:rsidRPr="00F32E21" w:rsidRDefault="00757525" w:rsidP="00757525">
      <w:pPr>
        <w:pStyle w:val="Textodecuerpo"/>
        <w:rPr>
          <w:rFonts w:ascii="Verdana" w:hAnsi="Verdana" w:cs="Arial"/>
          <w:sz w:val="20"/>
        </w:rPr>
      </w:pPr>
      <w:r w:rsidRPr="000E76AB">
        <w:rPr>
          <w:rFonts w:ascii="Verdana" w:hAnsi="Verdana" w:cs="Arial"/>
          <w:b/>
          <w:bCs/>
          <w:sz w:val="20"/>
        </w:rPr>
        <w:t>Artículo 65</w:t>
      </w:r>
      <w:r w:rsidRPr="000E76AB">
        <w:rPr>
          <w:rFonts w:ascii="Verdana" w:hAnsi="Verdana" w:cs="Arial"/>
          <w:b/>
          <w:bCs/>
          <w:sz w:val="20"/>
          <w:lang w:val="es-ES"/>
        </w:rPr>
        <w:t>º</w:t>
      </w:r>
      <w:r w:rsidRPr="000E76AB">
        <w:rPr>
          <w:rFonts w:ascii="Verdana" w:hAnsi="Verdana" w:cs="Arial"/>
          <w:b/>
          <w:bCs/>
          <w:sz w:val="20"/>
        </w:rPr>
        <w:t>: Ámbi</w:t>
      </w:r>
      <w:r w:rsidR="00170D07" w:rsidRPr="000E76AB">
        <w:rPr>
          <w:rFonts w:ascii="Verdana" w:hAnsi="Verdana" w:cs="Arial"/>
          <w:b/>
          <w:bCs/>
          <w:sz w:val="20"/>
        </w:rPr>
        <w:t>to de aplicación de las ofertas.</w:t>
      </w:r>
      <w:r w:rsidRPr="00F32E21">
        <w:rPr>
          <w:rFonts w:ascii="Verdana" w:hAnsi="Verdana" w:cs="Arial"/>
          <w:sz w:val="20"/>
        </w:rPr>
        <w:t xml:space="preserve"> </w:t>
      </w:r>
      <w:r w:rsidR="005D7A8D" w:rsidRPr="00F32E21">
        <w:rPr>
          <w:rFonts w:ascii="Verdana" w:hAnsi="Verdana" w:cs="Arial"/>
          <w:sz w:val="20"/>
        </w:rPr>
        <w:t>L</w:t>
      </w:r>
      <w:r w:rsidR="00100076">
        <w:rPr>
          <w:rFonts w:ascii="Verdana" w:hAnsi="Verdana" w:cs="Arial"/>
          <w:sz w:val="20"/>
        </w:rPr>
        <w:t>a</w:t>
      </w:r>
      <w:r w:rsidR="005D7A8D" w:rsidRPr="00F32E21">
        <w:rPr>
          <w:rFonts w:ascii="Verdana" w:hAnsi="Verdana" w:cs="Arial"/>
          <w:sz w:val="20"/>
        </w:rPr>
        <w:t>s of</w:t>
      </w:r>
      <w:r w:rsidR="00855C71" w:rsidRPr="00F32E21">
        <w:rPr>
          <w:rFonts w:ascii="Verdana" w:hAnsi="Verdana" w:cs="Arial"/>
          <w:sz w:val="20"/>
        </w:rPr>
        <w:t>ertas que realicen lo</w:t>
      </w:r>
      <w:r w:rsidR="005D7A8D" w:rsidRPr="00F32E21">
        <w:rPr>
          <w:rFonts w:ascii="Verdana" w:hAnsi="Verdana" w:cs="Arial"/>
          <w:sz w:val="20"/>
        </w:rPr>
        <w:t xml:space="preserve">s </w:t>
      </w:r>
      <w:r w:rsidR="00854CD6">
        <w:rPr>
          <w:rFonts w:ascii="Verdana" w:hAnsi="Verdana" w:cs="Arial"/>
          <w:sz w:val="20"/>
        </w:rPr>
        <w:t>generadores</w:t>
      </w:r>
      <w:r w:rsidR="005D7A8D" w:rsidRPr="00F32E21">
        <w:rPr>
          <w:rFonts w:ascii="Verdana" w:hAnsi="Verdana" w:cs="Arial"/>
          <w:sz w:val="20"/>
        </w:rPr>
        <w:t xml:space="preserve"> con el fin de incentivar </w:t>
      </w:r>
      <w:r w:rsidRPr="00F32E21">
        <w:rPr>
          <w:rFonts w:ascii="Verdana" w:hAnsi="Verdana" w:cs="Arial"/>
          <w:sz w:val="20"/>
        </w:rPr>
        <w:t xml:space="preserve">aumentos de consumo por </w:t>
      </w:r>
      <w:r w:rsidR="00B51632">
        <w:rPr>
          <w:rFonts w:ascii="Verdana" w:hAnsi="Verdana" w:cs="Arial"/>
          <w:sz w:val="20"/>
        </w:rPr>
        <w:t>transición energética residencial</w:t>
      </w:r>
      <w:r w:rsidR="005D7A8D" w:rsidRPr="00F32E21">
        <w:rPr>
          <w:rFonts w:ascii="Verdana" w:hAnsi="Verdana" w:cs="Arial"/>
          <w:sz w:val="20"/>
        </w:rPr>
        <w:t xml:space="preserve"> deberán realizarse</w:t>
      </w:r>
      <w:r w:rsidRPr="00F32E21">
        <w:rPr>
          <w:rFonts w:ascii="Verdana" w:hAnsi="Verdana" w:cs="Arial"/>
          <w:sz w:val="20"/>
        </w:rPr>
        <w:t xml:space="preserve"> en el marco de </w:t>
      </w:r>
      <w:r w:rsidR="005D7A8D" w:rsidRPr="00F32E21">
        <w:rPr>
          <w:rFonts w:ascii="Verdana" w:hAnsi="Verdana" w:cs="Arial"/>
          <w:sz w:val="20"/>
        </w:rPr>
        <w:t>l</w:t>
      </w:r>
      <w:r w:rsidR="00500C5A">
        <w:rPr>
          <w:rFonts w:ascii="Verdana" w:hAnsi="Verdana" w:cs="Arial"/>
          <w:sz w:val="20"/>
        </w:rPr>
        <w:t>as</w:t>
      </w:r>
      <w:r w:rsidR="005D7A8D" w:rsidRPr="00F32E21">
        <w:rPr>
          <w:rFonts w:ascii="Verdana" w:hAnsi="Verdana" w:cs="Arial"/>
          <w:sz w:val="20"/>
        </w:rPr>
        <w:t xml:space="preserve"> </w:t>
      </w:r>
      <w:r w:rsidR="00500C5A">
        <w:rPr>
          <w:rFonts w:ascii="Verdana" w:hAnsi="Verdana" w:cs="Arial"/>
          <w:sz w:val="20"/>
        </w:rPr>
        <w:t>estrategias</w:t>
      </w:r>
      <w:r w:rsidR="005D7A8D" w:rsidRPr="00F32E21">
        <w:rPr>
          <w:rFonts w:ascii="Verdana" w:hAnsi="Verdana" w:cs="Arial"/>
          <w:sz w:val="20"/>
        </w:rPr>
        <w:t xml:space="preserve"> </w:t>
      </w:r>
      <w:r w:rsidR="00855C71" w:rsidRPr="00F32E21">
        <w:rPr>
          <w:rFonts w:ascii="Verdana" w:hAnsi="Verdana" w:cs="Arial"/>
          <w:sz w:val="20"/>
        </w:rPr>
        <w:t xml:space="preserve">que defina el Ministerio de Energía para el buen funcionamiento y desarrollo del sector, especialmente aquellas vinculadas al consumo y uso eficiente de la energía. </w:t>
      </w:r>
      <w:r w:rsidR="00814BBF" w:rsidRPr="00F32E21">
        <w:rPr>
          <w:rFonts w:ascii="Verdana" w:hAnsi="Verdana" w:cs="Arial"/>
          <w:sz w:val="20"/>
        </w:rPr>
        <w:t>Las ofertas a las que se refiere el presente capítulo serán aplicables únicamente cuando se cumplan las condiciones especiales definidas previamente por el Ministerio de Energía para la implementación d</w:t>
      </w:r>
      <w:r w:rsidR="00500C5A">
        <w:rPr>
          <w:rFonts w:ascii="Verdana" w:hAnsi="Verdana" w:cs="Arial"/>
          <w:sz w:val="20"/>
        </w:rPr>
        <w:t>e la estrategia</w:t>
      </w:r>
      <w:r w:rsidR="00814BBF" w:rsidRPr="00F32E21">
        <w:rPr>
          <w:rFonts w:ascii="Verdana" w:hAnsi="Verdana" w:cs="Arial"/>
          <w:sz w:val="20"/>
        </w:rPr>
        <w:t xml:space="preserve"> respectiva. </w:t>
      </w:r>
    </w:p>
    <w:p w14:paraId="666339C6" w14:textId="77777777" w:rsidR="005D7A8D" w:rsidRPr="00F32E21" w:rsidRDefault="005D7A8D" w:rsidP="00757525">
      <w:pPr>
        <w:pStyle w:val="Textodecuerpo"/>
        <w:rPr>
          <w:rFonts w:ascii="Verdana" w:hAnsi="Verdana" w:cs="Arial"/>
          <w:sz w:val="20"/>
        </w:rPr>
      </w:pPr>
    </w:p>
    <w:p w14:paraId="07AC5213" w14:textId="1B90AAE1" w:rsidR="00692413" w:rsidRDefault="0082789B" w:rsidP="3A97257B">
      <w:pPr>
        <w:pStyle w:val="Textodecuerpo"/>
        <w:rPr>
          <w:rFonts w:ascii="Verdana" w:hAnsi="Verdana" w:cs="Arial"/>
          <w:sz w:val="20"/>
        </w:rPr>
      </w:pPr>
      <w:r w:rsidRPr="3A97257B">
        <w:rPr>
          <w:rFonts w:ascii="Verdana" w:hAnsi="Verdana" w:cs="Arial"/>
          <w:sz w:val="20"/>
        </w:rPr>
        <w:t>Para efectos de medir los aumentos de consumo que se realicen por aplicación de dich</w:t>
      </w:r>
      <w:r w:rsidR="00500C5A">
        <w:rPr>
          <w:rFonts w:ascii="Verdana" w:hAnsi="Verdana" w:cs="Arial"/>
          <w:sz w:val="20"/>
        </w:rPr>
        <w:t>a</w:t>
      </w:r>
      <w:r w:rsidRPr="3A97257B">
        <w:rPr>
          <w:rFonts w:ascii="Verdana" w:hAnsi="Verdana" w:cs="Arial"/>
          <w:sz w:val="20"/>
        </w:rPr>
        <w:t>s es</w:t>
      </w:r>
      <w:r w:rsidR="00500C5A">
        <w:rPr>
          <w:rFonts w:ascii="Verdana" w:hAnsi="Verdana" w:cs="Arial"/>
          <w:sz w:val="20"/>
        </w:rPr>
        <w:t>trategias</w:t>
      </w:r>
      <w:r w:rsidRPr="3A97257B">
        <w:rPr>
          <w:rFonts w:ascii="Verdana" w:hAnsi="Verdana" w:cs="Arial"/>
          <w:sz w:val="20"/>
        </w:rPr>
        <w:t>, se deber</w:t>
      </w:r>
      <w:r w:rsidR="005F00F0" w:rsidRPr="3A97257B">
        <w:rPr>
          <w:rFonts w:ascii="Verdana" w:hAnsi="Verdana" w:cs="Arial"/>
          <w:sz w:val="20"/>
        </w:rPr>
        <w:t>á</w:t>
      </w:r>
      <w:r w:rsidRPr="3A97257B">
        <w:rPr>
          <w:rFonts w:ascii="Verdana" w:hAnsi="Verdana" w:cs="Arial"/>
          <w:sz w:val="20"/>
        </w:rPr>
        <w:t xml:space="preserve"> instalar </w:t>
      </w:r>
      <w:r w:rsidR="005F00F0" w:rsidRPr="3A97257B">
        <w:rPr>
          <w:rFonts w:ascii="Verdana" w:hAnsi="Verdana" w:cs="Arial"/>
          <w:sz w:val="20"/>
        </w:rPr>
        <w:t xml:space="preserve">un </w:t>
      </w:r>
      <w:r w:rsidR="00083ADA" w:rsidRPr="3A97257B">
        <w:rPr>
          <w:rFonts w:ascii="Verdana" w:hAnsi="Verdana" w:cs="Arial"/>
          <w:sz w:val="20"/>
        </w:rPr>
        <w:t>sistema de medición</w:t>
      </w:r>
      <w:r w:rsidR="005F00F0" w:rsidRPr="3A97257B">
        <w:rPr>
          <w:rFonts w:ascii="Verdana" w:hAnsi="Verdana" w:cs="Arial"/>
          <w:sz w:val="20"/>
        </w:rPr>
        <w:t xml:space="preserve"> </w:t>
      </w:r>
      <w:r w:rsidRPr="3A97257B">
        <w:rPr>
          <w:rFonts w:ascii="Verdana" w:hAnsi="Verdana" w:cs="Arial"/>
          <w:sz w:val="20"/>
        </w:rPr>
        <w:t xml:space="preserve">que permita diferenciar fehacientemente los consumos provenientes de equipos </w:t>
      </w:r>
      <w:r w:rsidR="00EE2B95" w:rsidRPr="3A97257B">
        <w:rPr>
          <w:rFonts w:ascii="Verdana" w:hAnsi="Verdana" w:cs="Arial"/>
          <w:sz w:val="20"/>
        </w:rPr>
        <w:t>que cumplan con las condiciones establecidas en l</w:t>
      </w:r>
      <w:r w:rsidR="00500C5A">
        <w:rPr>
          <w:rFonts w:ascii="Verdana" w:hAnsi="Verdana" w:cs="Arial"/>
          <w:sz w:val="20"/>
        </w:rPr>
        <w:t xml:space="preserve">as estrategias </w:t>
      </w:r>
      <w:r w:rsidR="00EE2B95" w:rsidRPr="3A97257B">
        <w:rPr>
          <w:rFonts w:ascii="Verdana" w:hAnsi="Verdana" w:cs="Arial"/>
          <w:sz w:val="20"/>
        </w:rPr>
        <w:t>de transición energética residencial</w:t>
      </w:r>
      <w:r w:rsidR="005320DE" w:rsidRPr="3A97257B">
        <w:rPr>
          <w:rFonts w:ascii="Verdana" w:hAnsi="Verdana" w:cs="Arial"/>
          <w:sz w:val="20"/>
        </w:rPr>
        <w:t xml:space="preserve"> definid</w:t>
      </w:r>
      <w:r w:rsidR="00500C5A">
        <w:rPr>
          <w:rFonts w:ascii="Verdana" w:hAnsi="Verdana" w:cs="Arial"/>
          <w:sz w:val="20"/>
        </w:rPr>
        <w:t>a</w:t>
      </w:r>
      <w:r w:rsidR="005320DE" w:rsidRPr="3A97257B">
        <w:rPr>
          <w:rFonts w:ascii="Verdana" w:hAnsi="Verdana" w:cs="Arial"/>
          <w:sz w:val="20"/>
        </w:rPr>
        <w:t>s por el Ministerio de Energía</w:t>
      </w:r>
      <w:r w:rsidR="00484312" w:rsidRPr="3A97257B">
        <w:rPr>
          <w:rFonts w:ascii="Verdana" w:hAnsi="Verdana" w:cs="Arial"/>
          <w:sz w:val="20"/>
        </w:rPr>
        <w:t>. A</w:t>
      </w:r>
      <w:r w:rsidR="00B51632" w:rsidRPr="3A97257B">
        <w:rPr>
          <w:rFonts w:ascii="Verdana" w:hAnsi="Verdana" w:cs="Arial"/>
          <w:sz w:val="20"/>
        </w:rPr>
        <w:t>simismo, dich</w:t>
      </w:r>
      <w:r w:rsidR="1AF5329B" w:rsidRPr="3A97257B">
        <w:rPr>
          <w:rFonts w:ascii="Verdana" w:hAnsi="Verdana" w:cs="Arial"/>
          <w:sz w:val="20"/>
        </w:rPr>
        <w:t>o</w:t>
      </w:r>
      <w:r w:rsidR="00B51632" w:rsidRPr="3A97257B">
        <w:rPr>
          <w:rFonts w:ascii="Verdana" w:hAnsi="Verdana" w:cs="Arial"/>
          <w:sz w:val="20"/>
        </w:rPr>
        <w:t xml:space="preserve"> </w:t>
      </w:r>
      <w:r w:rsidR="00484312" w:rsidRPr="3A97257B">
        <w:rPr>
          <w:rFonts w:ascii="Verdana" w:hAnsi="Verdana" w:cs="Arial"/>
          <w:sz w:val="20"/>
        </w:rPr>
        <w:t>sistema</w:t>
      </w:r>
      <w:r w:rsidR="00B51632" w:rsidRPr="3A97257B">
        <w:rPr>
          <w:rFonts w:ascii="Verdana" w:hAnsi="Verdana" w:cs="Arial"/>
          <w:sz w:val="20"/>
        </w:rPr>
        <w:t xml:space="preserve"> deberá permitir la posterior asignación de los </w:t>
      </w:r>
      <w:r w:rsidR="00484312" w:rsidRPr="3A97257B">
        <w:rPr>
          <w:rFonts w:ascii="Verdana" w:hAnsi="Verdana" w:cs="Arial"/>
          <w:sz w:val="20"/>
        </w:rPr>
        <w:t xml:space="preserve">correspondientes aumentos de </w:t>
      </w:r>
      <w:r w:rsidR="00B51632" w:rsidRPr="3A97257B">
        <w:rPr>
          <w:rFonts w:ascii="Verdana" w:hAnsi="Verdana" w:cs="Arial"/>
          <w:sz w:val="20"/>
        </w:rPr>
        <w:t>consumo de manera tal que facilite la facturación por parte de la concesionaria de servicio público de distribución</w:t>
      </w:r>
      <w:r w:rsidRPr="3A97257B">
        <w:rPr>
          <w:rFonts w:ascii="Verdana" w:hAnsi="Verdana" w:cs="Arial"/>
          <w:sz w:val="20"/>
        </w:rPr>
        <w:t xml:space="preserve">.  </w:t>
      </w:r>
      <w:r w:rsidR="001B3E8C" w:rsidRPr="3A97257B">
        <w:rPr>
          <w:rFonts w:ascii="Verdana" w:hAnsi="Verdana" w:cs="Arial"/>
          <w:sz w:val="20"/>
        </w:rPr>
        <w:t xml:space="preserve">Mientras </w:t>
      </w:r>
      <w:r w:rsidR="00500C5A">
        <w:rPr>
          <w:rFonts w:ascii="Verdana" w:hAnsi="Verdana" w:cs="Arial"/>
          <w:sz w:val="20"/>
        </w:rPr>
        <w:t xml:space="preserve">la estrategia </w:t>
      </w:r>
      <w:r w:rsidR="001B3E8C" w:rsidRPr="3A97257B">
        <w:rPr>
          <w:rFonts w:ascii="Verdana" w:hAnsi="Verdana" w:cs="Arial"/>
          <w:sz w:val="20"/>
        </w:rPr>
        <w:t>del Ministerio de Energía se mantenga vigente, l</w:t>
      </w:r>
      <w:r w:rsidR="004735A7" w:rsidRPr="3A97257B">
        <w:rPr>
          <w:rFonts w:ascii="Verdana" w:hAnsi="Verdana" w:cs="Arial"/>
          <w:sz w:val="20"/>
        </w:rPr>
        <w:t>os aumentos de co</w:t>
      </w:r>
      <w:r w:rsidR="00332409" w:rsidRPr="3A97257B">
        <w:rPr>
          <w:rFonts w:ascii="Verdana" w:hAnsi="Verdana" w:cs="Arial"/>
          <w:sz w:val="20"/>
        </w:rPr>
        <w:t xml:space="preserve">nsumo que se registren en el marco de </w:t>
      </w:r>
      <w:r w:rsidR="001B3E8C" w:rsidRPr="3A97257B">
        <w:rPr>
          <w:rFonts w:ascii="Verdana" w:hAnsi="Verdana" w:cs="Arial"/>
          <w:sz w:val="20"/>
        </w:rPr>
        <w:t>su aplicación</w:t>
      </w:r>
      <w:r w:rsidR="00332409" w:rsidRPr="3A97257B">
        <w:rPr>
          <w:rFonts w:ascii="Verdana" w:hAnsi="Verdana" w:cs="Arial"/>
          <w:sz w:val="20"/>
        </w:rPr>
        <w:t xml:space="preserve"> no serán considerados para efectos de </w:t>
      </w:r>
      <w:r w:rsidR="009E0923" w:rsidRPr="3A97257B">
        <w:rPr>
          <w:rFonts w:ascii="Verdana" w:hAnsi="Verdana" w:cs="Arial"/>
          <w:sz w:val="20"/>
        </w:rPr>
        <w:t xml:space="preserve">la realización anual de la proyección </w:t>
      </w:r>
      <w:r w:rsidR="00332409" w:rsidRPr="3A97257B">
        <w:rPr>
          <w:rFonts w:ascii="Verdana" w:hAnsi="Verdana" w:cs="Arial"/>
          <w:sz w:val="20"/>
        </w:rPr>
        <w:t>de demanda</w:t>
      </w:r>
      <w:r w:rsidR="009E0923" w:rsidRPr="3A97257B">
        <w:rPr>
          <w:rFonts w:ascii="Verdana" w:hAnsi="Verdana" w:cs="Arial"/>
          <w:sz w:val="20"/>
        </w:rPr>
        <w:t xml:space="preserve"> de clientes sujetos a regulación de precios,</w:t>
      </w:r>
      <w:r w:rsidR="00332409" w:rsidRPr="3A97257B">
        <w:rPr>
          <w:rFonts w:ascii="Verdana" w:hAnsi="Verdana" w:cs="Arial"/>
          <w:sz w:val="20"/>
        </w:rPr>
        <w:t xml:space="preserve"> a la que se refiere el artículo </w:t>
      </w:r>
      <w:r w:rsidR="009E0923" w:rsidRPr="3A97257B">
        <w:rPr>
          <w:rFonts w:ascii="Verdana" w:hAnsi="Verdana" w:cs="Arial"/>
          <w:sz w:val="20"/>
        </w:rPr>
        <w:t>131</w:t>
      </w:r>
      <w:r w:rsidR="009E0923" w:rsidRPr="3A97257B">
        <w:rPr>
          <w:rFonts w:ascii="Verdana" w:hAnsi="Verdana" w:cs="Arial"/>
          <w:sz w:val="20"/>
          <w:lang w:val="es-ES"/>
        </w:rPr>
        <w:t>º ter</w:t>
      </w:r>
      <w:r w:rsidR="00332409" w:rsidRPr="3A97257B">
        <w:rPr>
          <w:rFonts w:ascii="Verdana" w:hAnsi="Verdana" w:cs="Arial"/>
          <w:sz w:val="20"/>
        </w:rPr>
        <w:t xml:space="preserve"> de la Ley</w:t>
      </w:r>
      <w:r w:rsidR="009E0923" w:rsidRPr="3A97257B">
        <w:rPr>
          <w:rFonts w:ascii="Verdana" w:hAnsi="Verdana" w:cs="Arial"/>
          <w:sz w:val="20"/>
        </w:rPr>
        <w:t xml:space="preserve"> General de Servicios Eléctricos</w:t>
      </w:r>
      <w:r w:rsidR="001B3E8C" w:rsidRPr="3A97257B">
        <w:rPr>
          <w:rFonts w:ascii="Verdana" w:hAnsi="Verdana" w:cs="Arial"/>
          <w:sz w:val="20"/>
        </w:rPr>
        <w:t>.</w:t>
      </w:r>
    </w:p>
    <w:p w14:paraId="21D10446" w14:textId="77777777" w:rsidR="00B07BBA" w:rsidRPr="00F32E21" w:rsidRDefault="00B07BBA" w:rsidP="3A97257B">
      <w:pPr>
        <w:pStyle w:val="Textodecuerpo"/>
        <w:rPr>
          <w:rFonts w:ascii="Verdana" w:hAnsi="Verdana" w:cs="Arial"/>
          <w:sz w:val="20"/>
        </w:rPr>
      </w:pPr>
    </w:p>
    <w:p w14:paraId="78D56104" w14:textId="77777777" w:rsidR="005D7A8D" w:rsidRPr="00F32E21" w:rsidRDefault="005D7A8D" w:rsidP="00757525">
      <w:pPr>
        <w:pStyle w:val="Textodecuerpo"/>
        <w:rPr>
          <w:rFonts w:ascii="Verdana" w:hAnsi="Verdana" w:cs="Arial"/>
          <w:sz w:val="20"/>
        </w:rPr>
      </w:pPr>
    </w:p>
    <w:p w14:paraId="57BBC600" w14:textId="17F8390E" w:rsidR="00152F12" w:rsidRPr="00F32E21" w:rsidRDefault="00757525" w:rsidP="00757525">
      <w:pPr>
        <w:pStyle w:val="Textodecuerpo"/>
        <w:rPr>
          <w:rFonts w:ascii="Verdana" w:hAnsi="Verdana" w:cs="Arial"/>
          <w:sz w:val="20"/>
        </w:rPr>
      </w:pPr>
      <w:r w:rsidRPr="000E76AB">
        <w:rPr>
          <w:rFonts w:ascii="Verdana" w:hAnsi="Verdana" w:cs="Arial"/>
          <w:b/>
          <w:bCs/>
          <w:sz w:val="20"/>
        </w:rPr>
        <w:t>Artículo 66</w:t>
      </w:r>
      <w:r w:rsidRPr="000E76AB">
        <w:rPr>
          <w:rFonts w:ascii="Verdana" w:hAnsi="Verdana" w:cs="Arial"/>
          <w:b/>
          <w:bCs/>
          <w:sz w:val="20"/>
          <w:lang w:val="es-ES"/>
        </w:rPr>
        <w:t>º</w:t>
      </w:r>
      <w:r w:rsidRPr="000E76AB">
        <w:rPr>
          <w:rFonts w:ascii="Verdana" w:hAnsi="Verdana" w:cs="Arial"/>
          <w:b/>
          <w:bCs/>
          <w:sz w:val="20"/>
        </w:rPr>
        <w:t>:</w:t>
      </w:r>
      <w:r w:rsidR="00E655C6" w:rsidRPr="000E76AB">
        <w:rPr>
          <w:rFonts w:ascii="Verdana" w:hAnsi="Verdana" w:cs="Arial"/>
          <w:b/>
          <w:bCs/>
          <w:sz w:val="20"/>
        </w:rPr>
        <w:t xml:space="preserve"> Condicio</w:t>
      </w:r>
      <w:r w:rsidRPr="000E76AB">
        <w:rPr>
          <w:rFonts w:ascii="Verdana" w:hAnsi="Verdana" w:cs="Arial"/>
          <w:b/>
          <w:bCs/>
          <w:sz w:val="20"/>
        </w:rPr>
        <w:t>nes de las ofertas y obli</w:t>
      </w:r>
      <w:r w:rsidR="00C3755F" w:rsidRPr="000E76AB">
        <w:rPr>
          <w:rFonts w:ascii="Verdana" w:hAnsi="Verdana" w:cs="Arial"/>
          <w:b/>
          <w:bCs/>
          <w:sz w:val="20"/>
        </w:rPr>
        <w:t xml:space="preserve">gaciones de los </w:t>
      </w:r>
      <w:r w:rsidR="00854CD6">
        <w:rPr>
          <w:rFonts w:ascii="Verdana" w:hAnsi="Verdana" w:cs="Arial"/>
          <w:b/>
          <w:bCs/>
          <w:sz w:val="20"/>
        </w:rPr>
        <w:t>generadores</w:t>
      </w:r>
      <w:r w:rsidR="00C3755F" w:rsidRPr="000E76AB">
        <w:rPr>
          <w:rFonts w:ascii="Verdana" w:hAnsi="Verdana" w:cs="Arial"/>
          <w:b/>
          <w:bCs/>
          <w:sz w:val="20"/>
        </w:rPr>
        <w:t>.</w:t>
      </w:r>
      <w:r w:rsidR="00C3755F" w:rsidRPr="00F32E21">
        <w:rPr>
          <w:rFonts w:ascii="Verdana" w:hAnsi="Verdana" w:cs="Arial"/>
          <w:sz w:val="20"/>
        </w:rPr>
        <w:t xml:space="preserve"> </w:t>
      </w:r>
      <w:r w:rsidR="00152F12" w:rsidRPr="00F32E21">
        <w:rPr>
          <w:rFonts w:ascii="Verdana" w:hAnsi="Verdana" w:cs="Arial"/>
          <w:sz w:val="20"/>
        </w:rPr>
        <w:t xml:space="preserve">Las concesionarias de servicio público de distribución ubicadas en aquellas zonas sujetas a </w:t>
      </w:r>
      <w:r w:rsidR="00500C5A">
        <w:rPr>
          <w:rFonts w:ascii="Verdana" w:hAnsi="Verdana" w:cs="Arial"/>
          <w:sz w:val="20"/>
        </w:rPr>
        <w:t>estrategias</w:t>
      </w:r>
      <w:r w:rsidR="00152F12" w:rsidRPr="00F32E21">
        <w:rPr>
          <w:rFonts w:ascii="Verdana" w:hAnsi="Verdana" w:cs="Arial"/>
          <w:sz w:val="20"/>
        </w:rPr>
        <w:t xml:space="preserve"> </w:t>
      </w:r>
      <w:r w:rsidR="00595C7C">
        <w:rPr>
          <w:rFonts w:ascii="Verdana" w:hAnsi="Verdana" w:cs="Arial"/>
          <w:sz w:val="20"/>
        </w:rPr>
        <w:t>de</w:t>
      </w:r>
      <w:r w:rsidR="00152F12" w:rsidRPr="00F32E21">
        <w:rPr>
          <w:rFonts w:ascii="Verdana" w:hAnsi="Verdana" w:cs="Arial"/>
          <w:sz w:val="20"/>
        </w:rPr>
        <w:t xml:space="preserve"> reconversión energética </w:t>
      </w:r>
      <w:r w:rsidR="00595C7C">
        <w:rPr>
          <w:rFonts w:ascii="Verdana" w:hAnsi="Verdana" w:cs="Arial"/>
          <w:sz w:val="20"/>
        </w:rPr>
        <w:t>residencial</w:t>
      </w:r>
      <w:r w:rsidR="00152F12" w:rsidRPr="00F32E21">
        <w:rPr>
          <w:rFonts w:ascii="Verdana" w:hAnsi="Verdana" w:cs="Arial"/>
          <w:sz w:val="20"/>
        </w:rPr>
        <w:t xml:space="preserve"> del Ministerio de Energía </w:t>
      </w:r>
      <w:r w:rsidR="00D41FF0" w:rsidRPr="00F32E21">
        <w:rPr>
          <w:rFonts w:ascii="Verdana" w:hAnsi="Verdana" w:cs="Arial"/>
          <w:sz w:val="20"/>
        </w:rPr>
        <w:t xml:space="preserve">deberán realizar </w:t>
      </w:r>
      <w:r w:rsidR="00152F12" w:rsidRPr="00F32E21">
        <w:rPr>
          <w:rFonts w:ascii="Verdana" w:hAnsi="Verdana" w:cs="Arial"/>
          <w:sz w:val="20"/>
        </w:rPr>
        <w:t>llamado</w:t>
      </w:r>
      <w:r w:rsidR="0038740A">
        <w:rPr>
          <w:rFonts w:ascii="Verdana" w:hAnsi="Verdana" w:cs="Arial"/>
          <w:sz w:val="20"/>
        </w:rPr>
        <w:t>s</w:t>
      </w:r>
      <w:r w:rsidR="00152F12" w:rsidRPr="00F32E21">
        <w:rPr>
          <w:rFonts w:ascii="Verdana" w:hAnsi="Verdana" w:cs="Arial"/>
          <w:sz w:val="20"/>
        </w:rPr>
        <w:t xml:space="preserve"> público</w:t>
      </w:r>
      <w:r w:rsidR="0038740A">
        <w:rPr>
          <w:rFonts w:ascii="Verdana" w:hAnsi="Verdana" w:cs="Arial"/>
          <w:sz w:val="20"/>
        </w:rPr>
        <w:t>s</w:t>
      </w:r>
      <w:r w:rsidR="00152F12" w:rsidRPr="00F32E21">
        <w:rPr>
          <w:rFonts w:ascii="Verdana" w:hAnsi="Verdana" w:cs="Arial"/>
          <w:sz w:val="20"/>
        </w:rPr>
        <w:t xml:space="preserve"> a presentar ofertas </w:t>
      </w:r>
      <w:r w:rsidR="00D41FF0" w:rsidRPr="000E76AB">
        <w:rPr>
          <w:rFonts w:ascii="Verdana" w:hAnsi="Verdana" w:cs="Arial"/>
          <w:sz w:val="20"/>
        </w:rPr>
        <w:t xml:space="preserve">de aumento consumo por reconversión energética </w:t>
      </w:r>
      <w:r w:rsidR="00591A16">
        <w:rPr>
          <w:rFonts w:ascii="Verdana" w:hAnsi="Verdana" w:cs="Arial"/>
          <w:sz w:val="20"/>
        </w:rPr>
        <w:t>residencial</w:t>
      </w:r>
      <w:r w:rsidR="00D41FF0" w:rsidRPr="000E76AB">
        <w:rPr>
          <w:rFonts w:ascii="Verdana" w:hAnsi="Verdana" w:cs="Arial"/>
          <w:sz w:val="20"/>
        </w:rPr>
        <w:t xml:space="preserve">, cuyo objetivo será determinar el Descuento por unidad de aumento de consumo aplicable a sus </w:t>
      </w:r>
      <w:r w:rsidR="000C76C7">
        <w:rPr>
          <w:rFonts w:ascii="Verdana" w:hAnsi="Verdana" w:cs="Arial"/>
          <w:sz w:val="20"/>
        </w:rPr>
        <w:t>usuarios finales</w:t>
      </w:r>
      <w:r w:rsidR="000C76C7" w:rsidRPr="000E76AB">
        <w:rPr>
          <w:rFonts w:ascii="Verdana" w:hAnsi="Verdana" w:cs="Arial"/>
          <w:sz w:val="20"/>
        </w:rPr>
        <w:t xml:space="preserve"> </w:t>
      </w:r>
      <w:r w:rsidR="00D41FF0" w:rsidRPr="000E76AB">
        <w:rPr>
          <w:rFonts w:ascii="Verdana" w:hAnsi="Verdana" w:cs="Arial"/>
          <w:sz w:val="20"/>
        </w:rPr>
        <w:t xml:space="preserve">que </w:t>
      </w:r>
      <w:r w:rsidR="0004090B" w:rsidRPr="00F32E21">
        <w:rPr>
          <w:rFonts w:ascii="Verdana" w:hAnsi="Verdana" w:cs="Arial"/>
          <w:sz w:val="20"/>
        </w:rPr>
        <w:t>accedan al mecanismo de incentivo</w:t>
      </w:r>
      <w:r w:rsidR="00D41FF0" w:rsidRPr="000E76AB">
        <w:rPr>
          <w:rFonts w:ascii="Verdana" w:hAnsi="Verdana" w:cs="Arial"/>
          <w:sz w:val="20"/>
        </w:rPr>
        <w:t xml:space="preserve">. </w:t>
      </w:r>
    </w:p>
    <w:p w14:paraId="5E185149" w14:textId="2C6529BC" w:rsidR="00DD35E2" w:rsidRPr="00F32E21" w:rsidRDefault="00DD35E2" w:rsidP="00757525">
      <w:pPr>
        <w:pStyle w:val="Textodecuerpo"/>
        <w:rPr>
          <w:rFonts w:ascii="Verdana" w:hAnsi="Verdana" w:cs="Arial"/>
          <w:sz w:val="20"/>
        </w:rPr>
      </w:pPr>
    </w:p>
    <w:p w14:paraId="65F34598" w14:textId="3F9002C8" w:rsidR="00E52510" w:rsidRPr="00F32E21" w:rsidRDefault="00BE2468" w:rsidP="00757525">
      <w:pPr>
        <w:pStyle w:val="Textodecuerpo"/>
        <w:rPr>
          <w:rFonts w:ascii="Verdana" w:hAnsi="Verdana" w:cs="Arial"/>
          <w:sz w:val="20"/>
        </w:rPr>
      </w:pPr>
      <w:r w:rsidRPr="00F32E21">
        <w:rPr>
          <w:rFonts w:ascii="Verdana" w:hAnsi="Verdana" w:cs="Arial"/>
          <w:sz w:val="20"/>
        </w:rPr>
        <w:t xml:space="preserve">Las ofertas deberán </w:t>
      </w:r>
      <w:r w:rsidR="00E52510" w:rsidRPr="00F32E21">
        <w:rPr>
          <w:rFonts w:ascii="Verdana" w:hAnsi="Verdana" w:cs="Arial"/>
          <w:sz w:val="20"/>
        </w:rPr>
        <w:t xml:space="preserve">materializarse </w:t>
      </w:r>
      <w:r w:rsidR="00C354C8" w:rsidRPr="00F32E21">
        <w:rPr>
          <w:rFonts w:ascii="Verdana" w:hAnsi="Verdana" w:cs="Arial"/>
          <w:sz w:val="20"/>
        </w:rPr>
        <w:t xml:space="preserve">como un descuento </w:t>
      </w:r>
      <w:r w:rsidR="002E284A" w:rsidRPr="00F32E21">
        <w:rPr>
          <w:rFonts w:ascii="Verdana" w:hAnsi="Verdana" w:cs="Arial"/>
          <w:sz w:val="20"/>
        </w:rPr>
        <w:t xml:space="preserve">en </w:t>
      </w:r>
      <w:r w:rsidR="008B2BEB">
        <w:rPr>
          <w:rFonts w:ascii="Verdana" w:hAnsi="Verdana" w:cs="Arial"/>
          <w:sz w:val="20"/>
        </w:rPr>
        <w:t xml:space="preserve">el monto facturado </w:t>
      </w:r>
      <w:r w:rsidR="00AA4032">
        <w:rPr>
          <w:rFonts w:ascii="Verdana" w:hAnsi="Verdana" w:cs="Arial"/>
          <w:sz w:val="20"/>
        </w:rPr>
        <w:t xml:space="preserve">al usuario final </w:t>
      </w:r>
      <w:r w:rsidR="008B2BEB">
        <w:rPr>
          <w:rFonts w:ascii="Verdana" w:hAnsi="Verdana" w:cs="Arial"/>
          <w:sz w:val="20"/>
        </w:rPr>
        <w:t>en</w:t>
      </w:r>
      <w:r w:rsidR="002E284A" w:rsidRPr="00F32E21">
        <w:rPr>
          <w:rFonts w:ascii="Verdana" w:hAnsi="Verdana" w:cs="Arial"/>
          <w:sz w:val="20"/>
        </w:rPr>
        <w:t xml:space="preserve"> la boleta de suministro eléctrico de la empresa concesionaria de servicio público de distribución</w:t>
      </w:r>
      <w:r w:rsidR="00E52510" w:rsidRPr="00F32E21">
        <w:rPr>
          <w:rFonts w:ascii="Verdana" w:hAnsi="Verdana" w:cs="Arial"/>
          <w:sz w:val="20"/>
        </w:rPr>
        <w:t xml:space="preserve"> respectiva. </w:t>
      </w:r>
      <w:r w:rsidR="006C393D" w:rsidRPr="00F32E21">
        <w:rPr>
          <w:rFonts w:ascii="Verdana" w:hAnsi="Verdana" w:cs="Arial"/>
          <w:sz w:val="20"/>
        </w:rPr>
        <w:t xml:space="preserve">Para tales efectos, </w:t>
      </w:r>
      <w:r w:rsidR="006C393D" w:rsidRPr="00F32E21">
        <w:rPr>
          <w:rFonts w:ascii="Verdana" w:hAnsi="Verdana"/>
          <w:sz w:val="20"/>
        </w:rPr>
        <w:t xml:space="preserve">las ofertas realizadas por los </w:t>
      </w:r>
      <w:r w:rsidR="008E5F78">
        <w:rPr>
          <w:rFonts w:ascii="Verdana" w:hAnsi="Verdana"/>
          <w:sz w:val="20"/>
        </w:rPr>
        <w:t>generadores</w:t>
      </w:r>
      <w:r w:rsidR="008E5F78" w:rsidRPr="00F32E21">
        <w:rPr>
          <w:rFonts w:ascii="Verdana" w:hAnsi="Verdana"/>
          <w:sz w:val="20"/>
        </w:rPr>
        <w:t xml:space="preserve"> </w:t>
      </w:r>
      <w:r w:rsidR="006C393D" w:rsidRPr="00F32E21">
        <w:rPr>
          <w:rFonts w:ascii="Verdana" w:hAnsi="Verdana"/>
          <w:sz w:val="20"/>
        </w:rPr>
        <w:t>serán estandarizadas, debiendo especificar un Precio de Oferta y un Volumen de Oferta.</w:t>
      </w:r>
      <w:r w:rsidR="00891E42" w:rsidRPr="00F32E21">
        <w:rPr>
          <w:rFonts w:ascii="Verdana" w:hAnsi="Verdana" w:cs="Arial"/>
          <w:sz w:val="20"/>
        </w:rPr>
        <w:t xml:space="preserve"> </w:t>
      </w:r>
      <w:r w:rsidR="006C393D" w:rsidRPr="00F32E21">
        <w:rPr>
          <w:rFonts w:ascii="Verdana" w:hAnsi="Verdana" w:cs="Arial"/>
          <w:sz w:val="20"/>
        </w:rPr>
        <w:t xml:space="preserve">El período de vigencia de las </w:t>
      </w:r>
      <w:r w:rsidR="00E52510" w:rsidRPr="00F32E21">
        <w:rPr>
          <w:rFonts w:ascii="Verdana" w:hAnsi="Verdana" w:cs="Arial"/>
          <w:sz w:val="20"/>
        </w:rPr>
        <w:t xml:space="preserve">ofertas </w:t>
      </w:r>
      <w:r w:rsidR="006C393D" w:rsidRPr="00F32E21">
        <w:rPr>
          <w:rFonts w:ascii="Verdana" w:hAnsi="Verdana" w:cs="Arial"/>
          <w:sz w:val="20"/>
        </w:rPr>
        <w:t xml:space="preserve">se extenderá </w:t>
      </w:r>
      <w:r w:rsidR="008044DC" w:rsidRPr="00F32E21">
        <w:rPr>
          <w:rFonts w:ascii="Verdana" w:hAnsi="Verdana" w:cs="Arial"/>
          <w:sz w:val="20"/>
        </w:rPr>
        <w:t>por el</w:t>
      </w:r>
      <w:r w:rsidR="00E52510" w:rsidRPr="00F32E21">
        <w:rPr>
          <w:rFonts w:ascii="Verdana" w:hAnsi="Verdana" w:cs="Arial"/>
          <w:sz w:val="20"/>
        </w:rPr>
        <w:t xml:space="preserve"> </w:t>
      </w:r>
      <w:r w:rsidR="006C393D" w:rsidRPr="00F32E21">
        <w:rPr>
          <w:rFonts w:ascii="Verdana" w:hAnsi="Verdana" w:cs="Arial"/>
          <w:sz w:val="20"/>
        </w:rPr>
        <w:t>período</w:t>
      </w:r>
      <w:r w:rsidR="00D34414">
        <w:rPr>
          <w:rFonts w:ascii="Verdana" w:hAnsi="Verdana" w:cs="Arial"/>
          <w:sz w:val="20"/>
        </w:rPr>
        <w:t xml:space="preserve"> </w:t>
      </w:r>
      <w:r w:rsidR="00D34414" w:rsidRPr="00D34414">
        <w:rPr>
          <w:rFonts w:ascii="Verdana" w:hAnsi="Verdana" w:cs="Arial"/>
          <w:sz w:val="20"/>
          <w:u w:val="single"/>
          <w:lang w:val="es-ES"/>
        </w:rPr>
        <w:t>de meses que establezca las condiciones de licitación, el cual al menos estará</w:t>
      </w:r>
      <w:r w:rsidR="004D5EE7">
        <w:rPr>
          <w:rFonts w:ascii="Verdana" w:hAnsi="Verdana" w:cs="Arial"/>
          <w:sz w:val="20"/>
        </w:rPr>
        <w:t xml:space="preserve"> </w:t>
      </w:r>
      <w:r w:rsidR="008E5F78">
        <w:rPr>
          <w:rFonts w:ascii="Verdana" w:hAnsi="Verdana" w:cs="Arial"/>
          <w:sz w:val="20"/>
        </w:rPr>
        <w:t xml:space="preserve">comprendido entre los meses de </w:t>
      </w:r>
      <w:r w:rsidR="008E5F78" w:rsidRPr="00B1393C">
        <w:rPr>
          <w:rFonts w:ascii="Verdana" w:hAnsi="Verdana" w:cs="Arial"/>
          <w:sz w:val="20"/>
        </w:rPr>
        <w:t>abril y octubre</w:t>
      </w:r>
      <w:r w:rsidR="008E5F78">
        <w:rPr>
          <w:rFonts w:ascii="Verdana" w:hAnsi="Verdana" w:cs="Arial"/>
          <w:sz w:val="20"/>
        </w:rPr>
        <w:t xml:space="preserve"> del o los correspondientes años que sean</w:t>
      </w:r>
      <w:r w:rsidR="004D5EE7">
        <w:rPr>
          <w:rFonts w:ascii="Verdana" w:hAnsi="Verdana" w:cs="Arial"/>
          <w:sz w:val="20"/>
        </w:rPr>
        <w:t xml:space="preserve"> definido</w:t>
      </w:r>
      <w:r w:rsidR="008E5F78">
        <w:rPr>
          <w:rFonts w:ascii="Verdana" w:hAnsi="Verdana" w:cs="Arial"/>
          <w:sz w:val="20"/>
        </w:rPr>
        <w:t>s</w:t>
      </w:r>
      <w:r w:rsidR="004D5EE7">
        <w:rPr>
          <w:rFonts w:ascii="Verdana" w:hAnsi="Verdana" w:cs="Arial"/>
          <w:sz w:val="20"/>
        </w:rPr>
        <w:t xml:space="preserve"> por la Comisión en </w:t>
      </w:r>
      <w:r w:rsidR="008E5F78">
        <w:rPr>
          <w:rFonts w:ascii="Verdana" w:hAnsi="Verdana" w:cs="Arial"/>
          <w:sz w:val="20"/>
        </w:rPr>
        <w:t>las condiciones de licitación</w:t>
      </w:r>
      <w:r w:rsidR="004D5EE7">
        <w:rPr>
          <w:rFonts w:ascii="Verdana" w:hAnsi="Verdana" w:cs="Arial"/>
          <w:sz w:val="20"/>
        </w:rPr>
        <w:t>, que en cualquier caso no podrá ser superior al periodo de duración de</w:t>
      </w:r>
      <w:r w:rsidR="00500C5A">
        <w:rPr>
          <w:rFonts w:ascii="Verdana" w:hAnsi="Verdana" w:cs="Arial"/>
          <w:sz w:val="20"/>
        </w:rPr>
        <w:t xml:space="preserve"> la estrategia</w:t>
      </w:r>
      <w:r w:rsidR="004D5EE7">
        <w:rPr>
          <w:rFonts w:ascii="Verdana" w:hAnsi="Verdana" w:cs="Arial"/>
          <w:sz w:val="20"/>
        </w:rPr>
        <w:t xml:space="preserve"> </w:t>
      </w:r>
      <w:r w:rsidR="00290590">
        <w:rPr>
          <w:rFonts w:ascii="Verdana" w:hAnsi="Verdana" w:cs="Arial"/>
          <w:sz w:val="20"/>
        </w:rPr>
        <w:t>establecid</w:t>
      </w:r>
      <w:r w:rsidR="00D34414">
        <w:rPr>
          <w:rFonts w:ascii="Verdana" w:hAnsi="Verdana" w:cs="Arial"/>
          <w:sz w:val="20"/>
        </w:rPr>
        <w:t>a</w:t>
      </w:r>
      <w:r w:rsidR="00290590">
        <w:rPr>
          <w:rFonts w:ascii="Verdana" w:hAnsi="Verdana" w:cs="Arial"/>
          <w:sz w:val="20"/>
        </w:rPr>
        <w:t xml:space="preserve"> por el Ministerio de Energía</w:t>
      </w:r>
      <w:r w:rsidR="00E52510" w:rsidRPr="00F32E21">
        <w:rPr>
          <w:rFonts w:ascii="Verdana" w:hAnsi="Verdana" w:cs="Arial"/>
          <w:sz w:val="20"/>
        </w:rPr>
        <w:t xml:space="preserve">. </w:t>
      </w:r>
    </w:p>
    <w:p w14:paraId="68B41328" w14:textId="77777777" w:rsidR="00100076" w:rsidRDefault="00100076" w:rsidP="006C393D">
      <w:pPr>
        <w:pStyle w:val="Textodecuerpo"/>
        <w:rPr>
          <w:rFonts w:ascii="Verdana" w:hAnsi="Verdana"/>
          <w:sz w:val="20"/>
        </w:rPr>
      </w:pPr>
    </w:p>
    <w:p w14:paraId="132BFDB4" w14:textId="0C287C1D" w:rsidR="006C393D" w:rsidRPr="00F32E21" w:rsidRDefault="006C393D" w:rsidP="006C393D">
      <w:pPr>
        <w:pStyle w:val="Textodecuerpo"/>
        <w:rPr>
          <w:rFonts w:ascii="Verdana" w:hAnsi="Verdana"/>
          <w:sz w:val="20"/>
        </w:rPr>
      </w:pPr>
      <w:r w:rsidRPr="000E76AB">
        <w:rPr>
          <w:rFonts w:ascii="Verdana" w:hAnsi="Verdana"/>
          <w:sz w:val="20"/>
        </w:rPr>
        <w:t xml:space="preserve">Se entenderá por Precio de Oferta al precio firme que un </w:t>
      </w:r>
      <w:r w:rsidR="008E5F78">
        <w:rPr>
          <w:rFonts w:ascii="Verdana" w:hAnsi="Verdana"/>
          <w:sz w:val="20"/>
        </w:rPr>
        <w:t>generador</w:t>
      </w:r>
      <w:r w:rsidR="008E5F78" w:rsidRPr="000E76AB">
        <w:rPr>
          <w:rFonts w:ascii="Verdana" w:hAnsi="Verdana"/>
          <w:sz w:val="20"/>
        </w:rPr>
        <w:t xml:space="preserve"> </w:t>
      </w:r>
      <w:r w:rsidRPr="000E76AB">
        <w:rPr>
          <w:rFonts w:ascii="Verdana" w:hAnsi="Verdana"/>
          <w:sz w:val="20"/>
        </w:rPr>
        <w:t xml:space="preserve">se compromete a pagar por cada kilowatt-hora de aumento de consumo que realice el </w:t>
      </w:r>
      <w:r w:rsidR="000C76C7">
        <w:rPr>
          <w:rFonts w:ascii="Verdana" w:hAnsi="Verdana"/>
          <w:sz w:val="20"/>
        </w:rPr>
        <w:t>usuario final</w:t>
      </w:r>
      <w:r w:rsidR="000C76C7" w:rsidRPr="000E76AB">
        <w:rPr>
          <w:rFonts w:ascii="Verdana" w:hAnsi="Verdana"/>
          <w:sz w:val="20"/>
        </w:rPr>
        <w:t xml:space="preserve"> </w:t>
      </w:r>
      <w:r w:rsidRPr="000E76AB">
        <w:rPr>
          <w:rFonts w:ascii="Verdana" w:hAnsi="Verdana"/>
          <w:sz w:val="20"/>
        </w:rPr>
        <w:t xml:space="preserve">que </w:t>
      </w:r>
      <w:r w:rsidRPr="00F32E21">
        <w:rPr>
          <w:rFonts w:ascii="Verdana" w:hAnsi="Verdana"/>
          <w:sz w:val="20"/>
        </w:rPr>
        <w:t>accede al mecanismo de incentivo</w:t>
      </w:r>
      <w:r w:rsidRPr="000E76AB">
        <w:rPr>
          <w:rFonts w:ascii="Verdana" w:hAnsi="Verdana"/>
          <w:sz w:val="20"/>
        </w:rPr>
        <w:t>. El Precio de Oferta se establecerá en pesos por kilowatt-hora.</w:t>
      </w:r>
    </w:p>
    <w:p w14:paraId="2ABB8380" w14:textId="77777777" w:rsidR="006C393D" w:rsidRPr="000E76AB" w:rsidRDefault="006C393D" w:rsidP="000E76AB">
      <w:pPr>
        <w:pStyle w:val="Textodecuerpo"/>
        <w:rPr>
          <w:rFonts w:ascii="Verdana" w:hAnsi="Verdana"/>
          <w:sz w:val="20"/>
        </w:rPr>
      </w:pPr>
    </w:p>
    <w:p w14:paraId="4AE7F636" w14:textId="7F694E82" w:rsidR="006C393D" w:rsidRPr="00F32E21" w:rsidRDefault="006C393D" w:rsidP="006C393D">
      <w:pPr>
        <w:pStyle w:val="Textodecuerpo"/>
        <w:rPr>
          <w:rFonts w:ascii="Verdana" w:hAnsi="Verdana"/>
          <w:sz w:val="20"/>
        </w:rPr>
      </w:pPr>
      <w:r w:rsidRPr="000E76AB">
        <w:rPr>
          <w:rFonts w:ascii="Verdana" w:hAnsi="Verdana"/>
          <w:sz w:val="20"/>
        </w:rPr>
        <w:t xml:space="preserve">Por su parte, el Volumen de Oferta corresponde al monto </w:t>
      </w:r>
      <w:r w:rsidRPr="00F32E21">
        <w:rPr>
          <w:rFonts w:ascii="Verdana" w:hAnsi="Verdana"/>
          <w:sz w:val="20"/>
        </w:rPr>
        <w:t xml:space="preserve">total </w:t>
      </w:r>
      <w:r w:rsidRPr="000E76AB">
        <w:rPr>
          <w:rFonts w:ascii="Verdana" w:hAnsi="Verdana"/>
          <w:sz w:val="20"/>
        </w:rPr>
        <w:t>de energía</w:t>
      </w:r>
      <w:r w:rsidR="008E5F78">
        <w:rPr>
          <w:rFonts w:ascii="Verdana" w:hAnsi="Verdana"/>
          <w:sz w:val="20"/>
        </w:rPr>
        <w:t xml:space="preserve"> anual </w:t>
      </w:r>
      <w:r w:rsidRPr="000E76AB">
        <w:rPr>
          <w:rFonts w:ascii="Verdana" w:hAnsi="Verdana"/>
          <w:sz w:val="20"/>
        </w:rPr>
        <w:t xml:space="preserve">que el </w:t>
      </w:r>
      <w:r w:rsidR="008E5F78">
        <w:rPr>
          <w:rFonts w:ascii="Verdana" w:hAnsi="Verdana"/>
          <w:sz w:val="20"/>
        </w:rPr>
        <w:t xml:space="preserve">generador </w:t>
      </w:r>
      <w:r w:rsidRPr="000E76AB">
        <w:rPr>
          <w:rFonts w:ascii="Verdana" w:hAnsi="Verdana"/>
          <w:sz w:val="20"/>
        </w:rPr>
        <w:t xml:space="preserve">pone a disposición </w:t>
      </w:r>
      <w:r w:rsidRPr="00F32E21">
        <w:rPr>
          <w:rFonts w:ascii="Verdana" w:hAnsi="Verdana"/>
          <w:sz w:val="20"/>
        </w:rPr>
        <w:t xml:space="preserve">de la </w:t>
      </w:r>
      <w:r w:rsidR="008E5F78">
        <w:rPr>
          <w:rFonts w:ascii="Verdana" w:hAnsi="Verdana"/>
          <w:sz w:val="20"/>
        </w:rPr>
        <w:t xml:space="preserve">empresa </w:t>
      </w:r>
      <w:r w:rsidRPr="00F32E21">
        <w:rPr>
          <w:rFonts w:ascii="Verdana" w:hAnsi="Verdana"/>
          <w:sz w:val="20"/>
        </w:rPr>
        <w:t xml:space="preserve">distribuidora </w:t>
      </w:r>
      <w:r w:rsidRPr="000E76AB">
        <w:rPr>
          <w:rFonts w:ascii="Verdana" w:hAnsi="Verdana"/>
          <w:sz w:val="20"/>
        </w:rPr>
        <w:t xml:space="preserve">para </w:t>
      </w:r>
      <w:r w:rsidR="008E5F78">
        <w:rPr>
          <w:rFonts w:ascii="Verdana" w:hAnsi="Verdana"/>
          <w:sz w:val="20"/>
        </w:rPr>
        <w:t xml:space="preserve">suministrar los aumentos de consumo que accedan </w:t>
      </w:r>
      <w:r w:rsidRPr="00F32E21">
        <w:rPr>
          <w:rFonts w:ascii="Verdana" w:hAnsi="Verdana"/>
          <w:sz w:val="20"/>
        </w:rPr>
        <w:t>a su Precio de Oferta</w:t>
      </w:r>
      <w:r w:rsidRPr="000E76AB">
        <w:rPr>
          <w:rFonts w:ascii="Verdana" w:hAnsi="Verdana"/>
          <w:sz w:val="20"/>
        </w:rPr>
        <w:t xml:space="preserve">. El Volumen de Oferta no podrá ser superior al Volumen Máximo establecido por la Comisión para cada </w:t>
      </w:r>
      <w:r w:rsidR="008E5F78">
        <w:rPr>
          <w:rFonts w:ascii="Verdana" w:hAnsi="Verdana"/>
          <w:sz w:val="20"/>
        </w:rPr>
        <w:t>generador</w:t>
      </w:r>
      <w:r w:rsidR="008E5F78" w:rsidRPr="00F32E21">
        <w:rPr>
          <w:rFonts w:ascii="Verdana" w:hAnsi="Verdana"/>
          <w:sz w:val="20"/>
        </w:rPr>
        <w:t xml:space="preserve"> </w:t>
      </w:r>
      <w:r w:rsidRPr="00F32E21">
        <w:rPr>
          <w:rFonts w:ascii="Verdana" w:hAnsi="Verdana"/>
          <w:sz w:val="20"/>
        </w:rPr>
        <w:t>en el correspondiente proceso de licitación</w:t>
      </w:r>
      <w:r w:rsidR="008E5F78">
        <w:rPr>
          <w:rFonts w:ascii="Verdana" w:hAnsi="Verdana"/>
          <w:sz w:val="20"/>
        </w:rPr>
        <w:t>, y para cada año correspondiente</w:t>
      </w:r>
      <w:r w:rsidRPr="000E76AB">
        <w:rPr>
          <w:rFonts w:ascii="Verdana" w:hAnsi="Verdana"/>
          <w:sz w:val="20"/>
        </w:rPr>
        <w:t>.</w:t>
      </w:r>
    </w:p>
    <w:p w14:paraId="19B0A48E" w14:textId="76EBB0BB" w:rsidR="006C393D" w:rsidRPr="000E76AB" w:rsidRDefault="006C393D" w:rsidP="000E76AB">
      <w:pPr>
        <w:pStyle w:val="Textodecuerpo"/>
        <w:rPr>
          <w:rFonts w:ascii="Verdana" w:hAnsi="Verdana"/>
          <w:sz w:val="20"/>
        </w:rPr>
      </w:pPr>
      <w:r w:rsidRPr="000E76AB">
        <w:rPr>
          <w:rFonts w:ascii="Verdana" w:hAnsi="Verdana"/>
          <w:sz w:val="20"/>
        </w:rPr>
        <w:t xml:space="preserve"> </w:t>
      </w:r>
    </w:p>
    <w:p w14:paraId="28A59DF9" w14:textId="05F5BB54" w:rsidR="006C393D" w:rsidRPr="000E76AB" w:rsidRDefault="006C393D" w:rsidP="000E76AB">
      <w:pPr>
        <w:pStyle w:val="Textodecuerpo"/>
        <w:rPr>
          <w:rFonts w:ascii="Verdana" w:hAnsi="Verdana"/>
          <w:sz w:val="20"/>
        </w:rPr>
      </w:pPr>
      <w:r w:rsidRPr="000E76AB">
        <w:rPr>
          <w:rFonts w:ascii="Verdana" w:hAnsi="Verdana"/>
          <w:sz w:val="20"/>
        </w:rPr>
        <w:t xml:space="preserve">Asimismo, un mismo </w:t>
      </w:r>
      <w:r w:rsidR="006B7995">
        <w:rPr>
          <w:rFonts w:ascii="Verdana" w:hAnsi="Verdana"/>
          <w:sz w:val="20"/>
        </w:rPr>
        <w:t>generador</w:t>
      </w:r>
      <w:r w:rsidR="006B7995" w:rsidRPr="000E76AB">
        <w:rPr>
          <w:rFonts w:ascii="Verdana" w:hAnsi="Verdana"/>
          <w:sz w:val="20"/>
        </w:rPr>
        <w:t xml:space="preserve"> </w:t>
      </w:r>
      <w:r w:rsidRPr="000E76AB">
        <w:rPr>
          <w:rFonts w:ascii="Verdana" w:hAnsi="Verdana"/>
          <w:sz w:val="20"/>
        </w:rPr>
        <w:t>podrá efectuar más de una oferta en una misma licitación.</w:t>
      </w:r>
      <w:r w:rsidR="00C061ED">
        <w:rPr>
          <w:rFonts w:ascii="Verdana" w:hAnsi="Verdana"/>
          <w:sz w:val="20"/>
        </w:rPr>
        <w:t xml:space="preserve"> </w:t>
      </w:r>
    </w:p>
    <w:p w14:paraId="30B02633" w14:textId="70B63B6E" w:rsidR="006C393D" w:rsidRPr="00F32E21" w:rsidRDefault="006C393D" w:rsidP="00757525">
      <w:pPr>
        <w:pStyle w:val="Textodecuerpo"/>
        <w:rPr>
          <w:rFonts w:ascii="Verdana" w:hAnsi="Verdana" w:cs="Arial"/>
          <w:sz w:val="20"/>
        </w:rPr>
      </w:pPr>
    </w:p>
    <w:p w14:paraId="5F569FD0" w14:textId="15A3A935" w:rsidR="006B7995" w:rsidRDefault="002D7B0D" w:rsidP="006B7995">
      <w:pPr>
        <w:jc w:val="both"/>
        <w:rPr>
          <w:rFonts w:ascii="Verdana" w:hAnsi="Verdana" w:cs="Arial"/>
          <w:sz w:val="20"/>
          <w:szCs w:val="20"/>
        </w:rPr>
      </w:pPr>
      <w:r w:rsidRPr="3A97257B">
        <w:rPr>
          <w:rFonts w:ascii="Verdana" w:hAnsi="Verdana"/>
          <w:sz w:val="20"/>
          <w:szCs w:val="20"/>
        </w:rPr>
        <w:t xml:space="preserve">Las condiciones de licitación </w:t>
      </w:r>
      <w:r w:rsidR="006B7995" w:rsidRPr="3A97257B">
        <w:rPr>
          <w:rFonts w:ascii="Verdana" w:hAnsi="Verdana"/>
          <w:sz w:val="20"/>
          <w:szCs w:val="20"/>
        </w:rPr>
        <w:t xml:space="preserve">serán </w:t>
      </w:r>
      <w:r w:rsidRPr="3A97257B">
        <w:rPr>
          <w:rFonts w:ascii="Verdana" w:hAnsi="Verdana"/>
          <w:sz w:val="20"/>
          <w:szCs w:val="20"/>
        </w:rPr>
        <w:t xml:space="preserve">elaboradas </w:t>
      </w:r>
      <w:r w:rsidR="00DE2B27" w:rsidRPr="3A97257B">
        <w:rPr>
          <w:rFonts w:ascii="Verdana" w:hAnsi="Verdana"/>
          <w:sz w:val="20"/>
          <w:szCs w:val="20"/>
        </w:rPr>
        <w:t xml:space="preserve">por la Comisión, </w:t>
      </w:r>
      <w:r w:rsidR="006B7995" w:rsidRPr="3A97257B">
        <w:rPr>
          <w:rFonts w:ascii="Verdana" w:hAnsi="Verdana"/>
          <w:sz w:val="20"/>
          <w:szCs w:val="20"/>
        </w:rPr>
        <w:t xml:space="preserve">y </w:t>
      </w:r>
      <w:r w:rsidRPr="3A97257B">
        <w:rPr>
          <w:rFonts w:ascii="Verdana" w:hAnsi="Verdana"/>
          <w:sz w:val="20"/>
          <w:szCs w:val="20"/>
        </w:rPr>
        <w:t>deberán especificar</w:t>
      </w:r>
      <w:r w:rsidR="00BE148D" w:rsidRPr="3A97257B">
        <w:rPr>
          <w:rFonts w:ascii="Verdana" w:hAnsi="Verdana"/>
          <w:sz w:val="20"/>
          <w:szCs w:val="20"/>
        </w:rPr>
        <w:t>, al menos,</w:t>
      </w:r>
      <w:r w:rsidRPr="3A97257B">
        <w:rPr>
          <w:rFonts w:ascii="Verdana" w:hAnsi="Verdana"/>
          <w:sz w:val="20"/>
          <w:szCs w:val="20"/>
        </w:rPr>
        <w:t xml:space="preserve"> </w:t>
      </w:r>
      <w:r w:rsidR="00BE148D" w:rsidRPr="3A97257B">
        <w:rPr>
          <w:rFonts w:ascii="Verdana" w:hAnsi="Verdana"/>
          <w:sz w:val="20"/>
          <w:szCs w:val="20"/>
        </w:rPr>
        <w:t>la fecha de presentación de</w:t>
      </w:r>
      <w:r w:rsidR="006B7995" w:rsidRPr="3A97257B">
        <w:rPr>
          <w:rFonts w:ascii="Verdana" w:hAnsi="Verdana"/>
          <w:sz w:val="20"/>
          <w:szCs w:val="20"/>
        </w:rPr>
        <w:t xml:space="preserve"> las</w:t>
      </w:r>
      <w:r w:rsidR="00BE148D" w:rsidRPr="3A97257B">
        <w:rPr>
          <w:rFonts w:ascii="Verdana" w:hAnsi="Verdana"/>
          <w:sz w:val="20"/>
          <w:szCs w:val="20"/>
        </w:rPr>
        <w:t xml:space="preserve"> oferta</w:t>
      </w:r>
      <w:r w:rsidR="006B7995" w:rsidRPr="3A97257B">
        <w:rPr>
          <w:rFonts w:ascii="Verdana" w:hAnsi="Verdana"/>
          <w:sz w:val="20"/>
          <w:szCs w:val="20"/>
        </w:rPr>
        <w:t>s</w:t>
      </w:r>
      <w:r w:rsidR="00BE148D" w:rsidRPr="3A97257B">
        <w:rPr>
          <w:rFonts w:ascii="Verdana" w:hAnsi="Verdana"/>
          <w:sz w:val="20"/>
          <w:szCs w:val="20"/>
        </w:rPr>
        <w:t xml:space="preserve">, los formatos en que deben ser entregadas las </w:t>
      </w:r>
      <w:r w:rsidR="006B7995" w:rsidRPr="3A97257B">
        <w:rPr>
          <w:rFonts w:ascii="Verdana" w:hAnsi="Verdana"/>
          <w:sz w:val="20"/>
          <w:szCs w:val="20"/>
        </w:rPr>
        <w:t>o</w:t>
      </w:r>
      <w:r w:rsidR="00BE148D" w:rsidRPr="3A97257B">
        <w:rPr>
          <w:rFonts w:ascii="Verdana" w:hAnsi="Verdana"/>
          <w:sz w:val="20"/>
          <w:szCs w:val="20"/>
        </w:rPr>
        <w:t>fertas, los plazos de adjudicación</w:t>
      </w:r>
      <w:r w:rsidR="006B7995" w:rsidRPr="3A97257B">
        <w:rPr>
          <w:rFonts w:ascii="Verdana" w:hAnsi="Verdana"/>
          <w:sz w:val="20"/>
          <w:szCs w:val="20"/>
        </w:rPr>
        <w:t>, el período de años que se licita el abastecimiento de aumentos de consumo,</w:t>
      </w:r>
      <w:r w:rsidR="00BE148D" w:rsidRPr="3A97257B">
        <w:rPr>
          <w:rFonts w:ascii="Verdana" w:hAnsi="Verdana"/>
          <w:sz w:val="20"/>
          <w:szCs w:val="20"/>
        </w:rPr>
        <w:t xml:space="preserve"> </w:t>
      </w:r>
      <w:r w:rsidRPr="3A97257B">
        <w:rPr>
          <w:rFonts w:ascii="Verdana" w:hAnsi="Verdana"/>
          <w:sz w:val="20"/>
          <w:szCs w:val="20"/>
        </w:rPr>
        <w:t>el volumen</w:t>
      </w:r>
      <w:r w:rsidR="00440F2D" w:rsidRPr="3A97257B">
        <w:rPr>
          <w:rFonts w:ascii="Verdana" w:hAnsi="Verdana"/>
          <w:sz w:val="20"/>
          <w:szCs w:val="20"/>
        </w:rPr>
        <w:t xml:space="preserve"> </w:t>
      </w:r>
      <w:r w:rsidRPr="3A97257B">
        <w:rPr>
          <w:rFonts w:ascii="Verdana" w:hAnsi="Verdana"/>
          <w:sz w:val="20"/>
          <w:szCs w:val="20"/>
        </w:rPr>
        <w:t>total de energía</w:t>
      </w:r>
      <w:r w:rsidR="006B7995" w:rsidRPr="3A97257B">
        <w:rPr>
          <w:rFonts w:ascii="Verdana" w:hAnsi="Verdana"/>
          <w:sz w:val="20"/>
          <w:szCs w:val="20"/>
        </w:rPr>
        <w:t xml:space="preserve"> a licitar en cada año del referido período y la distribución mensual del requerimiento anual de energía.  Adicionalmente, las condiciones de licitación </w:t>
      </w:r>
      <w:r w:rsidR="006B7995" w:rsidRPr="3A97257B">
        <w:rPr>
          <w:rFonts w:ascii="Verdana" w:hAnsi="Verdana" w:cs="Arial"/>
          <w:sz w:val="20"/>
          <w:szCs w:val="20"/>
        </w:rPr>
        <w:t xml:space="preserve">deberán establecer el Volumen Máximo de energía anual que puede ofertar cada generador en dicho proceso, el cual será determinado en virtud de los excedentes de suministro esperados de los contratos del respectivo generador para el año correspondiente. </w:t>
      </w:r>
    </w:p>
    <w:p w14:paraId="193DE939" w14:textId="77777777" w:rsidR="006B7995" w:rsidRDefault="006B7995" w:rsidP="006B7995">
      <w:pPr>
        <w:jc w:val="both"/>
        <w:rPr>
          <w:rFonts w:ascii="Verdana" w:hAnsi="Verdana" w:cs="Arial"/>
          <w:sz w:val="20"/>
          <w:szCs w:val="20"/>
        </w:rPr>
      </w:pPr>
    </w:p>
    <w:p w14:paraId="130BA0DA" w14:textId="0DC745E8" w:rsidR="002D7B0D" w:rsidRPr="000E76AB" w:rsidRDefault="006B7995" w:rsidP="006B7995">
      <w:pPr>
        <w:jc w:val="both"/>
        <w:rPr>
          <w:rFonts w:ascii="Verdana" w:hAnsi="Verdana"/>
          <w:sz w:val="20"/>
          <w:szCs w:val="20"/>
        </w:rPr>
      </w:pPr>
      <w:r w:rsidRPr="3A97257B">
        <w:rPr>
          <w:rFonts w:ascii="Verdana" w:hAnsi="Verdana" w:cs="Arial"/>
          <w:sz w:val="20"/>
          <w:szCs w:val="20"/>
        </w:rPr>
        <w:t>El volumen total de energía a licitar</w:t>
      </w:r>
      <w:r w:rsidR="002D7B0D" w:rsidRPr="3A97257B">
        <w:rPr>
          <w:rFonts w:ascii="Verdana" w:hAnsi="Verdana"/>
          <w:sz w:val="20"/>
          <w:szCs w:val="20"/>
        </w:rPr>
        <w:t xml:space="preserve"> será determinado por el Ministerio de Energía para la correspondiente zona</w:t>
      </w:r>
      <w:r w:rsidRPr="3A97257B">
        <w:rPr>
          <w:rFonts w:ascii="Verdana" w:hAnsi="Verdana"/>
          <w:sz w:val="20"/>
          <w:szCs w:val="20"/>
        </w:rPr>
        <w:t xml:space="preserve"> e informado a la Comisión previo al llamado a licitación</w:t>
      </w:r>
      <w:r w:rsidR="002D7B0D" w:rsidRPr="3A97257B">
        <w:rPr>
          <w:rFonts w:ascii="Verdana" w:hAnsi="Verdana"/>
          <w:sz w:val="20"/>
          <w:szCs w:val="20"/>
        </w:rPr>
        <w:t xml:space="preserve">. </w:t>
      </w:r>
      <w:r w:rsidRPr="3A97257B">
        <w:rPr>
          <w:rFonts w:ascii="Verdana" w:hAnsi="Verdana"/>
          <w:sz w:val="20"/>
          <w:szCs w:val="20"/>
        </w:rPr>
        <w:t>Asimismo</w:t>
      </w:r>
      <w:r w:rsidR="002D7B0D" w:rsidRPr="3A97257B">
        <w:rPr>
          <w:rFonts w:ascii="Verdana" w:hAnsi="Verdana"/>
          <w:sz w:val="20"/>
          <w:szCs w:val="20"/>
        </w:rPr>
        <w:t>, en cada licitación se deberá especificar el Valor Mínimo de</w:t>
      </w:r>
      <w:r w:rsidR="0095446F">
        <w:rPr>
          <w:rFonts w:ascii="Verdana" w:hAnsi="Verdana"/>
          <w:sz w:val="20"/>
          <w:szCs w:val="20"/>
        </w:rPr>
        <w:t xml:space="preserve"> Precio de</w:t>
      </w:r>
      <w:r w:rsidR="002D7B0D" w:rsidRPr="3A97257B">
        <w:rPr>
          <w:rFonts w:ascii="Verdana" w:hAnsi="Verdana"/>
          <w:sz w:val="20"/>
          <w:szCs w:val="20"/>
        </w:rPr>
        <w:t xml:space="preserve"> Ofertas</w:t>
      </w:r>
      <w:r w:rsidR="0095446F">
        <w:rPr>
          <w:rFonts w:ascii="Verdana" w:hAnsi="Verdana"/>
          <w:sz w:val="20"/>
          <w:szCs w:val="20"/>
        </w:rPr>
        <w:t xml:space="preserve"> de descuento</w:t>
      </w:r>
      <w:r w:rsidR="002D7B0D" w:rsidRPr="3A97257B">
        <w:rPr>
          <w:rFonts w:ascii="Verdana" w:hAnsi="Verdana"/>
          <w:sz w:val="20"/>
          <w:szCs w:val="20"/>
        </w:rPr>
        <w:t xml:space="preserve"> el cual será fijado en virtud del costo esperado de abastecimiento eléctrico para </w:t>
      </w:r>
      <w:r w:rsidR="0095446F">
        <w:rPr>
          <w:rFonts w:ascii="Verdana" w:hAnsi="Verdana"/>
          <w:sz w:val="20"/>
          <w:szCs w:val="20"/>
        </w:rPr>
        <w:t>que ocurra la</w:t>
      </w:r>
      <w:r w:rsidR="0095446F" w:rsidRPr="3A97257B">
        <w:rPr>
          <w:rFonts w:ascii="Verdana" w:hAnsi="Verdana"/>
          <w:sz w:val="20"/>
          <w:szCs w:val="20"/>
        </w:rPr>
        <w:t xml:space="preserve"> </w:t>
      </w:r>
      <w:r w:rsidR="6E27AE05" w:rsidRPr="3A97257B">
        <w:rPr>
          <w:rFonts w:ascii="Verdana" w:hAnsi="Verdana"/>
          <w:sz w:val="20"/>
          <w:szCs w:val="20"/>
        </w:rPr>
        <w:t>reconversión energética residencial</w:t>
      </w:r>
      <w:r w:rsidR="002D7B0D" w:rsidRPr="3A97257B">
        <w:rPr>
          <w:rFonts w:ascii="Verdana" w:hAnsi="Verdana"/>
          <w:sz w:val="20"/>
          <w:szCs w:val="20"/>
        </w:rPr>
        <w:t xml:space="preserve">. </w:t>
      </w:r>
      <w:r w:rsidRPr="3A97257B">
        <w:rPr>
          <w:rFonts w:ascii="Verdana" w:hAnsi="Verdana"/>
          <w:sz w:val="20"/>
          <w:szCs w:val="20"/>
        </w:rPr>
        <w:t xml:space="preserve">Sólo podrán participar del proceso de adjudicación aquellas ofertas cuyo Precio de Oferta </w:t>
      </w:r>
      <w:r w:rsidR="081047D4" w:rsidRPr="3A97257B">
        <w:rPr>
          <w:rFonts w:ascii="Verdana" w:hAnsi="Verdana"/>
          <w:sz w:val="20"/>
          <w:szCs w:val="20"/>
        </w:rPr>
        <w:t xml:space="preserve">de descuento </w:t>
      </w:r>
      <w:r w:rsidRPr="3A97257B">
        <w:rPr>
          <w:rFonts w:ascii="Verdana" w:hAnsi="Verdana"/>
          <w:sz w:val="20"/>
          <w:szCs w:val="20"/>
        </w:rPr>
        <w:t>sea mayor o igual al Valor Mínimo de Ofertas.</w:t>
      </w:r>
    </w:p>
    <w:p w14:paraId="74B89850" w14:textId="77777777" w:rsidR="002D7B0D" w:rsidRDefault="002D7B0D" w:rsidP="002D7B0D">
      <w:pPr>
        <w:jc w:val="both"/>
        <w:rPr>
          <w:rFonts w:ascii="Verdana" w:hAnsi="Verdana"/>
          <w:sz w:val="20"/>
          <w:szCs w:val="20"/>
        </w:rPr>
      </w:pPr>
    </w:p>
    <w:p w14:paraId="36F16529" w14:textId="401EE400" w:rsidR="00B1393C" w:rsidRDefault="00B1393C" w:rsidP="002D7B0D">
      <w:pPr>
        <w:jc w:val="both"/>
        <w:rPr>
          <w:rFonts w:ascii="Verdana" w:hAnsi="Verdana"/>
          <w:sz w:val="20"/>
          <w:szCs w:val="20"/>
        </w:rPr>
      </w:pPr>
      <w:r w:rsidRPr="00B1393C">
        <w:rPr>
          <w:rFonts w:ascii="Verdana" w:hAnsi="Verdana"/>
          <w:sz w:val="20"/>
          <w:szCs w:val="20"/>
          <w:u w:val="single"/>
        </w:rPr>
        <w:t>Las condiciones de licitación también podrán establecer una fórmula de actualización de los Precios de Oferta de descuento que refleje las variaciones en el Índice de Precios al Consumidor que publica el Instituto Nacional de Estadísticas.</w:t>
      </w:r>
    </w:p>
    <w:p w14:paraId="422F9845" w14:textId="77777777" w:rsidR="00B1393C" w:rsidRPr="000E76AB" w:rsidRDefault="00B1393C" w:rsidP="002D7B0D">
      <w:pPr>
        <w:jc w:val="both"/>
        <w:rPr>
          <w:rFonts w:ascii="Verdana" w:hAnsi="Verdana"/>
          <w:sz w:val="20"/>
          <w:szCs w:val="20"/>
        </w:rPr>
      </w:pPr>
    </w:p>
    <w:p w14:paraId="40269693" w14:textId="284F141D" w:rsidR="002D7B0D" w:rsidRPr="000E76AB" w:rsidRDefault="002D7B0D" w:rsidP="002D7B0D">
      <w:pPr>
        <w:jc w:val="both"/>
        <w:rPr>
          <w:rFonts w:ascii="Verdana" w:hAnsi="Verdana"/>
          <w:sz w:val="20"/>
          <w:szCs w:val="20"/>
        </w:rPr>
      </w:pPr>
      <w:r w:rsidRPr="000E76AB">
        <w:rPr>
          <w:rFonts w:ascii="Verdana" w:hAnsi="Verdana"/>
          <w:sz w:val="20"/>
          <w:szCs w:val="20"/>
        </w:rPr>
        <w:t xml:space="preserve">La licitación será adjudicada a aquellas ofertas de mayor Precio de Oferta </w:t>
      </w:r>
      <w:r w:rsidR="00C061ED">
        <w:rPr>
          <w:rFonts w:ascii="Verdana" w:hAnsi="Verdana"/>
          <w:sz w:val="20"/>
          <w:szCs w:val="20"/>
        </w:rPr>
        <w:t xml:space="preserve">de descuento </w:t>
      </w:r>
      <w:r w:rsidRPr="000E76AB">
        <w:rPr>
          <w:rFonts w:ascii="Verdana" w:hAnsi="Verdana"/>
          <w:sz w:val="20"/>
          <w:szCs w:val="20"/>
        </w:rPr>
        <w:t>que permitan completar el volumen total de energía licitado. La empresa distribuidora deberá publicar todos los antecedentes de las ofertas recibidas</w:t>
      </w:r>
      <w:r w:rsidR="00E77D67">
        <w:rPr>
          <w:rFonts w:ascii="Verdana" w:hAnsi="Verdana"/>
          <w:sz w:val="20"/>
          <w:szCs w:val="20"/>
        </w:rPr>
        <w:t xml:space="preserve"> y su adjudicación en un plazo no superior a 5 días posteriores al acto de </w:t>
      </w:r>
      <w:r w:rsidRPr="000E76AB">
        <w:rPr>
          <w:rFonts w:ascii="Verdana" w:hAnsi="Verdana"/>
          <w:sz w:val="20"/>
          <w:szCs w:val="20"/>
        </w:rPr>
        <w:t>adjudicación.</w:t>
      </w:r>
    </w:p>
    <w:p w14:paraId="1A12E10D" w14:textId="3EDD1228" w:rsidR="006C393D" w:rsidRDefault="006C393D" w:rsidP="00757525">
      <w:pPr>
        <w:pStyle w:val="Textodecuerpo"/>
        <w:rPr>
          <w:rFonts w:ascii="Verdana" w:hAnsi="Verdana" w:cs="Arial"/>
          <w:sz w:val="20"/>
        </w:rPr>
      </w:pPr>
    </w:p>
    <w:p w14:paraId="420E6AEA" w14:textId="77777777" w:rsidR="00B07BBA" w:rsidRPr="00F32E21" w:rsidRDefault="00B07BBA" w:rsidP="00757525">
      <w:pPr>
        <w:pStyle w:val="Textodecuerpo"/>
        <w:rPr>
          <w:rFonts w:ascii="Verdana" w:hAnsi="Verdana" w:cs="Arial"/>
          <w:sz w:val="20"/>
        </w:rPr>
      </w:pPr>
    </w:p>
    <w:p w14:paraId="52FF7C45" w14:textId="30D18024" w:rsidR="003217FB" w:rsidRDefault="00B661A8" w:rsidP="00B661A8">
      <w:pPr>
        <w:pStyle w:val="Textodecuerpo"/>
        <w:rPr>
          <w:rFonts w:ascii="Verdana" w:hAnsi="Verdana" w:cs="Arial"/>
          <w:sz w:val="20"/>
        </w:rPr>
      </w:pPr>
      <w:r w:rsidRPr="000E76AB">
        <w:rPr>
          <w:rFonts w:ascii="Verdana" w:hAnsi="Verdana"/>
          <w:b/>
          <w:bCs/>
          <w:sz w:val="20"/>
        </w:rPr>
        <w:t>Artículo 67</w:t>
      </w:r>
      <w:r w:rsidRPr="000E76AB">
        <w:rPr>
          <w:rFonts w:ascii="Verdana" w:hAnsi="Verdana"/>
          <w:b/>
          <w:bCs/>
          <w:sz w:val="20"/>
          <w:lang w:val="es-ES"/>
        </w:rPr>
        <w:t>º: Condiciones del cliente para acceder.</w:t>
      </w:r>
      <w:r w:rsidR="00100076">
        <w:rPr>
          <w:rFonts w:ascii="Verdana" w:hAnsi="Verdana"/>
          <w:b/>
          <w:bCs/>
          <w:sz w:val="20"/>
          <w:lang w:val="es-ES"/>
        </w:rPr>
        <w:t xml:space="preserve"> </w:t>
      </w:r>
      <w:r w:rsidR="003217FB" w:rsidRPr="008946D0">
        <w:rPr>
          <w:rFonts w:ascii="Verdana" w:hAnsi="Verdana" w:cs="Arial"/>
          <w:sz w:val="20"/>
        </w:rPr>
        <w:t xml:space="preserve">Los usuarios finales que </w:t>
      </w:r>
      <w:r w:rsidR="003217FB">
        <w:rPr>
          <w:rFonts w:ascii="Verdana" w:hAnsi="Verdana" w:cs="Arial"/>
          <w:sz w:val="20"/>
        </w:rPr>
        <w:t xml:space="preserve">deseen </w:t>
      </w:r>
      <w:r w:rsidR="003217FB" w:rsidRPr="008946D0">
        <w:rPr>
          <w:rFonts w:ascii="Verdana" w:hAnsi="Verdana" w:cs="Arial"/>
          <w:sz w:val="20"/>
        </w:rPr>
        <w:t>opt</w:t>
      </w:r>
      <w:r w:rsidR="003217FB">
        <w:rPr>
          <w:rFonts w:ascii="Verdana" w:hAnsi="Verdana" w:cs="Arial"/>
          <w:sz w:val="20"/>
        </w:rPr>
        <w:t>ar</w:t>
      </w:r>
      <w:r w:rsidR="003217FB" w:rsidRPr="008946D0">
        <w:rPr>
          <w:rFonts w:ascii="Verdana" w:hAnsi="Verdana" w:cs="Arial"/>
          <w:sz w:val="20"/>
        </w:rPr>
        <w:t xml:space="preserve"> a</w:t>
      </w:r>
      <w:r w:rsidR="003217FB">
        <w:rPr>
          <w:rFonts w:ascii="Verdana" w:hAnsi="Verdana" w:cs="Arial"/>
          <w:sz w:val="20"/>
        </w:rPr>
        <w:t>l sistema de</w:t>
      </w:r>
      <w:r w:rsidR="003217FB" w:rsidRPr="008946D0">
        <w:rPr>
          <w:rFonts w:ascii="Verdana" w:hAnsi="Verdana" w:cs="Arial"/>
          <w:sz w:val="20"/>
        </w:rPr>
        <w:t xml:space="preserve"> incentivos descritos en este capítulo deberán estar ubicados en las zonas definidas por el Ministerio de Energía en conformidad a </w:t>
      </w:r>
      <w:r w:rsidR="00500C5A">
        <w:rPr>
          <w:rFonts w:ascii="Verdana" w:hAnsi="Verdana" w:cs="Arial"/>
          <w:sz w:val="20"/>
        </w:rPr>
        <w:t>la estrategia de recambio energético residencial</w:t>
      </w:r>
      <w:r w:rsidR="003217FB" w:rsidRPr="008946D0">
        <w:rPr>
          <w:rFonts w:ascii="Verdana" w:hAnsi="Verdana" w:cs="Arial"/>
          <w:sz w:val="20"/>
        </w:rPr>
        <w:t xml:space="preserve">. Adicionalmente, deberán </w:t>
      </w:r>
      <w:r w:rsidR="004D5EE7">
        <w:rPr>
          <w:rFonts w:ascii="Verdana" w:hAnsi="Verdana" w:cs="Arial"/>
          <w:sz w:val="20"/>
        </w:rPr>
        <w:t>haber optado a una tarifa de carácter residencial</w:t>
      </w:r>
      <w:r w:rsidR="00334295">
        <w:rPr>
          <w:rFonts w:ascii="Verdana" w:hAnsi="Verdana" w:cs="Arial"/>
          <w:sz w:val="20"/>
        </w:rPr>
        <w:t>.</w:t>
      </w:r>
    </w:p>
    <w:p w14:paraId="3497D726" w14:textId="77777777" w:rsidR="003217FB" w:rsidRDefault="003217FB" w:rsidP="00B661A8">
      <w:pPr>
        <w:pStyle w:val="Textodecuerpo"/>
        <w:rPr>
          <w:rFonts w:ascii="Verdana" w:hAnsi="Verdana" w:cs="Arial"/>
          <w:sz w:val="20"/>
        </w:rPr>
      </w:pPr>
    </w:p>
    <w:p w14:paraId="270971B2" w14:textId="36622743" w:rsidR="00D65C77" w:rsidRDefault="00813C7A" w:rsidP="3A97257B">
      <w:pPr>
        <w:pStyle w:val="Textodecuerpo"/>
        <w:rPr>
          <w:rFonts w:ascii="Verdana" w:hAnsi="Verdana"/>
          <w:sz w:val="20"/>
          <w:lang w:val="es-ES"/>
        </w:rPr>
      </w:pPr>
      <w:r w:rsidRPr="3A97257B">
        <w:rPr>
          <w:rFonts w:ascii="Verdana" w:hAnsi="Verdana"/>
          <w:sz w:val="20"/>
          <w:lang w:val="es-ES"/>
        </w:rPr>
        <w:t xml:space="preserve">Para </w:t>
      </w:r>
      <w:r w:rsidR="005F00F0" w:rsidRPr="3A97257B">
        <w:rPr>
          <w:rFonts w:ascii="Verdana" w:hAnsi="Verdana"/>
          <w:sz w:val="20"/>
          <w:lang w:val="es-ES"/>
        </w:rPr>
        <w:t xml:space="preserve">que un </w:t>
      </w:r>
      <w:r w:rsidR="000C76C7">
        <w:rPr>
          <w:rFonts w:ascii="Verdana" w:hAnsi="Verdana"/>
          <w:sz w:val="20"/>
        </w:rPr>
        <w:t>usuario final</w:t>
      </w:r>
      <w:r w:rsidR="000C76C7" w:rsidRPr="3A97257B" w:rsidDel="000C76C7">
        <w:rPr>
          <w:rFonts w:ascii="Verdana" w:hAnsi="Verdana"/>
          <w:sz w:val="20"/>
          <w:lang w:val="es-ES"/>
        </w:rPr>
        <w:t xml:space="preserve"> </w:t>
      </w:r>
      <w:r w:rsidR="005F00F0" w:rsidRPr="3A97257B">
        <w:rPr>
          <w:rFonts w:ascii="Verdana" w:hAnsi="Verdana"/>
          <w:sz w:val="20"/>
          <w:lang w:val="es-ES"/>
        </w:rPr>
        <w:t xml:space="preserve">pueda </w:t>
      </w:r>
      <w:r w:rsidRPr="3A97257B">
        <w:rPr>
          <w:rFonts w:ascii="Verdana" w:hAnsi="Verdana"/>
          <w:sz w:val="20"/>
          <w:lang w:val="es-ES"/>
        </w:rPr>
        <w:t xml:space="preserve">acceder a las ofertas </w:t>
      </w:r>
      <w:r w:rsidR="00C061ED" w:rsidRPr="3A97257B">
        <w:rPr>
          <w:rFonts w:ascii="Verdana" w:hAnsi="Verdana"/>
          <w:sz w:val="20"/>
          <w:lang w:val="es-ES"/>
        </w:rPr>
        <w:t xml:space="preserve">de descuento </w:t>
      </w:r>
      <w:r w:rsidRPr="3A97257B">
        <w:rPr>
          <w:rFonts w:ascii="Verdana" w:hAnsi="Verdana"/>
          <w:sz w:val="20"/>
          <w:lang w:val="es-ES"/>
        </w:rPr>
        <w:t xml:space="preserve">por aumentos de consumo por reconversión energética </w:t>
      </w:r>
      <w:r w:rsidR="268B1F3D" w:rsidRPr="3A97257B">
        <w:rPr>
          <w:rFonts w:ascii="Verdana" w:hAnsi="Verdana"/>
          <w:sz w:val="20"/>
          <w:lang w:val="es-ES"/>
        </w:rPr>
        <w:t>residencial</w:t>
      </w:r>
      <w:r w:rsidRPr="3A97257B">
        <w:rPr>
          <w:rFonts w:ascii="Verdana" w:hAnsi="Verdana"/>
          <w:sz w:val="20"/>
          <w:lang w:val="es-ES"/>
        </w:rPr>
        <w:t xml:space="preserve">, la distribuidora deberá </w:t>
      </w:r>
      <w:r w:rsidR="005F00F0" w:rsidRPr="3A97257B">
        <w:rPr>
          <w:rFonts w:ascii="Verdana" w:hAnsi="Verdana"/>
          <w:sz w:val="20"/>
          <w:lang w:val="es-ES"/>
        </w:rPr>
        <w:t xml:space="preserve">poner a </w:t>
      </w:r>
      <w:r w:rsidR="005F00F0" w:rsidRPr="3A97257B">
        <w:rPr>
          <w:rFonts w:ascii="Verdana" w:hAnsi="Verdana"/>
          <w:sz w:val="20"/>
          <w:lang w:val="es-ES"/>
        </w:rPr>
        <w:lastRenderedPageBreak/>
        <w:t xml:space="preserve">disposición de los </w:t>
      </w:r>
      <w:r w:rsidR="000C76C7">
        <w:rPr>
          <w:rFonts w:ascii="Verdana" w:hAnsi="Verdana"/>
          <w:sz w:val="20"/>
          <w:lang w:val="es-ES"/>
        </w:rPr>
        <w:t>usuarios</w:t>
      </w:r>
      <w:r w:rsidR="00D65C77" w:rsidRPr="3A97257B">
        <w:rPr>
          <w:rFonts w:ascii="Verdana" w:hAnsi="Verdana"/>
          <w:sz w:val="20"/>
          <w:lang w:val="es-ES"/>
        </w:rPr>
        <w:t xml:space="preserve"> finales la solución de medición necesaria para determinar </w:t>
      </w:r>
      <w:r w:rsidR="3EF187BB" w:rsidRPr="3A97257B">
        <w:rPr>
          <w:rFonts w:ascii="Verdana" w:hAnsi="Verdana"/>
          <w:sz w:val="20"/>
          <w:lang w:val="es-ES"/>
        </w:rPr>
        <w:t>dichos</w:t>
      </w:r>
      <w:r w:rsidR="00D65C77" w:rsidRPr="3A97257B">
        <w:rPr>
          <w:rFonts w:ascii="Verdana" w:hAnsi="Verdana"/>
          <w:sz w:val="20"/>
          <w:lang w:val="es-ES"/>
        </w:rPr>
        <w:t xml:space="preserve"> aumento</w:t>
      </w:r>
      <w:r w:rsidR="27DCF693" w:rsidRPr="3A97257B">
        <w:rPr>
          <w:rFonts w:ascii="Verdana" w:hAnsi="Verdana"/>
          <w:sz w:val="20"/>
          <w:lang w:val="es-ES"/>
        </w:rPr>
        <w:t>s</w:t>
      </w:r>
      <w:r w:rsidR="00D65C77" w:rsidRPr="3A97257B">
        <w:rPr>
          <w:rFonts w:ascii="Verdana" w:hAnsi="Verdana"/>
          <w:sz w:val="20"/>
          <w:lang w:val="es-ES"/>
        </w:rPr>
        <w:t xml:space="preserve"> de consumo</w:t>
      </w:r>
      <w:r w:rsidR="10D2B928" w:rsidRPr="3A97257B">
        <w:rPr>
          <w:rFonts w:ascii="Verdana" w:hAnsi="Verdana"/>
          <w:sz w:val="20"/>
          <w:lang w:val="es-ES"/>
        </w:rPr>
        <w:t>s</w:t>
      </w:r>
      <w:r w:rsidR="00D65C77" w:rsidRPr="3A97257B">
        <w:rPr>
          <w:rFonts w:ascii="Verdana" w:hAnsi="Verdana"/>
          <w:sz w:val="20"/>
          <w:lang w:val="es-ES"/>
        </w:rPr>
        <w:t>.</w:t>
      </w:r>
    </w:p>
    <w:p w14:paraId="406DD91E" w14:textId="77777777" w:rsidR="00D65C77" w:rsidRDefault="00D65C77" w:rsidP="00B661A8">
      <w:pPr>
        <w:pStyle w:val="Textodecuerpo"/>
        <w:rPr>
          <w:rFonts w:ascii="Verdana" w:hAnsi="Verdana"/>
          <w:sz w:val="20"/>
          <w:lang w:val="es-ES"/>
        </w:rPr>
      </w:pPr>
    </w:p>
    <w:p w14:paraId="52414BDB" w14:textId="702DBB05" w:rsidR="00304153" w:rsidRPr="00F32E21" w:rsidRDefault="00D65C77" w:rsidP="00B661A8">
      <w:pPr>
        <w:pStyle w:val="Textodecuerpo"/>
        <w:rPr>
          <w:rFonts w:ascii="Verdana" w:hAnsi="Verdana" w:cs="Arial"/>
          <w:sz w:val="20"/>
        </w:rPr>
      </w:pPr>
      <w:r w:rsidRPr="3A97257B">
        <w:rPr>
          <w:rFonts w:ascii="Verdana" w:hAnsi="Verdana"/>
          <w:sz w:val="20"/>
          <w:lang w:val="es-ES"/>
        </w:rPr>
        <w:t xml:space="preserve">La empresa distribuidora deberá </w:t>
      </w:r>
      <w:r w:rsidR="00813C7A" w:rsidRPr="3A97257B">
        <w:rPr>
          <w:rFonts w:ascii="Verdana" w:hAnsi="Verdana"/>
          <w:sz w:val="20"/>
          <w:lang w:val="es-ES"/>
        </w:rPr>
        <w:t xml:space="preserve">verificar </w:t>
      </w:r>
      <w:r w:rsidRPr="3A97257B">
        <w:rPr>
          <w:rFonts w:ascii="Verdana" w:hAnsi="Verdana"/>
          <w:sz w:val="20"/>
          <w:lang w:val="es-ES"/>
        </w:rPr>
        <w:t xml:space="preserve">previamente </w:t>
      </w:r>
      <w:r w:rsidR="00813C7A" w:rsidRPr="3A97257B">
        <w:rPr>
          <w:rFonts w:ascii="Verdana" w:hAnsi="Verdana"/>
          <w:sz w:val="20"/>
          <w:lang w:val="es-ES"/>
        </w:rPr>
        <w:t>la instalación de</w:t>
      </w:r>
      <w:r w:rsidR="5700E907" w:rsidRPr="3A97257B">
        <w:rPr>
          <w:rFonts w:ascii="Verdana" w:hAnsi="Verdana"/>
          <w:sz w:val="20"/>
          <w:lang w:val="es-ES"/>
        </w:rPr>
        <w:t xml:space="preserve"> </w:t>
      </w:r>
      <w:r w:rsidR="20AD44AD" w:rsidRPr="3A97257B">
        <w:rPr>
          <w:rFonts w:ascii="Verdana" w:hAnsi="Verdana"/>
          <w:sz w:val="20"/>
          <w:lang w:val="es-ES"/>
        </w:rPr>
        <w:t>un</w:t>
      </w:r>
      <w:r w:rsidR="00813C7A" w:rsidRPr="3A97257B">
        <w:rPr>
          <w:rFonts w:ascii="Verdana" w:hAnsi="Verdana"/>
          <w:sz w:val="20"/>
          <w:lang w:val="es-ES"/>
        </w:rPr>
        <w:t xml:space="preserve"> </w:t>
      </w:r>
      <w:r w:rsidR="00662ED4" w:rsidRPr="3A97257B">
        <w:rPr>
          <w:rFonts w:ascii="Verdana" w:hAnsi="Verdana" w:cs="Arial"/>
          <w:sz w:val="20"/>
        </w:rPr>
        <w:t>sistema de</w:t>
      </w:r>
      <w:r w:rsidR="00813C7A" w:rsidRPr="3A97257B">
        <w:rPr>
          <w:rFonts w:ascii="Verdana" w:hAnsi="Verdana" w:cs="Arial"/>
          <w:sz w:val="20"/>
        </w:rPr>
        <w:t xml:space="preserve"> medición destinado </w:t>
      </w:r>
      <w:r w:rsidR="00662ED4" w:rsidRPr="3A97257B">
        <w:rPr>
          <w:rFonts w:ascii="Verdana" w:hAnsi="Verdana" w:cs="Arial"/>
          <w:sz w:val="20"/>
        </w:rPr>
        <w:t>a</w:t>
      </w:r>
      <w:r w:rsidR="2928BCDD" w:rsidRPr="3A97257B">
        <w:rPr>
          <w:rFonts w:ascii="Verdana" w:hAnsi="Verdana" w:cs="Arial"/>
          <w:sz w:val="20"/>
        </w:rPr>
        <w:t xml:space="preserve"> medir </w:t>
      </w:r>
      <w:r w:rsidR="00662ED4" w:rsidRPr="3A97257B">
        <w:rPr>
          <w:rFonts w:ascii="Verdana" w:hAnsi="Verdana" w:cs="Arial"/>
          <w:sz w:val="20"/>
        </w:rPr>
        <w:t>l</w:t>
      </w:r>
      <w:r w:rsidR="66A3958D" w:rsidRPr="3A97257B">
        <w:rPr>
          <w:rFonts w:ascii="Verdana" w:hAnsi="Verdana" w:cs="Arial"/>
          <w:sz w:val="20"/>
        </w:rPr>
        <w:t>os</w:t>
      </w:r>
      <w:r w:rsidR="00662ED4" w:rsidRPr="3A97257B">
        <w:rPr>
          <w:rFonts w:ascii="Verdana" w:hAnsi="Verdana" w:cs="Arial"/>
          <w:sz w:val="20"/>
        </w:rPr>
        <w:t xml:space="preserve"> </w:t>
      </w:r>
      <w:r w:rsidR="00813C7A" w:rsidRPr="3A97257B">
        <w:rPr>
          <w:rFonts w:ascii="Verdana" w:hAnsi="Verdana" w:cs="Arial"/>
          <w:sz w:val="20"/>
        </w:rPr>
        <w:t>aumento</w:t>
      </w:r>
      <w:r w:rsidR="5722A99F" w:rsidRPr="3A97257B">
        <w:rPr>
          <w:rFonts w:ascii="Verdana" w:hAnsi="Verdana" w:cs="Arial"/>
          <w:sz w:val="20"/>
        </w:rPr>
        <w:t>s</w:t>
      </w:r>
      <w:r w:rsidR="00813C7A" w:rsidRPr="3A97257B">
        <w:rPr>
          <w:rFonts w:ascii="Verdana" w:hAnsi="Verdana" w:cs="Arial"/>
          <w:sz w:val="20"/>
        </w:rPr>
        <w:t xml:space="preserve"> de consumos por reconversión energética </w:t>
      </w:r>
      <w:r w:rsidR="3FA53B1C" w:rsidRPr="3A97257B">
        <w:rPr>
          <w:rFonts w:ascii="Verdana" w:hAnsi="Verdana" w:cs="Arial"/>
          <w:sz w:val="20"/>
        </w:rPr>
        <w:t>residencial</w:t>
      </w:r>
      <w:r w:rsidR="00662ED4" w:rsidRPr="3A97257B">
        <w:rPr>
          <w:rFonts w:ascii="Verdana" w:hAnsi="Verdana" w:cs="Arial"/>
          <w:sz w:val="20"/>
        </w:rPr>
        <w:t>, en adelante “</w:t>
      </w:r>
      <w:r w:rsidR="00E92DAC" w:rsidRPr="3A97257B">
        <w:rPr>
          <w:rFonts w:ascii="Verdana" w:hAnsi="Verdana" w:cs="Arial"/>
          <w:sz w:val="20"/>
        </w:rPr>
        <w:t>Solución</w:t>
      </w:r>
      <w:r w:rsidR="00662ED4" w:rsidRPr="3A97257B">
        <w:rPr>
          <w:rFonts w:ascii="Verdana" w:hAnsi="Verdana" w:cs="Arial"/>
          <w:sz w:val="20"/>
        </w:rPr>
        <w:t xml:space="preserve"> de </w:t>
      </w:r>
      <w:r w:rsidR="00E92DAC" w:rsidRPr="3A97257B">
        <w:rPr>
          <w:rFonts w:ascii="Verdana" w:hAnsi="Verdana" w:cs="Arial"/>
          <w:sz w:val="20"/>
        </w:rPr>
        <w:t>M</w:t>
      </w:r>
      <w:r w:rsidR="00662ED4" w:rsidRPr="3A97257B">
        <w:rPr>
          <w:rFonts w:ascii="Verdana" w:hAnsi="Verdana" w:cs="Arial"/>
          <w:sz w:val="20"/>
        </w:rPr>
        <w:t>edición</w:t>
      </w:r>
      <w:r w:rsidR="00813C7A" w:rsidRPr="3A97257B">
        <w:rPr>
          <w:rFonts w:ascii="Verdana" w:hAnsi="Verdana" w:cs="Arial"/>
          <w:sz w:val="20"/>
        </w:rPr>
        <w:t>”. Dich</w:t>
      </w:r>
      <w:r w:rsidR="26CB1B24" w:rsidRPr="3A97257B">
        <w:rPr>
          <w:rFonts w:ascii="Verdana" w:hAnsi="Verdana" w:cs="Arial"/>
          <w:sz w:val="20"/>
        </w:rPr>
        <w:t>a</w:t>
      </w:r>
      <w:r w:rsidR="00813C7A" w:rsidRPr="3A97257B">
        <w:rPr>
          <w:rFonts w:ascii="Verdana" w:hAnsi="Verdana" w:cs="Arial"/>
          <w:sz w:val="20"/>
        </w:rPr>
        <w:t xml:space="preserve"> </w:t>
      </w:r>
      <w:r w:rsidR="00E92DAC" w:rsidRPr="3A97257B">
        <w:rPr>
          <w:rFonts w:ascii="Verdana" w:hAnsi="Verdana" w:cs="Arial"/>
          <w:sz w:val="20"/>
        </w:rPr>
        <w:t>Solución de Medición</w:t>
      </w:r>
      <w:r w:rsidR="00662ED4" w:rsidRPr="3A97257B">
        <w:rPr>
          <w:rFonts w:ascii="Verdana" w:hAnsi="Verdana" w:cs="Arial"/>
          <w:sz w:val="20"/>
        </w:rPr>
        <w:t xml:space="preserve"> </w:t>
      </w:r>
      <w:r w:rsidR="00813C7A" w:rsidRPr="3A97257B">
        <w:rPr>
          <w:rFonts w:ascii="Verdana" w:hAnsi="Verdana" w:cs="Arial"/>
          <w:sz w:val="20"/>
        </w:rPr>
        <w:t>debe encontrarse vinculad</w:t>
      </w:r>
      <w:r w:rsidR="355C2D68" w:rsidRPr="3A97257B">
        <w:rPr>
          <w:rFonts w:ascii="Verdana" w:hAnsi="Verdana" w:cs="Arial"/>
          <w:sz w:val="20"/>
        </w:rPr>
        <w:t>a</w:t>
      </w:r>
      <w:r w:rsidR="00813C7A" w:rsidRPr="3A97257B">
        <w:rPr>
          <w:rFonts w:ascii="Verdana" w:hAnsi="Verdana" w:cs="Arial"/>
          <w:sz w:val="20"/>
        </w:rPr>
        <w:t xml:space="preserve"> únicamente </w:t>
      </w:r>
      <w:r w:rsidR="00E92DAC" w:rsidRPr="3A97257B">
        <w:rPr>
          <w:rFonts w:ascii="Verdana" w:hAnsi="Verdana" w:cs="Arial"/>
          <w:sz w:val="20"/>
        </w:rPr>
        <w:t>a la medición de los consumos de</w:t>
      </w:r>
      <w:r w:rsidR="00813C7A" w:rsidRPr="3A97257B">
        <w:rPr>
          <w:rFonts w:ascii="Verdana" w:hAnsi="Verdana" w:cs="Arial"/>
          <w:sz w:val="20"/>
        </w:rPr>
        <w:t xml:space="preserve"> los equipos asociados a la reconversión energética</w:t>
      </w:r>
      <w:r w:rsidR="00440F2D" w:rsidRPr="3A97257B">
        <w:rPr>
          <w:rFonts w:ascii="Verdana" w:hAnsi="Verdana" w:cs="Arial"/>
          <w:sz w:val="20"/>
        </w:rPr>
        <w:t xml:space="preserve"> residencial</w:t>
      </w:r>
      <w:r w:rsidR="00813C7A" w:rsidRPr="3A97257B">
        <w:rPr>
          <w:rFonts w:ascii="Verdana" w:hAnsi="Verdana" w:cs="Arial"/>
          <w:sz w:val="20"/>
        </w:rPr>
        <w:t xml:space="preserve">. La conexión de otros equipos de consumo eléctrico </w:t>
      </w:r>
      <w:r w:rsidR="004D5EE7" w:rsidRPr="3A97257B">
        <w:rPr>
          <w:rFonts w:ascii="Verdana" w:hAnsi="Verdana" w:cs="Arial"/>
          <w:sz w:val="20"/>
        </w:rPr>
        <w:t>a</w:t>
      </w:r>
      <w:r w:rsidR="29649D4C" w:rsidRPr="3A97257B">
        <w:rPr>
          <w:rFonts w:ascii="Verdana" w:hAnsi="Verdana" w:cs="Arial"/>
          <w:sz w:val="20"/>
        </w:rPr>
        <w:t xml:space="preserve"> </w:t>
      </w:r>
      <w:r w:rsidR="00E92DAC" w:rsidRPr="3A97257B">
        <w:rPr>
          <w:rFonts w:ascii="Verdana" w:hAnsi="Verdana" w:cs="Arial"/>
          <w:sz w:val="20"/>
        </w:rPr>
        <w:t>l</w:t>
      </w:r>
      <w:r w:rsidR="29649D4C" w:rsidRPr="3A97257B">
        <w:rPr>
          <w:rFonts w:ascii="Verdana" w:hAnsi="Verdana" w:cs="Arial"/>
          <w:sz w:val="20"/>
        </w:rPr>
        <w:t>a</w:t>
      </w:r>
      <w:r w:rsidR="00E92DAC" w:rsidRPr="3A97257B">
        <w:rPr>
          <w:rFonts w:ascii="Verdana" w:hAnsi="Verdana" w:cs="Arial"/>
          <w:sz w:val="20"/>
        </w:rPr>
        <w:t xml:space="preserve"> S</w:t>
      </w:r>
      <w:r w:rsidR="100DDA1B" w:rsidRPr="3A97257B">
        <w:rPr>
          <w:rFonts w:ascii="Verdana" w:hAnsi="Verdana" w:cs="Arial"/>
          <w:sz w:val="20"/>
        </w:rPr>
        <w:t>olución</w:t>
      </w:r>
      <w:r w:rsidR="004D5EE7" w:rsidRPr="3A97257B">
        <w:rPr>
          <w:rFonts w:ascii="Verdana" w:hAnsi="Verdana" w:cs="Arial"/>
          <w:sz w:val="20"/>
        </w:rPr>
        <w:t xml:space="preserve"> de Medición</w:t>
      </w:r>
      <w:r w:rsidR="00E92DAC" w:rsidRPr="3A97257B">
        <w:rPr>
          <w:rFonts w:ascii="Verdana" w:hAnsi="Verdana" w:cs="Arial"/>
          <w:sz w:val="20"/>
        </w:rPr>
        <w:t xml:space="preserve"> con el objeto de acceder a los descuentos por aumentos de consumo por reconversión energética residencial</w:t>
      </w:r>
      <w:r w:rsidR="004D5EE7" w:rsidRPr="3A97257B">
        <w:rPr>
          <w:rFonts w:ascii="Verdana" w:hAnsi="Verdana" w:cs="Arial"/>
          <w:sz w:val="20"/>
        </w:rPr>
        <w:t xml:space="preserve"> </w:t>
      </w:r>
      <w:r w:rsidR="00813C7A" w:rsidRPr="3A97257B">
        <w:rPr>
          <w:rFonts w:ascii="Verdana" w:hAnsi="Verdana" w:cs="Arial"/>
          <w:sz w:val="20"/>
        </w:rPr>
        <w:t xml:space="preserve">será </w:t>
      </w:r>
      <w:r w:rsidR="00B07BBA" w:rsidRPr="3A97257B">
        <w:rPr>
          <w:rFonts w:ascii="Verdana" w:hAnsi="Verdana" w:cs="Arial"/>
          <w:sz w:val="20"/>
        </w:rPr>
        <w:t>sancionada</w:t>
      </w:r>
      <w:r w:rsidR="00813C7A" w:rsidRPr="3A97257B">
        <w:rPr>
          <w:rFonts w:ascii="Verdana" w:hAnsi="Verdana" w:cs="Arial"/>
          <w:sz w:val="20"/>
        </w:rPr>
        <w:t xml:space="preserve"> por la Superintendencia</w:t>
      </w:r>
      <w:r w:rsidR="006073FB">
        <w:rPr>
          <w:rFonts w:ascii="Verdana" w:hAnsi="Verdana" w:cs="Arial"/>
          <w:sz w:val="20"/>
        </w:rPr>
        <w:t xml:space="preserve"> de Electricidad y Combustibles</w:t>
      </w:r>
      <w:r w:rsidR="00813C7A" w:rsidRPr="3A97257B">
        <w:rPr>
          <w:rFonts w:ascii="Verdana" w:hAnsi="Verdana" w:cs="Arial"/>
          <w:sz w:val="20"/>
        </w:rPr>
        <w:t>.</w:t>
      </w:r>
      <w:r w:rsidR="00562D08" w:rsidRPr="3A97257B">
        <w:rPr>
          <w:rFonts w:ascii="Verdana" w:hAnsi="Verdana" w:cs="Arial"/>
          <w:sz w:val="20"/>
        </w:rPr>
        <w:t xml:space="preserve"> </w:t>
      </w:r>
      <w:r w:rsidR="00313A76">
        <w:rPr>
          <w:rFonts w:ascii="Verdana" w:hAnsi="Verdana" w:cs="Arial"/>
          <w:sz w:val="20"/>
        </w:rPr>
        <w:t xml:space="preserve">Tanto los equipos de consumo como la instalación interior que permita la conexión de dichos equipos a la solución de medición, deberán ser certificados de acuerdo a las normas emitidas por la Superintendencia de Electricidad y Combustibles, situación que deberá ser verificada por la empresa de servicio público de distribución. </w:t>
      </w:r>
      <w:r w:rsidR="00440F2D" w:rsidRPr="3A97257B">
        <w:rPr>
          <w:rFonts w:ascii="Verdana" w:hAnsi="Verdana" w:cs="Arial"/>
          <w:sz w:val="20"/>
        </w:rPr>
        <w:t>Asimismo</w:t>
      </w:r>
      <w:r w:rsidR="00170260" w:rsidRPr="3A97257B">
        <w:rPr>
          <w:rFonts w:ascii="Verdana" w:hAnsi="Verdana" w:cs="Arial"/>
          <w:sz w:val="20"/>
        </w:rPr>
        <w:t>, la empresa d</w:t>
      </w:r>
      <w:r w:rsidR="00C061ED" w:rsidRPr="3A97257B">
        <w:rPr>
          <w:rFonts w:ascii="Verdana" w:hAnsi="Verdana" w:cs="Arial"/>
          <w:sz w:val="20"/>
        </w:rPr>
        <w:t xml:space="preserve">istribuidora </w:t>
      </w:r>
      <w:r w:rsidR="000F16E9" w:rsidRPr="3A97257B">
        <w:rPr>
          <w:rFonts w:ascii="Verdana" w:hAnsi="Verdana" w:cs="Arial"/>
          <w:sz w:val="20"/>
        </w:rPr>
        <w:t>dispondrá</w:t>
      </w:r>
      <w:r w:rsidR="00C061ED" w:rsidRPr="3A97257B">
        <w:rPr>
          <w:rFonts w:ascii="Verdana" w:hAnsi="Verdana" w:cs="Arial"/>
          <w:sz w:val="20"/>
        </w:rPr>
        <w:t xml:space="preserve"> de medidas de referencia para cada </w:t>
      </w:r>
      <w:r w:rsidR="00170260" w:rsidRPr="3A97257B">
        <w:rPr>
          <w:rFonts w:ascii="Verdana" w:hAnsi="Verdana" w:cs="Arial"/>
          <w:sz w:val="20"/>
        </w:rPr>
        <w:t xml:space="preserve">usuario final </w:t>
      </w:r>
      <w:r w:rsidR="00C061ED" w:rsidRPr="3A97257B">
        <w:rPr>
          <w:rFonts w:ascii="Verdana" w:hAnsi="Verdana" w:cs="Arial"/>
          <w:sz w:val="20"/>
        </w:rPr>
        <w:t xml:space="preserve">de manera </w:t>
      </w:r>
      <w:r w:rsidR="00170260" w:rsidRPr="3A97257B">
        <w:rPr>
          <w:rFonts w:ascii="Verdana" w:hAnsi="Verdana" w:cs="Arial"/>
          <w:sz w:val="20"/>
        </w:rPr>
        <w:t>de poder monitorear y verificar</w:t>
      </w:r>
      <w:r w:rsidR="00C061ED" w:rsidRPr="3A97257B">
        <w:rPr>
          <w:rFonts w:ascii="Verdana" w:hAnsi="Verdana" w:cs="Arial"/>
          <w:sz w:val="20"/>
        </w:rPr>
        <w:t xml:space="preserve"> que los aumentos de consumo correspondan a los asociados a</w:t>
      </w:r>
      <w:r w:rsidR="00E1163E" w:rsidRPr="3A97257B">
        <w:rPr>
          <w:rFonts w:ascii="Verdana" w:hAnsi="Verdana" w:cs="Arial"/>
          <w:sz w:val="20"/>
        </w:rPr>
        <w:t xml:space="preserve"> </w:t>
      </w:r>
      <w:r w:rsidR="00500C5A">
        <w:rPr>
          <w:rFonts w:ascii="Verdana" w:hAnsi="Verdana" w:cs="Arial"/>
          <w:sz w:val="20"/>
        </w:rPr>
        <w:t xml:space="preserve">la estrategia </w:t>
      </w:r>
      <w:r w:rsidR="00E1163E" w:rsidRPr="3A97257B">
        <w:rPr>
          <w:rFonts w:ascii="Verdana" w:hAnsi="Verdana" w:cs="Arial"/>
          <w:sz w:val="20"/>
        </w:rPr>
        <w:t>de</w:t>
      </w:r>
      <w:r w:rsidR="00C061ED" w:rsidRPr="3A97257B">
        <w:rPr>
          <w:rFonts w:ascii="Verdana" w:hAnsi="Verdana" w:cs="Arial"/>
          <w:sz w:val="20"/>
        </w:rPr>
        <w:t xml:space="preserve"> </w:t>
      </w:r>
      <w:r w:rsidR="00E92DAC" w:rsidRPr="3A97257B">
        <w:rPr>
          <w:rFonts w:ascii="Verdana" w:hAnsi="Verdana" w:cs="Arial"/>
          <w:sz w:val="20"/>
        </w:rPr>
        <w:t>reconversión</w:t>
      </w:r>
      <w:r w:rsidR="00C061ED" w:rsidRPr="3A97257B">
        <w:rPr>
          <w:rFonts w:ascii="Verdana" w:hAnsi="Verdana" w:cs="Arial"/>
          <w:sz w:val="20"/>
        </w:rPr>
        <w:t xml:space="preserve"> energética</w:t>
      </w:r>
      <w:r w:rsidR="00E1163E" w:rsidRPr="3A97257B">
        <w:rPr>
          <w:rFonts w:ascii="Verdana" w:hAnsi="Verdana" w:cs="Arial"/>
          <w:sz w:val="20"/>
        </w:rPr>
        <w:t xml:space="preserve"> residencial</w:t>
      </w:r>
      <w:r w:rsidR="000F16E9" w:rsidRPr="3A97257B">
        <w:rPr>
          <w:rFonts w:ascii="Verdana" w:hAnsi="Verdana" w:cs="Arial"/>
          <w:sz w:val="20"/>
        </w:rPr>
        <w:t>, en conformidad a lo establecido en el artículo 72</w:t>
      </w:r>
      <w:r w:rsidR="000F16E9" w:rsidRPr="3A97257B">
        <w:rPr>
          <w:rFonts w:ascii="Verdana" w:hAnsi="Verdana"/>
          <w:sz w:val="20"/>
          <w:lang w:val="es-ES"/>
        </w:rPr>
        <w:t>º</w:t>
      </w:r>
      <w:r w:rsidR="00B571FE" w:rsidRPr="3A97257B">
        <w:rPr>
          <w:rFonts w:ascii="Verdana" w:hAnsi="Verdana"/>
          <w:sz w:val="20"/>
          <w:lang w:val="es-ES"/>
        </w:rPr>
        <w:t xml:space="preserve"> de esta resolución</w:t>
      </w:r>
      <w:r w:rsidR="00C061ED" w:rsidRPr="3A97257B">
        <w:rPr>
          <w:rFonts w:ascii="Verdana" w:hAnsi="Verdana" w:cs="Arial"/>
          <w:sz w:val="20"/>
        </w:rPr>
        <w:t xml:space="preserve">. </w:t>
      </w:r>
    </w:p>
    <w:p w14:paraId="27E4B1F0" w14:textId="0B8B15F0" w:rsidR="00C359B2" w:rsidRPr="00F32E21" w:rsidRDefault="00C359B2" w:rsidP="00B661A8">
      <w:pPr>
        <w:pStyle w:val="Textodecuerpo"/>
        <w:rPr>
          <w:rFonts w:ascii="Verdana" w:hAnsi="Verdana" w:cs="Arial"/>
          <w:sz w:val="20"/>
        </w:rPr>
      </w:pPr>
    </w:p>
    <w:p w14:paraId="71D5522E" w14:textId="340D2AE8" w:rsidR="00C359B2" w:rsidRPr="00F32E21" w:rsidRDefault="00C359B2" w:rsidP="00B661A8">
      <w:pPr>
        <w:pStyle w:val="Textodecuerpo"/>
        <w:rPr>
          <w:rFonts w:ascii="Verdana" w:hAnsi="Verdana" w:cs="Arial"/>
          <w:sz w:val="20"/>
        </w:rPr>
      </w:pPr>
      <w:r w:rsidRPr="00F32E21">
        <w:rPr>
          <w:rFonts w:ascii="Verdana" w:hAnsi="Verdana" w:cs="Arial"/>
          <w:sz w:val="20"/>
        </w:rPr>
        <w:t xml:space="preserve">Adicionalmente, los </w:t>
      </w:r>
      <w:r w:rsidR="000C76C7">
        <w:rPr>
          <w:rFonts w:ascii="Verdana" w:hAnsi="Verdana" w:cs="Arial"/>
          <w:sz w:val="20"/>
        </w:rPr>
        <w:t>usuarios finales</w:t>
      </w:r>
      <w:r w:rsidR="000C76C7" w:rsidRPr="00F32E21">
        <w:rPr>
          <w:rFonts w:ascii="Verdana" w:hAnsi="Verdana" w:cs="Arial"/>
          <w:sz w:val="20"/>
        </w:rPr>
        <w:t xml:space="preserve"> </w:t>
      </w:r>
      <w:r w:rsidRPr="00F32E21">
        <w:rPr>
          <w:rFonts w:ascii="Verdana" w:hAnsi="Verdana" w:cs="Arial"/>
          <w:sz w:val="20"/>
        </w:rPr>
        <w:t xml:space="preserve">que deseen acceder a las ofertas por aumentos de consumo del presente capítulo deberán suscribir con su empresa distribuidora un acuerdo, en el cual se establecen los beneficios a los cuales accede el </w:t>
      </w:r>
      <w:r w:rsidR="00475EBC">
        <w:rPr>
          <w:rFonts w:ascii="Verdana" w:hAnsi="Verdana" w:cs="Arial"/>
          <w:sz w:val="20"/>
        </w:rPr>
        <w:t>usuario final</w:t>
      </w:r>
      <w:r w:rsidRPr="00F32E21">
        <w:rPr>
          <w:rFonts w:ascii="Verdana" w:hAnsi="Verdana" w:cs="Arial"/>
          <w:sz w:val="20"/>
        </w:rPr>
        <w:t xml:space="preserve">, las obligaciones del </w:t>
      </w:r>
      <w:r w:rsidR="00475EBC">
        <w:rPr>
          <w:rFonts w:ascii="Verdana" w:hAnsi="Verdana" w:cs="Arial"/>
          <w:sz w:val="20"/>
        </w:rPr>
        <w:t>usuario final</w:t>
      </w:r>
      <w:r w:rsidR="00475EBC" w:rsidRPr="00F32E21">
        <w:rPr>
          <w:rFonts w:ascii="Verdana" w:hAnsi="Verdana" w:cs="Arial"/>
          <w:sz w:val="20"/>
        </w:rPr>
        <w:t xml:space="preserve"> </w:t>
      </w:r>
      <w:r w:rsidRPr="00F32E21">
        <w:rPr>
          <w:rFonts w:ascii="Verdana" w:hAnsi="Verdana" w:cs="Arial"/>
          <w:sz w:val="20"/>
        </w:rPr>
        <w:t xml:space="preserve">y las obligaciones de la empresa distribuidora, todo lo cual deberá sujetarse a las disposiciones establecidas en el presente capítulo. </w:t>
      </w:r>
      <w:r w:rsidR="00BB42E1">
        <w:rPr>
          <w:rFonts w:ascii="Verdana" w:hAnsi="Verdana" w:cs="Arial"/>
          <w:sz w:val="20"/>
        </w:rPr>
        <w:t>Las condiciones mínimas que deben contener tales acuerdos se encuentran establecidas en el artículo 72°.</w:t>
      </w:r>
      <w:r w:rsidRPr="00F32E21">
        <w:rPr>
          <w:rFonts w:ascii="Verdana" w:hAnsi="Verdana" w:cs="Arial"/>
          <w:sz w:val="20"/>
        </w:rPr>
        <w:t xml:space="preserve"> </w:t>
      </w:r>
    </w:p>
    <w:p w14:paraId="6CBB7266" w14:textId="7D5E6216" w:rsidR="00813C7A" w:rsidRPr="00F32E21" w:rsidRDefault="00813C7A" w:rsidP="00B661A8">
      <w:pPr>
        <w:pStyle w:val="Textodecuerpo"/>
        <w:rPr>
          <w:rFonts w:ascii="Verdana" w:hAnsi="Verdana" w:cs="Arial"/>
          <w:sz w:val="20"/>
        </w:rPr>
      </w:pPr>
    </w:p>
    <w:p w14:paraId="28E5D377" w14:textId="3E285971" w:rsidR="00534CB3" w:rsidRDefault="00534CB3" w:rsidP="00B661A8">
      <w:pPr>
        <w:pStyle w:val="Textodecuerpo"/>
        <w:rPr>
          <w:rFonts w:ascii="Verdana" w:hAnsi="Verdana" w:cs="Arial"/>
          <w:sz w:val="20"/>
        </w:rPr>
      </w:pPr>
      <w:r w:rsidRPr="00F32E21">
        <w:rPr>
          <w:rFonts w:ascii="Verdana" w:hAnsi="Verdana" w:cs="Arial"/>
          <w:sz w:val="20"/>
        </w:rPr>
        <w:t xml:space="preserve">Será requisito para suscribir el acuerdo el que el </w:t>
      </w:r>
      <w:r w:rsidR="000C76C7">
        <w:rPr>
          <w:rFonts w:ascii="Verdana" w:hAnsi="Verdana"/>
          <w:sz w:val="20"/>
        </w:rPr>
        <w:t>usuario final</w:t>
      </w:r>
      <w:r w:rsidR="000C76C7" w:rsidRPr="00F32E21" w:rsidDel="000C76C7">
        <w:rPr>
          <w:rFonts w:ascii="Verdana" w:hAnsi="Verdana" w:cs="Arial"/>
          <w:sz w:val="20"/>
        </w:rPr>
        <w:t xml:space="preserve"> </w:t>
      </w:r>
      <w:r w:rsidRPr="00F32E21">
        <w:rPr>
          <w:rFonts w:ascii="Verdana" w:hAnsi="Verdana" w:cs="Arial"/>
          <w:sz w:val="20"/>
        </w:rPr>
        <w:t xml:space="preserve">no tenga boletas o facturas impagas al momento de su suscripción. </w:t>
      </w:r>
    </w:p>
    <w:p w14:paraId="2CFC1400" w14:textId="77777777" w:rsidR="00B07BBA" w:rsidRPr="00F32E21" w:rsidRDefault="00B07BBA" w:rsidP="00B661A8">
      <w:pPr>
        <w:pStyle w:val="Textodecuerpo"/>
        <w:rPr>
          <w:rFonts w:ascii="Verdana" w:hAnsi="Verdana" w:cs="Arial"/>
          <w:sz w:val="20"/>
        </w:rPr>
      </w:pPr>
    </w:p>
    <w:p w14:paraId="35D6AB56" w14:textId="77777777" w:rsidR="00534CB3" w:rsidRPr="00F32E21" w:rsidRDefault="00534CB3" w:rsidP="00B661A8">
      <w:pPr>
        <w:pStyle w:val="Textodecuerpo"/>
        <w:rPr>
          <w:rFonts w:ascii="Verdana" w:hAnsi="Verdana" w:cs="Arial"/>
          <w:sz w:val="20"/>
        </w:rPr>
      </w:pPr>
    </w:p>
    <w:p w14:paraId="4C49EC30" w14:textId="32739862" w:rsidR="0077375B" w:rsidRDefault="005B38E7" w:rsidP="3A97257B">
      <w:pPr>
        <w:pStyle w:val="Textodecuerpo"/>
        <w:rPr>
          <w:rFonts w:ascii="Verdana" w:hAnsi="Verdana" w:cs="Arial"/>
          <w:sz w:val="20"/>
        </w:rPr>
      </w:pPr>
      <w:r w:rsidRPr="3A97257B">
        <w:rPr>
          <w:rFonts w:ascii="Verdana" w:hAnsi="Verdana"/>
          <w:b/>
          <w:bCs/>
          <w:sz w:val="20"/>
        </w:rPr>
        <w:t>Artículo 68º: Aumentos de Consumo.</w:t>
      </w:r>
      <w:r w:rsidRPr="3A97257B">
        <w:rPr>
          <w:rFonts w:ascii="Verdana" w:hAnsi="Verdana"/>
          <w:sz w:val="20"/>
        </w:rPr>
        <w:t xml:space="preserve"> </w:t>
      </w:r>
      <w:r w:rsidR="006D3CA5" w:rsidRPr="3A97257B">
        <w:rPr>
          <w:rFonts w:ascii="Verdana" w:hAnsi="Verdana"/>
          <w:sz w:val="20"/>
        </w:rPr>
        <w:t xml:space="preserve">De conformidad a lo establecido en el artículo 67°, </w:t>
      </w:r>
      <w:r w:rsidRPr="3A97257B">
        <w:rPr>
          <w:rFonts w:ascii="Verdana" w:hAnsi="Verdana"/>
          <w:sz w:val="20"/>
        </w:rPr>
        <w:t xml:space="preserve">el equipamiento eléctrico de </w:t>
      </w:r>
      <w:r w:rsidR="006D3CA5" w:rsidRPr="3A97257B">
        <w:rPr>
          <w:rFonts w:ascii="Verdana" w:hAnsi="Verdana"/>
          <w:sz w:val="20"/>
        </w:rPr>
        <w:t>re</w:t>
      </w:r>
      <w:r w:rsidRPr="3A97257B">
        <w:rPr>
          <w:rFonts w:ascii="Verdana" w:hAnsi="Verdana"/>
          <w:sz w:val="20"/>
        </w:rPr>
        <w:t xml:space="preserve">conversión </w:t>
      </w:r>
      <w:r w:rsidR="00475EBC" w:rsidRPr="3A97257B">
        <w:rPr>
          <w:rFonts w:ascii="Verdana" w:hAnsi="Verdana"/>
          <w:sz w:val="20"/>
        </w:rPr>
        <w:t xml:space="preserve">energética residencial </w:t>
      </w:r>
      <w:r w:rsidRPr="3A97257B">
        <w:rPr>
          <w:rFonts w:ascii="Verdana" w:hAnsi="Verdana"/>
          <w:sz w:val="20"/>
        </w:rPr>
        <w:t xml:space="preserve">debe encontrarse vinculado </w:t>
      </w:r>
      <w:r w:rsidR="00475EBC" w:rsidRPr="3A97257B">
        <w:rPr>
          <w:rFonts w:ascii="Verdana" w:hAnsi="Verdana"/>
          <w:sz w:val="20"/>
        </w:rPr>
        <w:t xml:space="preserve">a una Solución de Medición </w:t>
      </w:r>
      <w:r w:rsidRPr="3A97257B">
        <w:rPr>
          <w:rFonts w:ascii="Verdana" w:hAnsi="Verdana"/>
          <w:sz w:val="20"/>
        </w:rPr>
        <w:t xml:space="preserve">que </w:t>
      </w:r>
      <w:r w:rsidR="006D3CA5" w:rsidRPr="3A97257B">
        <w:rPr>
          <w:rFonts w:ascii="Verdana" w:hAnsi="Verdana"/>
          <w:sz w:val="20"/>
        </w:rPr>
        <w:t>registra</w:t>
      </w:r>
      <w:r w:rsidRPr="3A97257B">
        <w:rPr>
          <w:rFonts w:ascii="Verdana" w:hAnsi="Verdana"/>
          <w:sz w:val="20"/>
        </w:rPr>
        <w:t xml:space="preserve"> sus consumos de manera separada e independiente del resto de los consumos que efectúa el </w:t>
      </w:r>
      <w:r w:rsidR="00475EBC" w:rsidRPr="3A97257B">
        <w:rPr>
          <w:rFonts w:ascii="Verdana" w:hAnsi="Verdana"/>
          <w:sz w:val="20"/>
        </w:rPr>
        <w:t>usuario final</w:t>
      </w:r>
      <w:r w:rsidR="006D3CA5" w:rsidRPr="3A97257B">
        <w:rPr>
          <w:rFonts w:ascii="Verdana" w:hAnsi="Verdana"/>
          <w:sz w:val="20"/>
        </w:rPr>
        <w:t xml:space="preserve">.  En consecuencia, </w:t>
      </w:r>
      <w:r w:rsidRPr="3A97257B">
        <w:rPr>
          <w:rFonts w:ascii="Verdana" w:hAnsi="Verdana"/>
          <w:sz w:val="20"/>
        </w:rPr>
        <w:t xml:space="preserve">para </w:t>
      </w:r>
      <w:r w:rsidR="5010E815" w:rsidRPr="3A97257B">
        <w:rPr>
          <w:rFonts w:ascii="Verdana" w:hAnsi="Verdana"/>
          <w:sz w:val="20"/>
        </w:rPr>
        <w:t>l</w:t>
      </w:r>
      <w:r w:rsidRPr="3A97257B">
        <w:rPr>
          <w:rFonts w:ascii="Verdana" w:hAnsi="Verdana"/>
          <w:sz w:val="20"/>
        </w:rPr>
        <w:t xml:space="preserve">os efectos </w:t>
      </w:r>
      <w:r w:rsidR="006D3CA5" w:rsidRPr="3A97257B">
        <w:rPr>
          <w:rFonts w:ascii="Verdana" w:hAnsi="Verdana"/>
          <w:sz w:val="20"/>
        </w:rPr>
        <w:t>del presente capítulo</w:t>
      </w:r>
      <w:r w:rsidR="6DF7569F" w:rsidRPr="3A97257B">
        <w:rPr>
          <w:rFonts w:ascii="Verdana" w:hAnsi="Verdana"/>
          <w:sz w:val="20"/>
        </w:rPr>
        <w:t>,</w:t>
      </w:r>
      <w:r w:rsidR="006D3CA5" w:rsidRPr="3A97257B">
        <w:rPr>
          <w:rFonts w:ascii="Verdana" w:hAnsi="Verdana"/>
          <w:sz w:val="20"/>
        </w:rPr>
        <w:t xml:space="preserve"> </w:t>
      </w:r>
      <w:r w:rsidRPr="3A97257B">
        <w:rPr>
          <w:rFonts w:ascii="Verdana" w:hAnsi="Verdana"/>
          <w:sz w:val="20"/>
        </w:rPr>
        <w:t xml:space="preserve">se entenderá por aumento de consumo originado por la reconversión por </w:t>
      </w:r>
      <w:r w:rsidR="004D5EE7" w:rsidRPr="3A97257B">
        <w:rPr>
          <w:rFonts w:ascii="Verdana" w:hAnsi="Verdana"/>
          <w:sz w:val="20"/>
        </w:rPr>
        <w:t>transición energética residencial</w:t>
      </w:r>
      <w:r w:rsidRPr="3A97257B">
        <w:rPr>
          <w:rFonts w:ascii="Verdana" w:hAnsi="Verdana"/>
          <w:sz w:val="20"/>
        </w:rPr>
        <w:t xml:space="preserve">, </w:t>
      </w:r>
      <w:r w:rsidR="006D3CA5" w:rsidRPr="3A97257B">
        <w:rPr>
          <w:rFonts w:ascii="Verdana" w:hAnsi="Verdana"/>
          <w:sz w:val="20"/>
        </w:rPr>
        <w:t xml:space="preserve">a </w:t>
      </w:r>
      <w:r w:rsidRPr="3A97257B">
        <w:rPr>
          <w:rFonts w:ascii="Verdana" w:hAnsi="Verdana"/>
          <w:sz w:val="20"/>
        </w:rPr>
        <w:t xml:space="preserve">todo aquel consumo registrado </w:t>
      </w:r>
      <w:r w:rsidR="004D5EE7" w:rsidRPr="3A97257B">
        <w:rPr>
          <w:rFonts w:ascii="Verdana" w:hAnsi="Verdana"/>
          <w:sz w:val="20"/>
        </w:rPr>
        <w:t>mediante la Solución de Medición</w:t>
      </w:r>
    </w:p>
    <w:p w14:paraId="2AB7BA70" w14:textId="77777777" w:rsidR="00426646" w:rsidRDefault="00426646" w:rsidP="0077375B">
      <w:pPr>
        <w:pStyle w:val="Textodecuerpo"/>
        <w:rPr>
          <w:rFonts w:ascii="Verdana" w:hAnsi="Verdana" w:cs="Arial"/>
          <w:sz w:val="20"/>
        </w:rPr>
      </w:pPr>
    </w:p>
    <w:p w14:paraId="65782683" w14:textId="6E1670A2" w:rsidR="00426646" w:rsidRPr="00F32E21" w:rsidRDefault="00426646" w:rsidP="3A97257B">
      <w:pPr>
        <w:pStyle w:val="Textodecuerpo"/>
        <w:rPr>
          <w:rFonts w:ascii="Verdana" w:hAnsi="Verdana" w:cs="Arial"/>
          <w:sz w:val="20"/>
        </w:rPr>
      </w:pPr>
      <w:r w:rsidRPr="3A97257B">
        <w:rPr>
          <w:rFonts w:ascii="Verdana" w:hAnsi="Verdana" w:cs="Arial"/>
          <w:sz w:val="20"/>
        </w:rPr>
        <w:t xml:space="preserve">Los descuentos por aumentos de consumo a que se refiere este capítulo deberán ser identificables por el usuario final a través de la respectiva boleta </w:t>
      </w:r>
      <w:r w:rsidR="6DFF50D6" w:rsidRPr="3A97257B">
        <w:rPr>
          <w:rFonts w:ascii="Verdana" w:hAnsi="Verdana" w:cs="Arial"/>
          <w:sz w:val="20"/>
        </w:rPr>
        <w:t xml:space="preserve">o factura </w:t>
      </w:r>
      <w:r w:rsidRPr="3A97257B">
        <w:rPr>
          <w:rFonts w:ascii="Verdana" w:hAnsi="Verdana" w:cs="Arial"/>
          <w:sz w:val="20"/>
        </w:rPr>
        <w:t>que emita la empresa distribuidora correspondiente</w:t>
      </w:r>
      <w:r w:rsidR="006D3935" w:rsidRPr="3A97257B">
        <w:rPr>
          <w:rFonts w:ascii="Verdana" w:hAnsi="Verdana" w:cs="Arial"/>
          <w:sz w:val="20"/>
        </w:rPr>
        <w:t>.</w:t>
      </w:r>
    </w:p>
    <w:p w14:paraId="172EC70B" w14:textId="5D981692" w:rsidR="005B38E7" w:rsidRDefault="005B38E7">
      <w:pPr>
        <w:pStyle w:val="Textodecuerpo"/>
        <w:rPr>
          <w:rFonts w:ascii="Verdana" w:hAnsi="Verdana" w:cs="Arial"/>
          <w:sz w:val="20"/>
        </w:rPr>
      </w:pPr>
    </w:p>
    <w:p w14:paraId="2EA6BF53" w14:textId="77777777" w:rsidR="00B07BBA" w:rsidRPr="00F32E21" w:rsidRDefault="00B07BBA">
      <w:pPr>
        <w:pStyle w:val="Textodecuerpo"/>
        <w:rPr>
          <w:rFonts w:ascii="Verdana" w:hAnsi="Verdana" w:cs="Arial"/>
          <w:sz w:val="20"/>
        </w:rPr>
      </w:pPr>
    </w:p>
    <w:p w14:paraId="30A0CF3F" w14:textId="7953DABA" w:rsidR="00BE148D" w:rsidRPr="00F32E21" w:rsidRDefault="00BE148D" w:rsidP="00BE148D">
      <w:pPr>
        <w:jc w:val="both"/>
        <w:rPr>
          <w:rFonts w:ascii="Verdana" w:hAnsi="Verdana"/>
          <w:sz w:val="20"/>
          <w:szCs w:val="20"/>
        </w:rPr>
      </w:pPr>
      <w:r w:rsidRPr="000E76AB">
        <w:rPr>
          <w:rFonts w:ascii="Verdana" w:hAnsi="Verdana"/>
          <w:b/>
          <w:bCs/>
          <w:sz w:val="20"/>
          <w:szCs w:val="20"/>
        </w:rPr>
        <w:t>Artículo 6</w:t>
      </w:r>
      <w:r w:rsidR="006D3CA5" w:rsidRPr="000E76AB">
        <w:rPr>
          <w:rFonts w:ascii="Verdana" w:hAnsi="Verdana"/>
          <w:b/>
          <w:bCs/>
          <w:sz w:val="20"/>
          <w:szCs w:val="20"/>
        </w:rPr>
        <w:t>9</w:t>
      </w:r>
      <w:r w:rsidRPr="000E76AB">
        <w:rPr>
          <w:rFonts w:ascii="Verdana" w:hAnsi="Verdana"/>
          <w:b/>
          <w:bCs/>
          <w:sz w:val="20"/>
          <w:szCs w:val="20"/>
        </w:rPr>
        <w:t>º: Determinación del incentivo.</w:t>
      </w:r>
      <w:r w:rsidRPr="000E76AB">
        <w:rPr>
          <w:rFonts w:ascii="Verdana" w:hAnsi="Verdana"/>
          <w:sz w:val="20"/>
          <w:szCs w:val="20"/>
        </w:rPr>
        <w:t xml:space="preserve"> Una vez adjudicada la licitación</w:t>
      </w:r>
      <w:r w:rsidRPr="00F32E21">
        <w:rPr>
          <w:rFonts w:ascii="Verdana" w:hAnsi="Verdana"/>
          <w:sz w:val="20"/>
          <w:szCs w:val="20"/>
        </w:rPr>
        <w:t xml:space="preserve"> a que se refiere el artículo </w:t>
      </w:r>
      <w:r w:rsidR="00290590">
        <w:rPr>
          <w:rFonts w:ascii="Verdana" w:hAnsi="Verdana"/>
          <w:sz w:val="20"/>
          <w:szCs w:val="20"/>
        </w:rPr>
        <w:t>66</w:t>
      </w:r>
      <w:r w:rsidR="00290590" w:rsidRPr="000E76AB">
        <w:rPr>
          <w:rFonts w:ascii="Verdana" w:hAnsi="Verdana"/>
          <w:b/>
          <w:bCs/>
          <w:sz w:val="20"/>
          <w:szCs w:val="20"/>
        </w:rPr>
        <w:t>º</w:t>
      </w:r>
      <w:r w:rsidR="00290590">
        <w:rPr>
          <w:rFonts w:ascii="Verdana" w:hAnsi="Verdana"/>
          <w:sz w:val="20"/>
          <w:szCs w:val="20"/>
        </w:rPr>
        <w:t xml:space="preserve"> </w:t>
      </w:r>
      <w:r w:rsidRPr="00F32E21">
        <w:rPr>
          <w:rFonts w:ascii="Verdana" w:hAnsi="Verdana"/>
          <w:sz w:val="20"/>
          <w:szCs w:val="20"/>
        </w:rPr>
        <w:t>anterior</w:t>
      </w:r>
      <w:r w:rsidRPr="000E76AB">
        <w:rPr>
          <w:rFonts w:ascii="Verdana" w:hAnsi="Verdana"/>
          <w:sz w:val="20"/>
          <w:szCs w:val="20"/>
        </w:rPr>
        <w:t xml:space="preserve">, la empresa distribuidora ofrecerá a sus </w:t>
      </w:r>
      <w:r w:rsidR="009B10B9">
        <w:rPr>
          <w:rFonts w:ascii="Verdana" w:hAnsi="Verdana"/>
          <w:sz w:val="20"/>
          <w:szCs w:val="20"/>
        </w:rPr>
        <w:t>usuarios finales</w:t>
      </w:r>
      <w:r w:rsidR="009B10B9" w:rsidRPr="000E76AB">
        <w:rPr>
          <w:rFonts w:ascii="Verdana" w:hAnsi="Verdana"/>
          <w:sz w:val="20"/>
          <w:szCs w:val="20"/>
        </w:rPr>
        <w:t xml:space="preserve"> </w:t>
      </w:r>
      <w:r w:rsidRPr="000E76AB">
        <w:rPr>
          <w:rFonts w:ascii="Verdana" w:hAnsi="Verdana"/>
          <w:sz w:val="20"/>
          <w:szCs w:val="20"/>
        </w:rPr>
        <w:t xml:space="preserve">un </w:t>
      </w:r>
      <w:r w:rsidRPr="000E76AB">
        <w:rPr>
          <w:rFonts w:ascii="Verdana" w:hAnsi="Verdana"/>
          <w:sz w:val="20"/>
          <w:szCs w:val="20"/>
        </w:rPr>
        <w:lastRenderedPageBreak/>
        <w:t xml:space="preserve">valor único de Descuento por unidad de aumento de consumo, el cual corresponderá al promedio de los Precios de Oferta adjudicados del correspondiente </w:t>
      </w:r>
      <w:r w:rsidR="009B10B9">
        <w:rPr>
          <w:rFonts w:ascii="Verdana" w:hAnsi="Verdana"/>
          <w:sz w:val="20"/>
          <w:szCs w:val="20"/>
        </w:rPr>
        <w:t>periodo</w:t>
      </w:r>
      <w:r w:rsidRPr="000E76AB">
        <w:rPr>
          <w:rFonts w:ascii="Verdana" w:hAnsi="Verdana"/>
          <w:sz w:val="20"/>
          <w:szCs w:val="20"/>
        </w:rPr>
        <w:t xml:space="preserve">, ponderados por los </w:t>
      </w:r>
      <w:r w:rsidR="00E77D67">
        <w:rPr>
          <w:rFonts w:ascii="Verdana" w:hAnsi="Verdana"/>
          <w:sz w:val="20"/>
          <w:szCs w:val="20"/>
        </w:rPr>
        <w:t>V</w:t>
      </w:r>
      <w:r w:rsidR="00E77D67" w:rsidRPr="000E76AB">
        <w:rPr>
          <w:rFonts w:ascii="Verdana" w:hAnsi="Verdana"/>
          <w:sz w:val="20"/>
          <w:szCs w:val="20"/>
        </w:rPr>
        <w:t xml:space="preserve">olúmenes </w:t>
      </w:r>
      <w:r w:rsidRPr="000E76AB">
        <w:rPr>
          <w:rFonts w:ascii="Verdana" w:hAnsi="Verdana"/>
          <w:sz w:val="20"/>
          <w:szCs w:val="20"/>
        </w:rPr>
        <w:t xml:space="preserve">de </w:t>
      </w:r>
      <w:r w:rsidR="00E77D67">
        <w:rPr>
          <w:rFonts w:ascii="Verdana" w:hAnsi="Verdana"/>
          <w:sz w:val="20"/>
          <w:szCs w:val="20"/>
        </w:rPr>
        <w:t>O</w:t>
      </w:r>
      <w:r w:rsidR="00E77D67" w:rsidRPr="000E76AB">
        <w:rPr>
          <w:rFonts w:ascii="Verdana" w:hAnsi="Verdana"/>
          <w:sz w:val="20"/>
          <w:szCs w:val="20"/>
        </w:rPr>
        <w:t xml:space="preserve">ferta </w:t>
      </w:r>
      <w:r w:rsidRPr="000E76AB">
        <w:rPr>
          <w:rFonts w:ascii="Verdana" w:hAnsi="Verdana"/>
          <w:sz w:val="20"/>
          <w:szCs w:val="20"/>
        </w:rPr>
        <w:t>adjudicados.</w:t>
      </w:r>
    </w:p>
    <w:p w14:paraId="355F7545" w14:textId="77777777" w:rsidR="00D10106" w:rsidRPr="00F32E21" w:rsidRDefault="00D10106" w:rsidP="00BE148D">
      <w:pPr>
        <w:jc w:val="both"/>
        <w:rPr>
          <w:rFonts w:ascii="Verdana" w:hAnsi="Verdana"/>
          <w:sz w:val="20"/>
          <w:szCs w:val="20"/>
        </w:rPr>
      </w:pPr>
    </w:p>
    <w:p w14:paraId="48613BAA" w14:textId="0845C071" w:rsidR="00BE148D" w:rsidRPr="00F32E21" w:rsidRDefault="00BE148D" w:rsidP="00BE148D">
      <w:pPr>
        <w:jc w:val="both"/>
        <w:rPr>
          <w:rFonts w:ascii="Verdana" w:hAnsi="Verdana"/>
          <w:sz w:val="20"/>
          <w:szCs w:val="20"/>
        </w:rPr>
      </w:pPr>
      <w:r w:rsidRPr="3A97257B">
        <w:rPr>
          <w:rFonts w:ascii="Verdana" w:hAnsi="Verdana"/>
          <w:sz w:val="20"/>
          <w:szCs w:val="20"/>
        </w:rPr>
        <w:t xml:space="preserve">Los </w:t>
      </w:r>
      <w:r w:rsidR="009B10B9" w:rsidRPr="3A97257B">
        <w:rPr>
          <w:rFonts w:ascii="Verdana" w:hAnsi="Verdana"/>
          <w:sz w:val="20"/>
          <w:szCs w:val="20"/>
        </w:rPr>
        <w:t xml:space="preserve">usuarios finales </w:t>
      </w:r>
      <w:r w:rsidRPr="3A97257B">
        <w:rPr>
          <w:rFonts w:ascii="Verdana" w:hAnsi="Verdana"/>
          <w:sz w:val="20"/>
          <w:szCs w:val="20"/>
        </w:rPr>
        <w:t xml:space="preserve">que deseen acceder al mecanismo de oferta por aumento de consumo del presente capítulo </w:t>
      </w:r>
      <w:r w:rsidR="00D10106" w:rsidRPr="3A97257B">
        <w:rPr>
          <w:rFonts w:ascii="Verdana" w:hAnsi="Verdana"/>
          <w:sz w:val="20"/>
          <w:szCs w:val="20"/>
        </w:rPr>
        <w:t>10</w:t>
      </w:r>
      <w:r w:rsidRPr="3A97257B">
        <w:rPr>
          <w:rFonts w:ascii="Verdana" w:hAnsi="Verdana"/>
          <w:sz w:val="20"/>
          <w:szCs w:val="20"/>
        </w:rPr>
        <w:t xml:space="preserve">, deberán cumplir con las condiciones establecidas en el artículo </w:t>
      </w:r>
      <w:r w:rsidR="00C359B2" w:rsidRPr="3A97257B">
        <w:rPr>
          <w:rFonts w:ascii="Verdana" w:hAnsi="Verdana"/>
          <w:sz w:val="20"/>
          <w:szCs w:val="20"/>
        </w:rPr>
        <w:t>67°</w:t>
      </w:r>
      <w:r w:rsidRPr="3A97257B">
        <w:rPr>
          <w:rFonts w:ascii="Verdana" w:hAnsi="Verdana"/>
          <w:sz w:val="20"/>
          <w:szCs w:val="20"/>
        </w:rPr>
        <w:t xml:space="preserve"> y suscribir un acuerdo con la empresa distribuidora </w:t>
      </w:r>
      <w:r w:rsidR="00C359B2" w:rsidRPr="3A97257B">
        <w:rPr>
          <w:rFonts w:ascii="Verdana" w:hAnsi="Verdana"/>
          <w:sz w:val="20"/>
          <w:szCs w:val="20"/>
        </w:rPr>
        <w:t>señalado en el artículo</w:t>
      </w:r>
      <w:r w:rsidR="009B10B9" w:rsidRPr="3A97257B">
        <w:rPr>
          <w:rFonts w:ascii="Verdana" w:hAnsi="Verdana"/>
          <w:sz w:val="20"/>
          <w:szCs w:val="20"/>
        </w:rPr>
        <w:t xml:space="preserve"> 72°</w:t>
      </w:r>
      <w:r w:rsidRPr="3A97257B">
        <w:rPr>
          <w:rFonts w:ascii="Verdana" w:hAnsi="Verdana"/>
          <w:sz w:val="20"/>
          <w:szCs w:val="20"/>
        </w:rPr>
        <w:t xml:space="preserve">. Cada </w:t>
      </w:r>
      <w:r w:rsidR="009B10B9" w:rsidRPr="3A97257B">
        <w:rPr>
          <w:rFonts w:ascii="Verdana" w:hAnsi="Verdana"/>
          <w:sz w:val="20"/>
          <w:szCs w:val="20"/>
        </w:rPr>
        <w:t xml:space="preserve">usuario final </w:t>
      </w:r>
      <w:r w:rsidRPr="3A97257B">
        <w:rPr>
          <w:rFonts w:ascii="Verdana" w:hAnsi="Verdana"/>
          <w:sz w:val="20"/>
          <w:szCs w:val="20"/>
        </w:rPr>
        <w:t xml:space="preserve">que haya suscrito el </w:t>
      </w:r>
      <w:r w:rsidR="00E77D67" w:rsidRPr="3A97257B">
        <w:rPr>
          <w:rFonts w:ascii="Verdana" w:hAnsi="Verdana"/>
          <w:sz w:val="20"/>
          <w:szCs w:val="20"/>
        </w:rPr>
        <w:t xml:space="preserve">referido </w:t>
      </w:r>
      <w:r w:rsidRPr="3A97257B">
        <w:rPr>
          <w:rFonts w:ascii="Verdana" w:hAnsi="Verdana"/>
          <w:sz w:val="20"/>
          <w:szCs w:val="20"/>
        </w:rPr>
        <w:t>acuerdo con la empresa distribuidora recibirá en su boleta o factura un descuento equivalente a la medición de aumento de consumo valorizada al precio del Descuento</w:t>
      </w:r>
      <w:r w:rsidR="00E77D67" w:rsidRPr="3A97257B">
        <w:rPr>
          <w:rFonts w:ascii="Verdana" w:hAnsi="Verdana"/>
          <w:sz w:val="20"/>
          <w:szCs w:val="20"/>
        </w:rPr>
        <w:t xml:space="preserve"> de la empresa distribuidora</w:t>
      </w:r>
      <w:r w:rsidRPr="3A97257B">
        <w:rPr>
          <w:rFonts w:ascii="Verdana" w:hAnsi="Verdana"/>
          <w:sz w:val="20"/>
          <w:szCs w:val="20"/>
        </w:rPr>
        <w:t>. La boleta o factura</w:t>
      </w:r>
      <w:r w:rsidR="00E77D67" w:rsidRPr="3A97257B">
        <w:rPr>
          <w:rFonts w:ascii="Verdana" w:hAnsi="Verdana"/>
          <w:sz w:val="20"/>
          <w:szCs w:val="20"/>
        </w:rPr>
        <w:t>, o en un anexo de ésta,</w:t>
      </w:r>
      <w:r w:rsidRPr="3A97257B">
        <w:rPr>
          <w:rFonts w:ascii="Verdana" w:hAnsi="Verdana"/>
          <w:sz w:val="20"/>
          <w:szCs w:val="20"/>
        </w:rPr>
        <w:t xml:space="preserve"> deberá explicitar claramente la operación de descuento efectuada, indicando el aumento de consumo producto de la reconversión, el precio del Descuento, en pesos por kilowatt-hora</w:t>
      </w:r>
      <w:r w:rsidR="003E08FB" w:rsidRPr="3A97257B">
        <w:rPr>
          <w:rFonts w:ascii="Verdana" w:hAnsi="Verdana"/>
          <w:sz w:val="20"/>
          <w:szCs w:val="20"/>
        </w:rPr>
        <w:t>, y el descuento total aplicado en pesos</w:t>
      </w:r>
      <w:r w:rsidRPr="3A97257B">
        <w:rPr>
          <w:rFonts w:ascii="Verdana" w:hAnsi="Verdana"/>
          <w:sz w:val="20"/>
          <w:szCs w:val="20"/>
        </w:rPr>
        <w:t xml:space="preserve">. </w:t>
      </w:r>
    </w:p>
    <w:p w14:paraId="553AC9CA" w14:textId="14917EAF" w:rsidR="00BE148D" w:rsidRPr="000E76AB" w:rsidRDefault="00BE148D" w:rsidP="00BE148D">
      <w:pPr>
        <w:jc w:val="both"/>
        <w:rPr>
          <w:rFonts w:ascii="Verdana" w:hAnsi="Verdana"/>
          <w:sz w:val="20"/>
          <w:szCs w:val="20"/>
        </w:rPr>
      </w:pPr>
    </w:p>
    <w:p w14:paraId="4B5C2CD7" w14:textId="6DEBE285" w:rsidR="00BE148D" w:rsidRPr="00F32E21" w:rsidRDefault="00BE148D" w:rsidP="00BE148D">
      <w:pPr>
        <w:jc w:val="both"/>
        <w:rPr>
          <w:rFonts w:ascii="Verdana" w:hAnsi="Verdana"/>
          <w:sz w:val="20"/>
          <w:szCs w:val="20"/>
        </w:rPr>
      </w:pPr>
      <w:r w:rsidRPr="3A97257B">
        <w:rPr>
          <w:rFonts w:ascii="Verdana" w:hAnsi="Verdana"/>
          <w:sz w:val="20"/>
          <w:szCs w:val="20"/>
        </w:rPr>
        <w:t xml:space="preserve">No obstante la aplicación de un </w:t>
      </w:r>
      <w:r w:rsidR="009B10B9" w:rsidRPr="3A97257B">
        <w:rPr>
          <w:rFonts w:ascii="Verdana" w:hAnsi="Verdana"/>
          <w:sz w:val="20"/>
          <w:szCs w:val="20"/>
        </w:rPr>
        <w:t>P</w:t>
      </w:r>
      <w:r w:rsidRPr="3A97257B">
        <w:rPr>
          <w:rFonts w:ascii="Verdana" w:hAnsi="Verdana"/>
          <w:sz w:val="20"/>
          <w:szCs w:val="20"/>
        </w:rPr>
        <w:t>recio de Descuento único, la asignación del volumen total de energía</w:t>
      </w:r>
      <w:r w:rsidR="003E08FB" w:rsidRPr="3A97257B">
        <w:rPr>
          <w:rFonts w:ascii="Verdana" w:hAnsi="Verdana"/>
          <w:sz w:val="20"/>
          <w:szCs w:val="20"/>
        </w:rPr>
        <w:t xml:space="preserve"> proveniente de aumentos de consumo mensuales</w:t>
      </w:r>
      <w:r w:rsidRPr="3A97257B">
        <w:rPr>
          <w:rFonts w:ascii="Verdana" w:hAnsi="Verdana"/>
          <w:sz w:val="20"/>
          <w:szCs w:val="20"/>
        </w:rPr>
        <w:t xml:space="preserve"> efectivamente medidos, será asignado entre los </w:t>
      </w:r>
      <w:r w:rsidR="009B10B9" w:rsidRPr="3A97257B">
        <w:rPr>
          <w:rFonts w:ascii="Verdana" w:hAnsi="Verdana"/>
          <w:sz w:val="20"/>
          <w:szCs w:val="20"/>
        </w:rPr>
        <w:t>generadores</w:t>
      </w:r>
      <w:r w:rsidRPr="3A97257B">
        <w:rPr>
          <w:rFonts w:ascii="Verdana" w:hAnsi="Verdana"/>
          <w:sz w:val="20"/>
          <w:szCs w:val="20"/>
        </w:rPr>
        <w:t xml:space="preserve"> adjudicados de acuerdo con el orden de mérito de sus Precios de Oferta. De conformidad a lo anterior, la empresa distribuidora </w:t>
      </w:r>
      <w:r w:rsidR="003E08FB" w:rsidRPr="3A97257B">
        <w:rPr>
          <w:rFonts w:ascii="Verdana" w:hAnsi="Verdana"/>
          <w:sz w:val="20"/>
          <w:szCs w:val="20"/>
        </w:rPr>
        <w:t xml:space="preserve">asignará los </w:t>
      </w:r>
      <w:r w:rsidRPr="3A97257B">
        <w:rPr>
          <w:rFonts w:ascii="Verdana" w:hAnsi="Verdana"/>
          <w:sz w:val="20"/>
          <w:szCs w:val="20"/>
        </w:rPr>
        <w:t xml:space="preserve">aumentos de consumo </w:t>
      </w:r>
      <w:r w:rsidR="003E08FB" w:rsidRPr="3A97257B">
        <w:rPr>
          <w:rFonts w:ascii="Verdana" w:hAnsi="Verdana"/>
          <w:sz w:val="20"/>
          <w:szCs w:val="20"/>
        </w:rPr>
        <w:t>contabilizados del mes a la oferta de mayor Precio de Oferta</w:t>
      </w:r>
      <w:r w:rsidR="77EA5F1F" w:rsidRPr="3A97257B">
        <w:rPr>
          <w:rFonts w:ascii="Verdana" w:hAnsi="Verdana"/>
          <w:sz w:val="20"/>
          <w:szCs w:val="20"/>
        </w:rPr>
        <w:t xml:space="preserve"> de descuento</w:t>
      </w:r>
      <w:r w:rsidR="003E08FB" w:rsidRPr="3A97257B">
        <w:rPr>
          <w:rFonts w:ascii="Verdana" w:hAnsi="Verdana"/>
          <w:sz w:val="20"/>
          <w:szCs w:val="20"/>
        </w:rPr>
        <w:t>, mientras no supere la fracción mensual del Volumen de Oferta</w:t>
      </w:r>
      <w:r w:rsidR="53A2AD6D" w:rsidRPr="3A97257B">
        <w:rPr>
          <w:rFonts w:ascii="Verdana" w:hAnsi="Verdana"/>
          <w:sz w:val="20"/>
          <w:szCs w:val="20"/>
        </w:rPr>
        <w:t>.</w:t>
      </w:r>
      <w:r w:rsidR="003E08FB" w:rsidRPr="3A97257B">
        <w:rPr>
          <w:rFonts w:ascii="Verdana" w:hAnsi="Verdana"/>
          <w:sz w:val="20"/>
          <w:szCs w:val="20"/>
        </w:rPr>
        <w:t xml:space="preserve"> </w:t>
      </w:r>
      <w:r w:rsidR="2009D734" w:rsidRPr="3A97257B">
        <w:rPr>
          <w:rFonts w:ascii="Verdana" w:hAnsi="Verdana"/>
          <w:sz w:val="20"/>
          <w:szCs w:val="20"/>
        </w:rPr>
        <w:t>Dicha fracción</w:t>
      </w:r>
      <w:r w:rsidR="003E08FB" w:rsidRPr="3A97257B">
        <w:rPr>
          <w:rFonts w:ascii="Verdana" w:hAnsi="Verdana"/>
          <w:sz w:val="20"/>
          <w:szCs w:val="20"/>
        </w:rPr>
        <w:t xml:space="preserve"> equivale al producto entre el Volumen de Oferta de la correspondiente oferta y la proporción del mes</w:t>
      </w:r>
      <w:r w:rsidR="62638C78" w:rsidRPr="3A97257B">
        <w:rPr>
          <w:rFonts w:ascii="Verdana" w:hAnsi="Verdana"/>
          <w:sz w:val="20"/>
          <w:szCs w:val="20"/>
        </w:rPr>
        <w:t xml:space="preserve"> respectivo</w:t>
      </w:r>
      <w:r w:rsidR="003E08FB" w:rsidRPr="3A97257B">
        <w:rPr>
          <w:rFonts w:ascii="Verdana" w:hAnsi="Verdana"/>
          <w:sz w:val="20"/>
          <w:szCs w:val="20"/>
        </w:rPr>
        <w:t xml:space="preserve"> de la distribución mensual establecida en las condiciones de licitación. Sólo una vez que se haya asignado completamente la fracción mensual del Volumen de Oferta, el remanente de aumentos de consumos mensuales medido se asignará a la oferta de segundo mayor Precio de Oferta</w:t>
      </w:r>
      <w:r w:rsidR="3046F7A5" w:rsidRPr="3A97257B">
        <w:rPr>
          <w:rFonts w:ascii="Verdana" w:hAnsi="Verdana"/>
          <w:sz w:val="20"/>
          <w:szCs w:val="20"/>
        </w:rPr>
        <w:t xml:space="preserve"> de descuento</w:t>
      </w:r>
      <w:r w:rsidR="003E08FB" w:rsidRPr="3A97257B">
        <w:rPr>
          <w:rFonts w:ascii="Verdana" w:hAnsi="Verdana"/>
          <w:sz w:val="20"/>
          <w:szCs w:val="20"/>
        </w:rPr>
        <w:t xml:space="preserve">, hasta completar su fracción mensual del Volumen de Oferta, repitiéndose así el proceso con las siguientes ofertas en orden descendentes del Precio de Oferta, hasta asignar la totalidad del volumen de energía de aumentos de consumo del </w:t>
      </w:r>
      <w:r w:rsidR="51D67FB1" w:rsidRPr="3A97257B">
        <w:rPr>
          <w:rFonts w:ascii="Verdana" w:hAnsi="Verdana"/>
          <w:sz w:val="20"/>
          <w:szCs w:val="20"/>
        </w:rPr>
        <w:t xml:space="preserve">respectivo </w:t>
      </w:r>
      <w:r w:rsidR="003E08FB" w:rsidRPr="3A97257B">
        <w:rPr>
          <w:rFonts w:ascii="Verdana" w:hAnsi="Verdana"/>
          <w:sz w:val="20"/>
          <w:szCs w:val="20"/>
        </w:rPr>
        <w:t>mes</w:t>
      </w:r>
      <w:r w:rsidRPr="3A97257B">
        <w:rPr>
          <w:rFonts w:ascii="Verdana" w:hAnsi="Verdana"/>
          <w:sz w:val="20"/>
          <w:szCs w:val="20"/>
        </w:rPr>
        <w:t>.</w:t>
      </w:r>
    </w:p>
    <w:p w14:paraId="4A593AB3" w14:textId="77777777" w:rsidR="00D10106" w:rsidRPr="000E76AB" w:rsidRDefault="00D10106" w:rsidP="00BE148D">
      <w:pPr>
        <w:jc w:val="both"/>
        <w:rPr>
          <w:rFonts w:ascii="Verdana" w:hAnsi="Verdana"/>
          <w:sz w:val="20"/>
          <w:szCs w:val="20"/>
        </w:rPr>
      </w:pPr>
    </w:p>
    <w:p w14:paraId="2A310182" w14:textId="0EC07340" w:rsidR="00BE148D" w:rsidRPr="000E76AB" w:rsidRDefault="00BE148D" w:rsidP="00BE148D">
      <w:pPr>
        <w:jc w:val="both"/>
        <w:rPr>
          <w:rFonts w:ascii="Verdana" w:hAnsi="Verdana"/>
          <w:sz w:val="20"/>
          <w:szCs w:val="20"/>
        </w:rPr>
      </w:pPr>
      <w:r w:rsidRPr="000E76AB">
        <w:rPr>
          <w:rFonts w:ascii="Verdana" w:hAnsi="Verdana"/>
          <w:sz w:val="20"/>
          <w:szCs w:val="20"/>
        </w:rPr>
        <w:t xml:space="preserve">Debido a la asignación por orden de mérito de los aumentos de consumo, en cada período mensual de facturación del </w:t>
      </w:r>
      <w:r w:rsidR="003E08FB">
        <w:rPr>
          <w:rFonts w:ascii="Verdana" w:hAnsi="Verdana"/>
          <w:sz w:val="20"/>
          <w:szCs w:val="20"/>
        </w:rPr>
        <w:t>generador</w:t>
      </w:r>
      <w:r w:rsidRPr="000E76AB">
        <w:rPr>
          <w:rFonts w:ascii="Verdana" w:hAnsi="Verdana"/>
          <w:sz w:val="20"/>
          <w:szCs w:val="20"/>
        </w:rPr>
        <w:t>, la empresa distribuidora deberá calcular la diferencia entre los aumentos de consumo totales contabilizados en el correspondiente período</w:t>
      </w:r>
      <w:r w:rsidR="003E08FB">
        <w:rPr>
          <w:rFonts w:ascii="Verdana" w:hAnsi="Verdana"/>
          <w:sz w:val="20"/>
          <w:szCs w:val="20"/>
        </w:rPr>
        <w:t xml:space="preserve"> mensual</w:t>
      </w:r>
      <w:r w:rsidRPr="000E76AB">
        <w:rPr>
          <w:rFonts w:ascii="Verdana" w:hAnsi="Verdana"/>
          <w:sz w:val="20"/>
          <w:szCs w:val="20"/>
        </w:rPr>
        <w:t>, valorizados al valor del Descuento</w:t>
      </w:r>
      <w:r w:rsidR="0095446F">
        <w:rPr>
          <w:rFonts w:ascii="Verdana" w:hAnsi="Verdana"/>
          <w:sz w:val="20"/>
          <w:szCs w:val="20"/>
        </w:rPr>
        <w:t xml:space="preserve"> promedio único</w:t>
      </w:r>
      <w:r w:rsidRPr="000E76AB">
        <w:rPr>
          <w:rFonts w:ascii="Verdana" w:hAnsi="Verdana"/>
          <w:sz w:val="20"/>
          <w:szCs w:val="20"/>
        </w:rPr>
        <w:t xml:space="preserve"> aplicado por la empresa distribuidora y la suma de los montos de aumentos de consumo </w:t>
      </w:r>
      <w:r w:rsidR="003E08FB">
        <w:rPr>
          <w:rFonts w:ascii="Verdana" w:hAnsi="Verdana"/>
          <w:sz w:val="20"/>
          <w:szCs w:val="20"/>
        </w:rPr>
        <w:t xml:space="preserve">mensuales </w:t>
      </w:r>
      <w:r w:rsidRPr="000E76AB">
        <w:rPr>
          <w:rFonts w:ascii="Verdana" w:hAnsi="Verdana"/>
          <w:sz w:val="20"/>
          <w:szCs w:val="20"/>
        </w:rPr>
        <w:t xml:space="preserve">asignados a los distintos </w:t>
      </w:r>
      <w:r w:rsidR="003E08FB">
        <w:rPr>
          <w:rFonts w:ascii="Verdana" w:hAnsi="Verdana"/>
          <w:sz w:val="20"/>
          <w:szCs w:val="20"/>
        </w:rPr>
        <w:t>generadores</w:t>
      </w:r>
      <w:r w:rsidRPr="000E76AB">
        <w:rPr>
          <w:rFonts w:ascii="Verdana" w:hAnsi="Verdana"/>
          <w:sz w:val="20"/>
          <w:szCs w:val="20"/>
        </w:rPr>
        <w:t xml:space="preserve">, valorizados al Precio de Oferta respectivo. Dicha diferencia será devuelta a los </w:t>
      </w:r>
      <w:r w:rsidR="000C76C7">
        <w:rPr>
          <w:rFonts w:ascii="Verdana" w:hAnsi="Verdana"/>
          <w:sz w:val="20"/>
        </w:rPr>
        <w:t>usuarios finales</w:t>
      </w:r>
      <w:r w:rsidR="000C76C7" w:rsidRPr="000E76AB" w:rsidDel="000C76C7">
        <w:rPr>
          <w:rFonts w:ascii="Verdana" w:hAnsi="Verdana"/>
          <w:sz w:val="20"/>
          <w:szCs w:val="20"/>
        </w:rPr>
        <w:t xml:space="preserve"> </w:t>
      </w:r>
      <w:r w:rsidRPr="000E76AB">
        <w:rPr>
          <w:rFonts w:ascii="Verdana" w:hAnsi="Verdana"/>
          <w:sz w:val="20"/>
          <w:szCs w:val="20"/>
        </w:rPr>
        <w:t xml:space="preserve">que han suscrito el acuerdo con la empresa distribuidora, a través de un descuento en la boleta o factura siguiente, adicional al señalado en el segundo inciso del presente artículo, a prorrata de los aumentos de consumo de cada </w:t>
      </w:r>
      <w:r w:rsidR="000C76C7">
        <w:rPr>
          <w:rFonts w:ascii="Verdana" w:hAnsi="Verdana"/>
          <w:sz w:val="20"/>
          <w:szCs w:val="20"/>
        </w:rPr>
        <w:t>usuario final</w:t>
      </w:r>
      <w:r w:rsidR="000C76C7" w:rsidRPr="000E76AB">
        <w:rPr>
          <w:rFonts w:ascii="Verdana" w:hAnsi="Verdana"/>
          <w:sz w:val="20"/>
          <w:szCs w:val="20"/>
        </w:rPr>
        <w:t xml:space="preserve"> </w:t>
      </w:r>
      <w:r w:rsidRPr="000E76AB">
        <w:rPr>
          <w:rFonts w:ascii="Verdana" w:hAnsi="Verdana"/>
          <w:sz w:val="20"/>
          <w:szCs w:val="20"/>
        </w:rPr>
        <w:t>durante mes anterior.</w:t>
      </w:r>
    </w:p>
    <w:p w14:paraId="6D376B3C" w14:textId="77777777" w:rsidR="00BE148D" w:rsidRPr="000E76AB" w:rsidRDefault="00BE148D" w:rsidP="00BE148D">
      <w:pPr>
        <w:jc w:val="both"/>
        <w:rPr>
          <w:rFonts w:ascii="Verdana" w:hAnsi="Verdana"/>
          <w:sz w:val="20"/>
          <w:szCs w:val="20"/>
        </w:rPr>
      </w:pPr>
    </w:p>
    <w:p w14:paraId="1C0A3B17" w14:textId="0D5E0945" w:rsidR="002523E3" w:rsidRDefault="00BF0B62" w:rsidP="002523E3">
      <w:pPr>
        <w:jc w:val="both"/>
        <w:rPr>
          <w:rFonts w:ascii="Verdana" w:hAnsi="Verdana" w:cs="Arial"/>
          <w:sz w:val="20"/>
          <w:szCs w:val="20"/>
        </w:rPr>
      </w:pPr>
      <w:r w:rsidRPr="3A97257B">
        <w:rPr>
          <w:rFonts w:ascii="Verdana" w:hAnsi="Verdana"/>
          <w:sz w:val="20"/>
          <w:szCs w:val="20"/>
        </w:rPr>
        <w:t>La empresa distribuidora</w:t>
      </w:r>
      <w:r w:rsidR="00304153" w:rsidRPr="3A97257B">
        <w:rPr>
          <w:rFonts w:ascii="Verdana" w:hAnsi="Verdana"/>
          <w:sz w:val="20"/>
          <w:szCs w:val="20"/>
        </w:rPr>
        <w:t xml:space="preserve"> </w:t>
      </w:r>
      <w:r w:rsidR="00994EEA" w:rsidRPr="3A97257B">
        <w:rPr>
          <w:rFonts w:ascii="Verdana" w:hAnsi="Verdana"/>
          <w:sz w:val="20"/>
          <w:szCs w:val="20"/>
        </w:rPr>
        <w:t xml:space="preserve">deberá </w:t>
      </w:r>
      <w:r w:rsidR="00304153" w:rsidRPr="3A97257B">
        <w:rPr>
          <w:rFonts w:ascii="Verdana" w:hAnsi="Verdana"/>
          <w:sz w:val="20"/>
          <w:szCs w:val="20"/>
        </w:rPr>
        <w:t xml:space="preserve">poner a disposición de sus </w:t>
      </w:r>
      <w:r w:rsidR="000C76C7">
        <w:rPr>
          <w:rFonts w:ascii="Verdana" w:hAnsi="Verdana"/>
          <w:sz w:val="20"/>
          <w:szCs w:val="20"/>
        </w:rPr>
        <w:t>usuarios finales</w:t>
      </w:r>
      <w:r w:rsidR="000C76C7" w:rsidRPr="3A97257B">
        <w:rPr>
          <w:rFonts w:ascii="Verdana" w:hAnsi="Verdana"/>
          <w:sz w:val="20"/>
          <w:szCs w:val="20"/>
        </w:rPr>
        <w:t xml:space="preserve"> </w:t>
      </w:r>
      <w:r w:rsidRPr="3A97257B">
        <w:rPr>
          <w:rFonts w:ascii="Verdana" w:hAnsi="Verdana"/>
          <w:sz w:val="20"/>
          <w:szCs w:val="20"/>
        </w:rPr>
        <w:t xml:space="preserve">el Descuento resultante del mecanismo de incentivo </w:t>
      </w:r>
      <w:r w:rsidRPr="3A97257B">
        <w:rPr>
          <w:rFonts w:ascii="Verdana" w:hAnsi="Verdana" w:cs="Arial"/>
          <w:sz w:val="20"/>
          <w:szCs w:val="20"/>
        </w:rPr>
        <w:t>para aumentos de consumo</w:t>
      </w:r>
      <w:r w:rsidR="00304153" w:rsidRPr="3A97257B">
        <w:rPr>
          <w:rFonts w:ascii="Verdana" w:hAnsi="Verdana" w:cs="Arial"/>
          <w:sz w:val="20"/>
          <w:szCs w:val="20"/>
        </w:rPr>
        <w:t>, y deberá facilitar la suscripción de</w:t>
      </w:r>
      <w:r w:rsidR="002523E3" w:rsidRPr="3A97257B">
        <w:rPr>
          <w:rFonts w:ascii="Verdana" w:hAnsi="Verdana" w:cs="Arial"/>
          <w:sz w:val="20"/>
          <w:szCs w:val="20"/>
        </w:rPr>
        <w:t>l</w:t>
      </w:r>
      <w:r w:rsidR="00304153" w:rsidRPr="3A97257B">
        <w:rPr>
          <w:rFonts w:ascii="Verdana" w:hAnsi="Verdana" w:cs="Arial"/>
          <w:sz w:val="20"/>
          <w:szCs w:val="20"/>
        </w:rPr>
        <w:t xml:space="preserve"> acuerdo señalado en el artículo 7</w:t>
      </w:r>
      <w:r w:rsidR="002523E3" w:rsidRPr="3A97257B">
        <w:rPr>
          <w:rFonts w:ascii="Verdana" w:hAnsi="Verdana" w:cs="Arial"/>
          <w:sz w:val="20"/>
          <w:szCs w:val="20"/>
        </w:rPr>
        <w:t>2</w:t>
      </w:r>
      <w:r w:rsidR="00304153" w:rsidRPr="3A97257B">
        <w:rPr>
          <w:rFonts w:ascii="Verdana" w:hAnsi="Verdana" w:cs="Arial"/>
          <w:sz w:val="20"/>
          <w:szCs w:val="20"/>
        </w:rPr>
        <w:t>°</w:t>
      </w:r>
      <w:r w:rsidRPr="3A97257B">
        <w:rPr>
          <w:rFonts w:ascii="Verdana" w:hAnsi="Verdana" w:cs="Arial"/>
          <w:sz w:val="20"/>
          <w:szCs w:val="20"/>
        </w:rPr>
        <w:t xml:space="preserve">, </w:t>
      </w:r>
      <w:r w:rsidR="00304153" w:rsidRPr="3A97257B">
        <w:rPr>
          <w:rFonts w:ascii="Verdana" w:hAnsi="Verdana" w:cs="Arial"/>
          <w:sz w:val="20"/>
          <w:szCs w:val="20"/>
        </w:rPr>
        <w:t xml:space="preserve">mediante medios </w:t>
      </w:r>
      <w:r w:rsidR="4B8BE8C6" w:rsidRPr="3A97257B">
        <w:rPr>
          <w:rFonts w:ascii="Verdana" w:hAnsi="Verdana" w:cs="Arial"/>
          <w:sz w:val="20"/>
          <w:szCs w:val="20"/>
        </w:rPr>
        <w:t>digitales</w:t>
      </w:r>
      <w:r w:rsidR="00304153" w:rsidRPr="3A97257B">
        <w:rPr>
          <w:rFonts w:ascii="Verdana" w:hAnsi="Verdana" w:cs="Arial"/>
          <w:sz w:val="20"/>
          <w:szCs w:val="20"/>
        </w:rPr>
        <w:t xml:space="preserve"> o físicos.</w:t>
      </w:r>
      <w:r w:rsidR="002523E3" w:rsidRPr="3A97257B">
        <w:rPr>
          <w:rFonts w:ascii="Verdana" w:hAnsi="Verdana" w:cs="Arial"/>
          <w:sz w:val="20"/>
          <w:szCs w:val="20"/>
        </w:rPr>
        <w:t xml:space="preserve"> Asimismo, la empresa distribuidora podrá, voluntariamente, descontar el cargo por potencia adicional de invierno, u otros cargos que ésta defina, para est</w:t>
      </w:r>
      <w:r w:rsidR="3DBD6265" w:rsidRPr="3A97257B">
        <w:rPr>
          <w:rFonts w:ascii="Verdana" w:hAnsi="Verdana" w:cs="Arial"/>
          <w:sz w:val="20"/>
          <w:szCs w:val="20"/>
        </w:rPr>
        <w:t>os aumentos de</w:t>
      </w:r>
      <w:r w:rsidR="002523E3" w:rsidRPr="3A97257B">
        <w:rPr>
          <w:rFonts w:ascii="Verdana" w:hAnsi="Verdana" w:cs="Arial"/>
          <w:sz w:val="20"/>
          <w:szCs w:val="20"/>
        </w:rPr>
        <w:t xml:space="preserve"> consumo.</w:t>
      </w:r>
      <w:r w:rsidR="00A058D4" w:rsidRPr="3A97257B">
        <w:rPr>
          <w:rFonts w:ascii="Verdana" w:hAnsi="Verdana" w:cs="Arial"/>
          <w:sz w:val="20"/>
          <w:szCs w:val="20"/>
        </w:rPr>
        <w:t xml:space="preserve"> </w:t>
      </w:r>
      <w:r w:rsidR="003E08FB" w:rsidRPr="3A97257B">
        <w:rPr>
          <w:rFonts w:ascii="Verdana" w:hAnsi="Verdana" w:cs="Arial"/>
          <w:sz w:val="20"/>
          <w:szCs w:val="20"/>
        </w:rPr>
        <w:t xml:space="preserve">Tales descuentos </w:t>
      </w:r>
      <w:r w:rsidR="75C86C42" w:rsidRPr="3A97257B">
        <w:rPr>
          <w:rFonts w:ascii="Verdana" w:hAnsi="Verdana" w:cs="Arial"/>
          <w:sz w:val="20"/>
          <w:szCs w:val="20"/>
        </w:rPr>
        <w:t xml:space="preserve">no </w:t>
      </w:r>
      <w:r w:rsidR="003E08FB" w:rsidRPr="3A97257B">
        <w:rPr>
          <w:rFonts w:ascii="Verdana" w:hAnsi="Verdana" w:cs="Arial"/>
          <w:sz w:val="20"/>
          <w:szCs w:val="20"/>
        </w:rPr>
        <w:t xml:space="preserve">podrán ser considerados costos de cargo al generador que </w:t>
      </w:r>
      <w:r w:rsidR="003E08FB" w:rsidRPr="3A97257B">
        <w:rPr>
          <w:rFonts w:ascii="Verdana" w:hAnsi="Verdana" w:cs="Arial"/>
          <w:sz w:val="20"/>
          <w:szCs w:val="20"/>
        </w:rPr>
        <w:lastRenderedPageBreak/>
        <w:t xml:space="preserve">realice la oferta, relacionados con la implementación del sistema de incentivos para aumentos de consumo a que se refiere el artículo 71°. </w:t>
      </w:r>
    </w:p>
    <w:p w14:paraId="433C75E4" w14:textId="77777777" w:rsidR="00A058D4" w:rsidRPr="002523E3" w:rsidRDefault="00A058D4" w:rsidP="002523E3">
      <w:pPr>
        <w:jc w:val="both"/>
        <w:rPr>
          <w:rFonts w:ascii="Verdana" w:hAnsi="Verdana" w:cs="Arial"/>
          <w:sz w:val="20"/>
          <w:szCs w:val="20"/>
        </w:rPr>
      </w:pPr>
    </w:p>
    <w:p w14:paraId="35909720" w14:textId="58FB0FBE" w:rsidR="00BE148D" w:rsidRPr="002523E3" w:rsidRDefault="00304153" w:rsidP="00BE148D">
      <w:pPr>
        <w:jc w:val="both"/>
        <w:rPr>
          <w:rFonts w:ascii="Verdana" w:hAnsi="Verdana"/>
          <w:sz w:val="20"/>
          <w:szCs w:val="20"/>
        </w:rPr>
      </w:pPr>
      <w:r w:rsidRPr="3A97257B">
        <w:rPr>
          <w:rFonts w:ascii="Verdana" w:hAnsi="Verdana" w:cs="Arial"/>
          <w:sz w:val="20"/>
          <w:szCs w:val="20"/>
        </w:rPr>
        <w:t xml:space="preserve">La empresa distribuidora no podrá negar la suscripción del acuerdo </w:t>
      </w:r>
      <w:r w:rsidR="00BF0B62" w:rsidRPr="3A97257B">
        <w:rPr>
          <w:rFonts w:ascii="Verdana" w:hAnsi="Verdana" w:cs="Arial"/>
          <w:sz w:val="20"/>
          <w:szCs w:val="20"/>
        </w:rPr>
        <w:t>a quien lo solicite y cumpla con los requisitos establecidos</w:t>
      </w:r>
      <w:r w:rsidR="002523E3" w:rsidRPr="3A97257B">
        <w:rPr>
          <w:rFonts w:ascii="Verdana" w:hAnsi="Verdana" w:cs="Arial"/>
          <w:sz w:val="20"/>
          <w:szCs w:val="20"/>
        </w:rPr>
        <w:t xml:space="preserve"> en este capítulo</w:t>
      </w:r>
      <w:r w:rsidR="00BF0B62" w:rsidRPr="3A97257B">
        <w:rPr>
          <w:rFonts w:ascii="Verdana" w:hAnsi="Verdana" w:cs="Arial"/>
          <w:sz w:val="20"/>
          <w:szCs w:val="20"/>
        </w:rPr>
        <w:t>. La empresa distribuidora deberá encargarse de la gestión de publicidad del mecanismo</w:t>
      </w:r>
      <w:r w:rsidR="002523E3" w:rsidRPr="3A97257B">
        <w:rPr>
          <w:rFonts w:ascii="Verdana" w:hAnsi="Verdana" w:cs="Arial"/>
          <w:sz w:val="20"/>
          <w:szCs w:val="20"/>
        </w:rPr>
        <w:t xml:space="preserve">, </w:t>
      </w:r>
      <w:r w:rsidR="19ECC375" w:rsidRPr="3A97257B">
        <w:rPr>
          <w:rFonts w:ascii="Verdana" w:hAnsi="Verdana" w:cs="Arial"/>
          <w:sz w:val="20"/>
          <w:szCs w:val="20"/>
        </w:rPr>
        <w:t>publicando al menos las ofertas respectivas en su página web</w:t>
      </w:r>
      <w:r w:rsidR="6B3F7312" w:rsidRPr="3A97257B">
        <w:rPr>
          <w:rFonts w:ascii="Verdana" w:hAnsi="Verdana" w:cs="Arial"/>
          <w:sz w:val="20"/>
          <w:szCs w:val="20"/>
        </w:rPr>
        <w:t xml:space="preserve">. </w:t>
      </w:r>
      <w:r w:rsidR="76A2D053" w:rsidRPr="3A97257B">
        <w:rPr>
          <w:rFonts w:ascii="Verdana" w:hAnsi="Verdana" w:cs="Arial"/>
          <w:sz w:val="20"/>
          <w:szCs w:val="20"/>
        </w:rPr>
        <w:t>A</w:t>
      </w:r>
      <w:r w:rsidR="19ECC375" w:rsidRPr="3A97257B">
        <w:rPr>
          <w:rFonts w:ascii="Verdana" w:hAnsi="Verdana" w:cs="Arial"/>
          <w:sz w:val="20"/>
          <w:szCs w:val="20"/>
        </w:rPr>
        <w:t>dicionalmente deber</w:t>
      </w:r>
      <w:r w:rsidR="48BA252E" w:rsidRPr="3A97257B">
        <w:rPr>
          <w:rFonts w:ascii="Verdana" w:hAnsi="Verdana" w:cs="Arial"/>
          <w:sz w:val="20"/>
          <w:szCs w:val="20"/>
        </w:rPr>
        <w:t>á</w:t>
      </w:r>
      <w:r w:rsidR="19ECC375" w:rsidRPr="3A97257B">
        <w:rPr>
          <w:rFonts w:ascii="Verdana" w:hAnsi="Verdana" w:cs="Arial"/>
          <w:sz w:val="20"/>
          <w:szCs w:val="20"/>
        </w:rPr>
        <w:t xml:space="preserve"> publicitar el mecanismo </w:t>
      </w:r>
      <w:r w:rsidR="002523E3" w:rsidRPr="3A97257B">
        <w:rPr>
          <w:rFonts w:ascii="Verdana" w:hAnsi="Verdana" w:cs="Arial"/>
          <w:sz w:val="20"/>
          <w:szCs w:val="20"/>
        </w:rPr>
        <w:t xml:space="preserve">mediante medios físicos y </w:t>
      </w:r>
      <w:r w:rsidR="14B2A04B" w:rsidRPr="3A97257B">
        <w:rPr>
          <w:rFonts w:ascii="Verdana" w:hAnsi="Verdana" w:cs="Arial"/>
          <w:sz w:val="20"/>
          <w:szCs w:val="20"/>
        </w:rPr>
        <w:t xml:space="preserve">digitales </w:t>
      </w:r>
      <w:r w:rsidR="002523E3" w:rsidRPr="3A97257B">
        <w:rPr>
          <w:rFonts w:ascii="Verdana" w:hAnsi="Verdana" w:cs="Arial"/>
          <w:sz w:val="20"/>
          <w:szCs w:val="20"/>
        </w:rPr>
        <w:t xml:space="preserve">de manera tal que </w:t>
      </w:r>
      <w:r w:rsidR="009C08F6" w:rsidRPr="3A97257B">
        <w:rPr>
          <w:rFonts w:ascii="Verdana" w:hAnsi="Verdana" w:cs="Arial"/>
          <w:sz w:val="20"/>
          <w:szCs w:val="20"/>
        </w:rPr>
        <w:t>los usuarios finales destinatarios de las ofertas tengan acceso a ellas</w:t>
      </w:r>
      <w:r w:rsidR="00803B84" w:rsidRPr="3A97257B">
        <w:rPr>
          <w:rFonts w:ascii="Verdana" w:hAnsi="Verdana" w:cs="Arial"/>
          <w:sz w:val="20"/>
          <w:szCs w:val="20"/>
        </w:rPr>
        <w:t xml:space="preserve"> y a la información necesaria para evaluar las ofertas respectivas y su conveniencia</w:t>
      </w:r>
      <w:r w:rsidR="00BF0B62" w:rsidRPr="3A97257B">
        <w:rPr>
          <w:rFonts w:ascii="Verdana" w:hAnsi="Verdana" w:cs="Arial"/>
          <w:sz w:val="20"/>
          <w:szCs w:val="20"/>
        </w:rPr>
        <w:t>.</w:t>
      </w:r>
    </w:p>
    <w:p w14:paraId="070286B0" w14:textId="77777777" w:rsidR="00BE148D" w:rsidRPr="000E76AB" w:rsidRDefault="00BE148D" w:rsidP="00BE148D">
      <w:pPr>
        <w:jc w:val="both"/>
        <w:rPr>
          <w:rFonts w:ascii="Verdana" w:hAnsi="Verdana"/>
          <w:sz w:val="20"/>
          <w:szCs w:val="20"/>
        </w:rPr>
      </w:pPr>
    </w:p>
    <w:p w14:paraId="1A057673" w14:textId="77777777" w:rsidR="00100076" w:rsidRDefault="00100076" w:rsidP="00304153">
      <w:pPr>
        <w:pStyle w:val="Textodecuerpo"/>
        <w:rPr>
          <w:rFonts w:ascii="Verdana" w:hAnsi="Verdana" w:cs="Arial"/>
          <w:sz w:val="20"/>
        </w:rPr>
      </w:pPr>
    </w:p>
    <w:p w14:paraId="1A3A47B4" w14:textId="3297CACF" w:rsidR="00304153" w:rsidRPr="000E76AB" w:rsidRDefault="00757525" w:rsidP="000E76AB">
      <w:pPr>
        <w:pStyle w:val="Textodecuerpo"/>
        <w:rPr>
          <w:rFonts w:ascii="Verdana" w:hAnsi="Verdana"/>
          <w:sz w:val="20"/>
        </w:rPr>
      </w:pPr>
      <w:r w:rsidRPr="000E76AB">
        <w:rPr>
          <w:rFonts w:ascii="Verdana" w:hAnsi="Verdana" w:cs="Arial"/>
          <w:b/>
          <w:bCs/>
          <w:sz w:val="20"/>
        </w:rPr>
        <w:t>Artículo 70º:  Condiciones de facturación.</w:t>
      </w:r>
      <w:r w:rsidR="00100076">
        <w:rPr>
          <w:rFonts w:ascii="Verdana" w:hAnsi="Verdana" w:cs="Arial"/>
          <w:b/>
          <w:bCs/>
          <w:sz w:val="20"/>
        </w:rPr>
        <w:t xml:space="preserve"> </w:t>
      </w:r>
      <w:r w:rsidR="00304153" w:rsidRPr="000E76AB">
        <w:rPr>
          <w:rFonts w:ascii="Verdana" w:hAnsi="Verdana"/>
          <w:sz w:val="20"/>
        </w:rPr>
        <w:t xml:space="preserve">Corresponderá a las empresas de distribución determinar los aumentos de consumo originados por la reconversión </w:t>
      </w:r>
      <w:r w:rsidR="00426646">
        <w:rPr>
          <w:rFonts w:ascii="Verdana" w:hAnsi="Verdana"/>
          <w:sz w:val="20"/>
        </w:rPr>
        <w:t>energética</w:t>
      </w:r>
      <w:r w:rsidR="00304153" w:rsidRPr="000E76AB">
        <w:rPr>
          <w:rFonts w:ascii="Verdana" w:hAnsi="Verdana"/>
          <w:sz w:val="20"/>
        </w:rPr>
        <w:t xml:space="preserve"> de los usuarios a que se refiere el presente capítulo, así como el monto </w:t>
      </w:r>
      <w:r w:rsidR="003A2509">
        <w:rPr>
          <w:rFonts w:ascii="Verdana" w:hAnsi="Verdana"/>
          <w:sz w:val="20"/>
        </w:rPr>
        <w:t>equivalente</w:t>
      </w:r>
      <w:r w:rsidR="003A2509" w:rsidRPr="000E76AB">
        <w:rPr>
          <w:rFonts w:ascii="Verdana" w:hAnsi="Verdana"/>
          <w:sz w:val="20"/>
        </w:rPr>
        <w:t xml:space="preserve"> </w:t>
      </w:r>
      <w:r w:rsidR="00304153" w:rsidRPr="000E76AB">
        <w:rPr>
          <w:rFonts w:ascii="Verdana" w:hAnsi="Verdana"/>
          <w:sz w:val="20"/>
        </w:rPr>
        <w:t>a remunerar a cada usuario conforme a las ofertas que se encuentren vigentes.</w:t>
      </w:r>
    </w:p>
    <w:p w14:paraId="48DD7FF5" w14:textId="77777777" w:rsidR="00304153" w:rsidRPr="000E76AB" w:rsidRDefault="00304153" w:rsidP="00304153">
      <w:pPr>
        <w:jc w:val="both"/>
        <w:rPr>
          <w:rFonts w:ascii="Verdana" w:hAnsi="Verdana"/>
          <w:sz w:val="20"/>
          <w:szCs w:val="20"/>
        </w:rPr>
      </w:pPr>
    </w:p>
    <w:p w14:paraId="7482C35A" w14:textId="167049A1" w:rsidR="00304153" w:rsidRPr="000E76AB" w:rsidRDefault="00304153" w:rsidP="00304153">
      <w:pPr>
        <w:jc w:val="both"/>
        <w:rPr>
          <w:rFonts w:ascii="Verdana" w:hAnsi="Verdana"/>
          <w:sz w:val="20"/>
          <w:szCs w:val="20"/>
        </w:rPr>
      </w:pPr>
      <w:r w:rsidRPr="3A97257B">
        <w:rPr>
          <w:rFonts w:ascii="Verdana" w:hAnsi="Verdana"/>
          <w:sz w:val="20"/>
          <w:szCs w:val="20"/>
        </w:rPr>
        <w:t>Asimismo, c</w:t>
      </w:r>
      <w:r w:rsidRPr="3A97257B">
        <w:rPr>
          <w:rFonts w:ascii="Verdana" w:hAnsi="Verdana" w:cstheme="minorBidi"/>
          <w:sz w:val="20"/>
          <w:szCs w:val="20"/>
        </w:rPr>
        <w:t xml:space="preserve">orresponderá a las empresas </w:t>
      </w:r>
      <w:r w:rsidRPr="3A97257B">
        <w:rPr>
          <w:rFonts w:ascii="Verdana" w:hAnsi="Verdana"/>
          <w:sz w:val="20"/>
          <w:szCs w:val="20"/>
        </w:rPr>
        <w:t xml:space="preserve">distribuidoras </w:t>
      </w:r>
      <w:r w:rsidRPr="3A97257B">
        <w:rPr>
          <w:rFonts w:ascii="Verdana" w:hAnsi="Verdana" w:cstheme="minorBidi"/>
          <w:sz w:val="20"/>
          <w:szCs w:val="20"/>
        </w:rPr>
        <w:t xml:space="preserve">imputar a </w:t>
      </w:r>
      <w:r w:rsidRPr="3A97257B">
        <w:rPr>
          <w:rFonts w:ascii="Verdana" w:hAnsi="Verdana"/>
          <w:sz w:val="20"/>
          <w:szCs w:val="20"/>
        </w:rPr>
        <w:t>los</w:t>
      </w:r>
      <w:r w:rsidRPr="3A97257B">
        <w:rPr>
          <w:rFonts w:ascii="Verdana" w:hAnsi="Verdana" w:cstheme="minorBidi"/>
          <w:sz w:val="20"/>
          <w:szCs w:val="20"/>
        </w:rPr>
        <w:t xml:space="preserve"> </w:t>
      </w:r>
      <w:r w:rsidR="00854CD6" w:rsidRPr="3A97257B">
        <w:rPr>
          <w:rFonts w:ascii="Verdana" w:hAnsi="Verdana"/>
          <w:sz w:val="20"/>
          <w:szCs w:val="20"/>
        </w:rPr>
        <w:t>generadores</w:t>
      </w:r>
      <w:r w:rsidRPr="3A97257B">
        <w:rPr>
          <w:rFonts w:ascii="Verdana" w:hAnsi="Verdana" w:cstheme="minorBidi"/>
          <w:sz w:val="20"/>
          <w:szCs w:val="20"/>
        </w:rPr>
        <w:t xml:space="preserve"> que haya</w:t>
      </w:r>
      <w:r w:rsidRPr="3A97257B">
        <w:rPr>
          <w:rFonts w:ascii="Verdana" w:hAnsi="Verdana"/>
          <w:sz w:val="20"/>
          <w:szCs w:val="20"/>
        </w:rPr>
        <w:t>n</w:t>
      </w:r>
      <w:r w:rsidRPr="3A97257B">
        <w:rPr>
          <w:rFonts w:ascii="Verdana" w:hAnsi="Verdana" w:cstheme="minorBidi"/>
          <w:sz w:val="20"/>
          <w:szCs w:val="20"/>
        </w:rPr>
        <w:t xml:space="preserve"> </w:t>
      </w:r>
      <w:r w:rsidRPr="3A97257B">
        <w:rPr>
          <w:rFonts w:ascii="Verdana" w:hAnsi="Verdana"/>
          <w:sz w:val="20"/>
          <w:szCs w:val="20"/>
        </w:rPr>
        <w:t xml:space="preserve">adjudicado ofertas a que se refiere el artículo </w:t>
      </w:r>
      <w:r w:rsidR="00534CB3" w:rsidRPr="3A97257B">
        <w:rPr>
          <w:rFonts w:ascii="Verdana" w:hAnsi="Verdana"/>
          <w:sz w:val="20"/>
          <w:szCs w:val="20"/>
        </w:rPr>
        <w:t>66°</w:t>
      </w:r>
      <w:r w:rsidRPr="3A97257B">
        <w:rPr>
          <w:rFonts w:ascii="Verdana" w:hAnsi="Verdana" w:cstheme="minorBidi"/>
          <w:sz w:val="20"/>
          <w:szCs w:val="20"/>
        </w:rPr>
        <w:t>, los montos agregados de aumentos de consumo</w:t>
      </w:r>
      <w:r w:rsidRPr="3A97257B">
        <w:rPr>
          <w:rFonts w:ascii="Verdana" w:hAnsi="Verdana"/>
          <w:sz w:val="20"/>
          <w:szCs w:val="20"/>
        </w:rPr>
        <w:t xml:space="preserve"> </w:t>
      </w:r>
      <w:r w:rsidRPr="3A97257B">
        <w:rPr>
          <w:rFonts w:ascii="Verdana" w:hAnsi="Verdana" w:cstheme="minorBidi"/>
          <w:sz w:val="20"/>
          <w:szCs w:val="20"/>
        </w:rPr>
        <w:t xml:space="preserve">que </w:t>
      </w:r>
      <w:r w:rsidRPr="3A97257B">
        <w:rPr>
          <w:rFonts w:ascii="Verdana" w:hAnsi="Verdana"/>
          <w:sz w:val="20"/>
          <w:szCs w:val="20"/>
        </w:rPr>
        <w:t>hayan efectuado l</w:t>
      </w:r>
      <w:r w:rsidRPr="3A97257B">
        <w:rPr>
          <w:rFonts w:ascii="Verdana" w:hAnsi="Verdana" w:cstheme="minorBidi"/>
          <w:sz w:val="20"/>
          <w:szCs w:val="20"/>
        </w:rPr>
        <w:t xml:space="preserve">os usuarios </w:t>
      </w:r>
      <w:r w:rsidRPr="3A97257B">
        <w:rPr>
          <w:rFonts w:ascii="Verdana" w:hAnsi="Verdana"/>
          <w:sz w:val="20"/>
          <w:szCs w:val="20"/>
        </w:rPr>
        <w:t xml:space="preserve">que suscribieron el acuerdo de </w:t>
      </w:r>
      <w:r w:rsidR="004031D5" w:rsidRPr="3A97257B">
        <w:rPr>
          <w:rFonts w:ascii="Verdana" w:hAnsi="Verdana"/>
          <w:sz w:val="20"/>
          <w:szCs w:val="20"/>
        </w:rPr>
        <w:t>re</w:t>
      </w:r>
      <w:r w:rsidRPr="3A97257B">
        <w:rPr>
          <w:rFonts w:ascii="Verdana" w:hAnsi="Verdana"/>
          <w:sz w:val="20"/>
          <w:szCs w:val="20"/>
        </w:rPr>
        <w:t>conversión con la empresa distribuidora</w:t>
      </w:r>
      <w:r w:rsidRPr="3A97257B">
        <w:rPr>
          <w:rFonts w:ascii="Verdana" w:hAnsi="Verdana" w:cstheme="minorBidi"/>
          <w:sz w:val="20"/>
          <w:szCs w:val="20"/>
        </w:rPr>
        <w:t>. Esta</w:t>
      </w:r>
      <w:r w:rsidRPr="3A97257B">
        <w:rPr>
          <w:rFonts w:ascii="Verdana" w:hAnsi="Verdana"/>
          <w:sz w:val="20"/>
          <w:szCs w:val="20"/>
        </w:rPr>
        <w:t xml:space="preserve"> </w:t>
      </w:r>
      <w:r w:rsidRPr="3A97257B">
        <w:rPr>
          <w:rFonts w:ascii="Verdana" w:hAnsi="Verdana" w:cstheme="minorBidi"/>
          <w:sz w:val="20"/>
          <w:szCs w:val="20"/>
        </w:rPr>
        <w:t>asignación se realizará a efectos de la facturación a pagar por el suministro de</w:t>
      </w:r>
      <w:r w:rsidRPr="3A97257B">
        <w:rPr>
          <w:rFonts w:ascii="Verdana" w:hAnsi="Verdana"/>
          <w:sz w:val="20"/>
          <w:szCs w:val="20"/>
        </w:rPr>
        <w:t xml:space="preserve"> </w:t>
      </w:r>
      <w:r w:rsidRPr="3A97257B">
        <w:rPr>
          <w:rFonts w:ascii="Verdana" w:hAnsi="Verdana" w:cstheme="minorBidi"/>
          <w:sz w:val="20"/>
          <w:szCs w:val="20"/>
        </w:rPr>
        <w:t xml:space="preserve">los </w:t>
      </w:r>
      <w:r w:rsidR="004D5EE7" w:rsidRPr="3A97257B">
        <w:rPr>
          <w:rFonts w:ascii="Verdana" w:hAnsi="Verdana"/>
          <w:sz w:val="20"/>
          <w:szCs w:val="20"/>
        </w:rPr>
        <w:t>generadores</w:t>
      </w:r>
      <w:r w:rsidRPr="3A97257B">
        <w:rPr>
          <w:rFonts w:ascii="Verdana" w:hAnsi="Verdana" w:cstheme="minorBidi"/>
          <w:sz w:val="20"/>
          <w:szCs w:val="20"/>
        </w:rPr>
        <w:t>, así como del cómputo de las correspondientes transferencias entre</w:t>
      </w:r>
      <w:r w:rsidRPr="3A97257B">
        <w:rPr>
          <w:rFonts w:ascii="Verdana" w:hAnsi="Verdana"/>
          <w:sz w:val="20"/>
          <w:szCs w:val="20"/>
        </w:rPr>
        <w:t xml:space="preserve"> </w:t>
      </w:r>
      <w:r w:rsidRPr="3A97257B">
        <w:rPr>
          <w:rFonts w:ascii="Verdana" w:hAnsi="Verdana" w:cstheme="minorBidi"/>
          <w:sz w:val="20"/>
          <w:szCs w:val="20"/>
        </w:rPr>
        <w:t xml:space="preserve">generadores que determine el </w:t>
      </w:r>
      <w:r w:rsidRPr="3A97257B">
        <w:rPr>
          <w:rFonts w:ascii="Verdana" w:hAnsi="Verdana"/>
          <w:sz w:val="20"/>
          <w:szCs w:val="20"/>
        </w:rPr>
        <w:t>Coordinador Eléctrico Nacional</w:t>
      </w:r>
      <w:r w:rsidRPr="3A97257B">
        <w:rPr>
          <w:rFonts w:ascii="Verdana" w:hAnsi="Verdana" w:cstheme="minorBidi"/>
          <w:sz w:val="20"/>
          <w:szCs w:val="20"/>
        </w:rPr>
        <w:t>.</w:t>
      </w:r>
      <w:r w:rsidRPr="3A97257B">
        <w:rPr>
          <w:rFonts w:ascii="Verdana" w:hAnsi="Verdana"/>
          <w:sz w:val="20"/>
          <w:szCs w:val="20"/>
        </w:rPr>
        <w:t xml:space="preserve"> A efectos de imputar al </w:t>
      </w:r>
      <w:r w:rsidR="00D76CFB" w:rsidRPr="3A97257B">
        <w:rPr>
          <w:rFonts w:ascii="Verdana" w:hAnsi="Verdana"/>
          <w:sz w:val="20"/>
          <w:szCs w:val="20"/>
        </w:rPr>
        <w:t xml:space="preserve">generador </w:t>
      </w:r>
      <w:r w:rsidRPr="3A97257B">
        <w:rPr>
          <w:rFonts w:ascii="Verdana" w:hAnsi="Verdana"/>
          <w:sz w:val="20"/>
          <w:szCs w:val="20"/>
        </w:rPr>
        <w:t xml:space="preserve">el aumento de consumo determinado a cada </w:t>
      </w:r>
      <w:r w:rsidR="000C76C7">
        <w:rPr>
          <w:rFonts w:ascii="Verdana" w:hAnsi="Verdana"/>
          <w:sz w:val="20"/>
        </w:rPr>
        <w:t>usuario final</w:t>
      </w:r>
      <w:r w:rsidR="000C76C7" w:rsidRPr="3A97257B" w:rsidDel="000C76C7">
        <w:rPr>
          <w:rFonts w:ascii="Verdana" w:hAnsi="Verdana"/>
          <w:sz w:val="20"/>
          <w:szCs w:val="20"/>
        </w:rPr>
        <w:t xml:space="preserve"> </w:t>
      </w:r>
      <w:r w:rsidRPr="3A97257B">
        <w:rPr>
          <w:rFonts w:ascii="Verdana" w:hAnsi="Verdana"/>
          <w:sz w:val="20"/>
          <w:szCs w:val="20"/>
        </w:rPr>
        <w:t xml:space="preserve">con acuerdo de </w:t>
      </w:r>
      <w:r w:rsidR="004031D5" w:rsidRPr="3A97257B">
        <w:rPr>
          <w:rFonts w:ascii="Verdana" w:hAnsi="Verdana"/>
          <w:sz w:val="20"/>
          <w:szCs w:val="20"/>
        </w:rPr>
        <w:t>re</w:t>
      </w:r>
      <w:r w:rsidRPr="3A97257B">
        <w:rPr>
          <w:rFonts w:ascii="Verdana" w:hAnsi="Verdana"/>
          <w:sz w:val="20"/>
          <w:szCs w:val="20"/>
        </w:rPr>
        <w:t>conversión</w:t>
      </w:r>
      <w:r w:rsidR="0A9DF505" w:rsidRPr="3A97257B">
        <w:rPr>
          <w:rFonts w:ascii="Verdana" w:hAnsi="Verdana"/>
          <w:sz w:val="20"/>
          <w:szCs w:val="20"/>
        </w:rPr>
        <w:t xml:space="preserve"> energética residencial</w:t>
      </w:r>
      <w:r w:rsidRPr="3A97257B">
        <w:rPr>
          <w:rFonts w:ascii="Verdana" w:hAnsi="Verdana"/>
          <w:sz w:val="20"/>
          <w:szCs w:val="20"/>
        </w:rPr>
        <w:t xml:space="preserve">, se entenderá que éste se distribuye de manera uniforme a lo largo de todo el periodo de facturación del </w:t>
      </w:r>
      <w:r w:rsidR="00FC32EF" w:rsidRPr="3A97257B">
        <w:rPr>
          <w:rFonts w:ascii="Verdana" w:hAnsi="Verdana"/>
          <w:sz w:val="20"/>
          <w:szCs w:val="20"/>
        </w:rPr>
        <w:t>usuario final</w:t>
      </w:r>
      <w:r w:rsidRPr="3A97257B">
        <w:rPr>
          <w:rFonts w:ascii="Verdana" w:hAnsi="Verdana"/>
          <w:sz w:val="20"/>
          <w:szCs w:val="20"/>
        </w:rPr>
        <w:t>.</w:t>
      </w:r>
    </w:p>
    <w:p w14:paraId="578D3C5E" w14:textId="77777777" w:rsidR="00304153" w:rsidRPr="000E76AB" w:rsidRDefault="00304153" w:rsidP="00304153">
      <w:pPr>
        <w:jc w:val="both"/>
        <w:rPr>
          <w:rFonts w:ascii="Verdana" w:hAnsi="Verdana"/>
          <w:sz w:val="20"/>
          <w:szCs w:val="20"/>
        </w:rPr>
      </w:pPr>
    </w:p>
    <w:p w14:paraId="6051D8E8" w14:textId="6CC56E2B" w:rsidR="00304153" w:rsidRPr="000E76AB" w:rsidRDefault="00304153" w:rsidP="00304153">
      <w:pPr>
        <w:jc w:val="both"/>
        <w:rPr>
          <w:rFonts w:ascii="Verdana" w:hAnsi="Verdana"/>
          <w:sz w:val="20"/>
          <w:szCs w:val="20"/>
        </w:rPr>
      </w:pPr>
      <w:r w:rsidRPr="000E76AB">
        <w:rPr>
          <w:rFonts w:ascii="Verdana" w:hAnsi="Verdana"/>
          <w:sz w:val="20"/>
          <w:szCs w:val="20"/>
        </w:rPr>
        <w:t xml:space="preserve">La asignación de los suministros entre los distintos </w:t>
      </w:r>
      <w:r w:rsidR="00854CD6">
        <w:rPr>
          <w:rFonts w:ascii="Verdana" w:hAnsi="Verdana"/>
          <w:sz w:val="20"/>
          <w:szCs w:val="20"/>
        </w:rPr>
        <w:t>generadores</w:t>
      </w:r>
      <w:r w:rsidRPr="000E76AB">
        <w:rPr>
          <w:rFonts w:ascii="Verdana" w:hAnsi="Verdana"/>
          <w:sz w:val="20"/>
          <w:szCs w:val="20"/>
        </w:rPr>
        <w:t xml:space="preserve"> de la empresa distribuidora se realizará considerando lo siguiente:</w:t>
      </w:r>
    </w:p>
    <w:p w14:paraId="3EFB38AA" w14:textId="0A95D0F2" w:rsidR="00304153" w:rsidRPr="000E76AB" w:rsidRDefault="00304153" w:rsidP="000E76AB">
      <w:pPr>
        <w:pStyle w:val="Prrafodelista"/>
        <w:numPr>
          <w:ilvl w:val="0"/>
          <w:numId w:val="26"/>
        </w:numPr>
        <w:spacing w:after="160" w:line="259" w:lineRule="auto"/>
        <w:jc w:val="both"/>
        <w:rPr>
          <w:rFonts w:ascii="Verdana" w:hAnsi="Verdana"/>
          <w:sz w:val="20"/>
          <w:szCs w:val="20"/>
        </w:rPr>
      </w:pPr>
      <w:r w:rsidRPr="000E76AB">
        <w:rPr>
          <w:rFonts w:ascii="Verdana" w:hAnsi="Verdana"/>
          <w:sz w:val="20"/>
          <w:szCs w:val="20"/>
        </w:rPr>
        <w:t xml:space="preserve">Se totalizarán los aumentos de consumo </w:t>
      </w:r>
      <w:r w:rsidR="00D76CFB">
        <w:rPr>
          <w:rFonts w:ascii="Verdana" w:hAnsi="Verdana"/>
          <w:sz w:val="20"/>
          <w:szCs w:val="20"/>
        </w:rPr>
        <w:t xml:space="preserve">mensuales </w:t>
      </w:r>
      <w:r w:rsidRPr="000E76AB">
        <w:rPr>
          <w:rFonts w:ascii="Verdana" w:hAnsi="Verdana"/>
          <w:sz w:val="20"/>
          <w:szCs w:val="20"/>
        </w:rPr>
        <w:t xml:space="preserve">originados por la reconversión </w:t>
      </w:r>
      <w:r w:rsidR="00C061ED">
        <w:rPr>
          <w:rFonts w:ascii="Verdana" w:hAnsi="Verdana"/>
          <w:sz w:val="20"/>
          <w:szCs w:val="20"/>
        </w:rPr>
        <w:t>energética</w:t>
      </w:r>
      <w:r w:rsidR="00C061ED" w:rsidRPr="000E76AB" w:rsidDel="00C061ED">
        <w:rPr>
          <w:rFonts w:ascii="Verdana" w:hAnsi="Verdana"/>
          <w:sz w:val="20"/>
          <w:szCs w:val="20"/>
        </w:rPr>
        <w:t xml:space="preserve"> </w:t>
      </w:r>
      <w:r w:rsidRPr="000E76AB">
        <w:rPr>
          <w:rFonts w:ascii="Verdana" w:hAnsi="Verdana"/>
          <w:sz w:val="20"/>
          <w:szCs w:val="20"/>
        </w:rPr>
        <w:t xml:space="preserve">de los </w:t>
      </w:r>
      <w:r w:rsidR="00FC32EF">
        <w:rPr>
          <w:rFonts w:ascii="Verdana" w:hAnsi="Verdana"/>
          <w:sz w:val="20"/>
          <w:szCs w:val="20"/>
        </w:rPr>
        <w:t>usuarios finales</w:t>
      </w:r>
      <w:r w:rsidR="00FC32EF" w:rsidRPr="000E76AB">
        <w:rPr>
          <w:rFonts w:ascii="Verdana" w:hAnsi="Verdana"/>
          <w:sz w:val="20"/>
          <w:szCs w:val="20"/>
        </w:rPr>
        <w:t xml:space="preserve"> </w:t>
      </w:r>
      <w:r w:rsidRPr="000E76AB">
        <w:rPr>
          <w:rFonts w:ascii="Verdana" w:hAnsi="Verdana"/>
          <w:sz w:val="20"/>
          <w:szCs w:val="20"/>
        </w:rPr>
        <w:t xml:space="preserve">asignados a cada </w:t>
      </w:r>
      <w:r w:rsidR="00FC32EF">
        <w:rPr>
          <w:rFonts w:ascii="Verdana" w:hAnsi="Verdana"/>
          <w:sz w:val="20"/>
          <w:szCs w:val="20"/>
        </w:rPr>
        <w:t>generador</w:t>
      </w:r>
      <w:r w:rsidR="00D76CFB">
        <w:rPr>
          <w:rFonts w:ascii="Verdana" w:hAnsi="Verdana"/>
          <w:sz w:val="20"/>
          <w:szCs w:val="20"/>
        </w:rPr>
        <w:t xml:space="preserve"> de conformidad a lo establecido en el artículo 69°</w:t>
      </w:r>
      <w:r w:rsidRPr="000E76AB">
        <w:rPr>
          <w:rFonts w:ascii="Verdana" w:hAnsi="Verdana"/>
          <w:sz w:val="20"/>
          <w:szCs w:val="20"/>
        </w:rPr>
        <w:t>, y serán referidos a las subestaciones primarias utilizando los factores de expansión de pérdidas de energía de alta y baja tensión correspondientes, establecidos en el decreto que fija las fórmulas tarifarias de distribución vigente.</w:t>
      </w:r>
    </w:p>
    <w:p w14:paraId="46B99950" w14:textId="26E5664A" w:rsidR="00304153" w:rsidRPr="000E76AB" w:rsidRDefault="00304153" w:rsidP="000E76AB">
      <w:pPr>
        <w:pStyle w:val="Prrafodelista"/>
        <w:numPr>
          <w:ilvl w:val="0"/>
          <w:numId w:val="26"/>
        </w:numPr>
        <w:spacing w:after="160" w:line="259" w:lineRule="auto"/>
        <w:jc w:val="both"/>
        <w:rPr>
          <w:rFonts w:ascii="Verdana" w:hAnsi="Verdana"/>
          <w:sz w:val="20"/>
          <w:szCs w:val="20"/>
        </w:rPr>
      </w:pPr>
      <w:r w:rsidRPr="3A97257B">
        <w:rPr>
          <w:rFonts w:ascii="Verdana" w:hAnsi="Verdana"/>
          <w:sz w:val="20"/>
          <w:szCs w:val="20"/>
        </w:rPr>
        <w:t xml:space="preserve">Para cada </w:t>
      </w:r>
      <w:r w:rsidR="00FC32EF" w:rsidRPr="3A97257B">
        <w:rPr>
          <w:rFonts w:ascii="Verdana" w:hAnsi="Verdana"/>
          <w:sz w:val="20"/>
          <w:szCs w:val="20"/>
        </w:rPr>
        <w:t>generador</w:t>
      </w:r>
      <w:r w:rsidRPr="3A97257B">
        <w:rPr>
          <w:rFonts w:ascii="Verdana" w:hAnsi="Verdana"/>
          <w:sz w:val="20"/>
          <w:szCs w:val="20"/>
        </w:rPr>
        <w:t>, los valores señalados en el numeral anterior serán distribuidos entre las distintas subestaciones primarias, a prorrata de los consumos totales medid</w:t>
      </w:r>
      <w:r w:rsidR="37759503" w:rsidRPr="3A97257B">
        <w:rPr>
          <w:rFonts w:ascii="Verdana" w:hAnsi="Verdana"/>
          <w:sz w:val="20"/>
          <w:szCs w:val="20"/>
        </w:rPr>
        <w:t>o</w:t>
      </w:r>
      <w:r w:rsidRPr="3A97257B">
        <w:rPr>
          <w:rFonts w:ascii="Verdana" w:hAnsi="Verdana"/>
          <w:sz w:val="20"/>
          <w:szCs w:val="20"/>
        </w:rPr>
        <w:t xml:space="preserve">s en dichas subestaciones primarias. </w:t>
      </w:r>
      <w:r w:rsidR="00D76CFB" w:rsidRPr="3A97257B">
        <w:rPr>
          <w:rFonts w:ascii="Verdana" w:hAnsi="Verdana"/>
          <w:sz w:val="20"/>
          <w:szCs w:val="20"/>
        </w:rPr>
        <w:t xml:space="preserve">La señalada asignación resultante de cada generador será utilizada </w:t>
      </w:r>
      <w:r w:rsidRPr="3A97257B">
        <w:rPr>
          <w:rFonts w:ascii="Verdana" w:hAnsi="Verdana"/>
          <w:sz w:val="20"/>
          <w:szCs w:val="20"/>
        </w:rPr>
        <w:t>para efectos del cómputo de retiros, como también para efectos de la facturación del suministro en los respectivos Puntos de Compra.</w:t>
      </w:r>
    </w:p>
    <w:p w14:paraId="593B7DCF" w14:textId="4991FBA6" w:rsidR="00304153" w:rsidRPr="000E76AB" w:rsidRDefault="00304153" w:rsidP="000E76AB">
      <w:pPr>
        <w:pStyle w:val="Prrafodelista"/>
        <w:numPr>
          <w:ilvl w:val="0"/>
          <w:numId w:val="26"/>
        </w:numPr>
        <w:spacing w:after="160" w:line="259" w:lineRule="auto"/>
        <w:jc w:val="both"/>
        <w:rPr>
          <w:rFonts w:ascii="Verdana" w:hAnsi="Verdana"/>
          <w:sz w:val="20"/>
          <w:szCs w:val="20"/>
        </w:rPr>
      </w:pPr>
      <w:r w:rsidRPr="000E76AB">
        <w:rPr>
          <w:rFonts w:ascii="Verdana" w:hAnsi="Verdana"/>
          <w:sz w:val="20"/>
          <w:szCs w:val="20"/>
        </w:rPr>
        <w:t>Para cada subestación primaria, la diferencia entre el consumo total de energía</w:t>
      </w:r>
      <w:r w:rsidR="00D76CFB">
        <w:rPr>
          <w:rFonts w:ascii="Verdana" w:hAnsi="Verdana"/>
          <w:sz w:val="20"/>
          <w:szCs w:val="20"/>
        </w:rPr>
        <w:t xml:space="preserve"> mensual</w:t>
      </w:r>
      <w:r w:rsidRPr="000E76AB">
        <w:rPr>
          <w:rFonts w:ascii="Verdana" w:hAnsi="Verdana"/>
          <w:sz w:val="20"/>
          <w:szCs w:val="20"/>
        </w:rPr>
        <w:t xml:space="preserve"> medido a nivel de la subestación primaria y los montos de energía</w:t>
      </w:r>
      <w:r w:rsidR="00D76CFB">
        <w:rPr>
          <w:rFonts w:ascii="Verdana" w:hAnsi="Verdana"/>
          <w:sz w:val="20"/>
          <w:szCs w:val="20"/>
        </w:rPr>
        <w:t xml:space="preserve"> provenientes de los aumentos de consumo</w:t>
      </w:r>
      <w:r w:rsidRPr="000E76AB">
        <w:rPr>
          <w:rFonts w:ascii="Verdana" w:hAnsi="Verdana"/>
          <w:sz w:val="20"/>
          <w:szCs w:val="20"/>
        </w:rPr>
        <w:t xml:space="preserve"> determinados según el numeral </w:t>
      </w:r>
      <w:r w:rsidRPr="000E76AB">
        <w:rPr>
          <w:rFonts w:ascii="Verdana" w:hAnsi="Verdana"/>
          <w:sz w:val="20"/>
          <w:szCs w:val="20"/>
        </w:rPr>
        <w:lastRenderedPageBreak/>
        <w:t xml:space="preserve">anterior, deberá ser asignada entre los distintos </w:t>
      </w:r>
      <w:r w:rsidR="00D76CFB">
        <w:rPr>
          <w:rFonts w:ascii="Verdana" w:hAnsi="Verdana"/>
          <w:sz w:val="20"/>
          <w:szCs w:val="20"/>
        </w:rPr>
        <w:t xml:space="preserve">generadores con contrato de suministro vigente, </w:t>
      </w:r>
      <w:r w:rsidRPr="000E76AB">
        <w:rPr>
          <w:rFonts w:ascii="Verdana" w:hAnsi="Verdana"/>
          <w:sz w:val="20"/>
          <w:szCs w:val="20"/>
        </w:rPr>
        <w:t>de conformidad a las normas establecidas en el Reglamento de Licitaciones.</w:t>
      </w:r>
    </w:p>
    <w:p w14:paraId="5A564FAE" w14:textId="69DF4011" w:rsidR="00304153" w:rsidRPr="000E76AB" w:rsidRDefault="00304153" w:rsidP="000E76AB">
      <w:pPr>
        <w:pStyle w:val="Prrafodelista"/>
        <w:numPr>
          <w:ilvl w:val="0"/>
          <w:numId w:val="26"/>
        </w:numPr>
        <w:spacing w:after="160" w:line="259" w:lineRule="auto"/>
        <w:jc w:val="both"/>
        <w:rPr>
          <w:rFonts w:ascii="Verdana" w:hAnsi="Verdana"/>
          <w:sz w:val="20"/>
          <w:szCs w:val="20"/>
        </w:rPr>
      </w:pPr>
      <w:r w:rsidRPr="3A97257B">
        <w:rPr>
          <w:rFonts w:ascii="Verdana" w:hAnsi="Verdana"/>
          <w:sz w:val="20"/>
          <w:szCs w:val="20"/>
        </w:rPr>
        <w:t xml:space="preserve">Los consumos de potencia de cada subestación primaria serán asignados entre los distintos </w:t>
      </w:r>
      <w:r w:rsidR="00D76CFB" w:rsidRPr="3A97257B">
        <w:rPr>
          <w:rFonts w:ascii="Verdana" w:hAnsi="Verdana"/>
          <w:sz w:val="20"/>
          <w:szCs w:val="20"/>
        </w:rPr>
        <w:t xml:space="preserve">generadores </w:t>
      </w:r>
      <w:r w:rsidRPr="3A97257B">
        <w:rPr>
          <w:rFonts w:ascii="Verdana" w:hAnsi="Verdana"/>
          <w:sz w:val="20"/>
          <w:szCs w:val="20"/>
        </w:rPr>
        <w:t xml:space="preserve">a prorrata de la energía asignada a cada </w:t>
      </w:r>
      <w:r w:rsidR="00D76CFB" w:rsidRPr="3A97257B">
        <w:rPr>
          <w:rFonts w:ascii="Verdana" w:hAnsi="Verdana"/>
          <w:sz w:val="20"/>
          <w:szCs w:val="20"/>
        </w:rPr>
        <w:t>generador</w:t>
      </w:r>
      <w:r w:rsidRPr="3A97257B">
        <w:rPr>
          <w:rFonts w:ascii="Verdana" w:hAnsi="Verdana"/>
          <w:sz w:val="20"/>
          <w:szCs w:val="20"/>
        </w:rPr>
        <w:t>, de conformidad a los numerales anteriores</w:t>
      </w:r>
      <w:r w:rsidR="77E2B697" w:rsidRPr="3A97257B">
        <w:rPr>
          <w:rFonts w:ascii="Verdana" w:hAnsi="Verdana"/>
          <w:sz w:val="20"/>
          <w:szCs w:val="20"/>
        </w:rPr>
        <w:t xml:space="preserve"> y la normativa vigente.</w:t>
      </w:r>
      <w:r w:rsidRPr="3A97257B">
        <w:rPr>
          <w:rFonts w:ascii="Verdana" w:hAnsi="Verdana"/>
          <w:sz w:val="20"/>
          <w:szCs w:val="20"/>
        </w:rPr>
        <w:t xml:space="preserve">  </w:t>
      </w:r>
    </w:p>
    <w:p w14:paraId="07FB347B" w14:textId="4F64D0A6" w:rsidR="00D76CFB" w:rsidRDefault="00304153" w:rsidP="000E76AB">
      <w:pPr>
        <w:pStyle w:val="Prrafodelista"/>
        <w:numPr>
          <w:ilvl w:val="0"/>
          <w:numId w:val="26"/>
        </w:numPr>
        <w:spacing w:after="160" w:line="259" w:lineRule="auto"/>
        <w:jc w:val="both"/>
        <w:rPr>
          <w:rFonts w:ascii="Verdana" w:hAnsi="Verdana"/>
          <w:sz w:val="20"/>
          <w:szCs w:val="20"/>
        </w:rPr>
      </w:pPr>
      <w:r w:rsidRPr="000E76AB">
        <w:rPr>
          <w:rFonts w:ascii="Verdana" w:hAnsi="Verdana"/>
          <w:sz w:val="20"/>
          <w:szCs w:val="20"/>
        </w:rPr>
        <w:t xml:space="preserve">Las facturaciones de energía y potencia en los correspondiente Punto de Compra deberán efectuarse refiriendo los montos asignados de las subestaciones primaras a cada </w:t>
      </w:r>
      <w:r w:rsidR="00D76CFB">
        <w:rPr>
          <w:rFonts w:ascii="Verdana" w:hAnsi="Verdana"/>
          <w:sz w:val="20"/>
          <w:szCs w:val="20"/>
        </w:rPr>
        <w:t>generador</w:t>
      </w:r>
      <w:r w:rsidRPr="000E76AB">
        <w:rPr>
          <w:rFonts w:ascii="Verdana" w:hAnsi="Verdana"/>
          <w:sz w:val="20"/>
          <w:szCs w:val="20"/>
        </w:rPr>
        <w:t>, de conformidad a lo establecido en la normativa vigente.</w:t>
      </w:r>
    </w:p>
    <w:p w14:paraId="5846AF92" w14:textId="7F1B5E46" w:rsidR="00304153" w:rsidRPr="00820A3B" w:rsidRDefault="00D76CFB" w:rsidP="00D76CFB">
      <w:pPr>
        <w:pStyle w:val="Prrafodelista"/>
        <w:numPr>
          <w:ilvl w:val="0"/>
          <w:numId w:val="26"/>
        </w:numPr>
        <w:spacing w:after="160" w:line="259" w:lineRule="auto"/>
        <w:jc w:val="both"/>
        <w:rPr>
          <w:rFonts w:ascii="Verdana" w:hAnsi="Verdana"/>
          <w:sz w:val="20"/>
          <w:szCs w:val="20"/>
        </w:rPr>
      </w:pPr>
      <w:r w:rsidRPr="3A97257B">
        <w:rPr>
          <w:rFonts w:ascii="Verdana" w:hAnsi="Verdana"/>
          <w:sz w:val="20"/>
          <w:szCs w:val="20"/>
        </w:rPr>
        <w:t>El generador deberá efectuar la facturación asociada a los aumentos de consumo en una factura separada de la facturación por el abastecimiento del resto del suministro de la empresa distribuidora.</w:t>
      </w:r>
      <w:r w:rsidR="00304153" w:rsidRPr="3A97257B">
        <w:rPr>
          <w:rFonts w:ascii="Verdana" w:hAnsi="Verdana"/>
          <w:sz w:val="20"/>
          <w:szCs w:val="20"/>
        </w:rPr>
        <w:t xml:space="preserve"> </w:t>
      </w:r>
    </w:p>
    <w:p w14:paraId="7C10592F" w14:textId="77777777" w:rsidR="00304153" w:rsidRPr="00F32E21" w:rsidRDefault="00304153">
      <w:pPr>
        <w:pStyle w:val="Textodecuerpo"/>
        <w:rPr>
          <w:rFonts w:ascii="Verdana" w:hAnsi="Verdana" w:cs="Arial"/>
          <w:sz w:val="20"/>
        </w:rPr>
      </w:pPr>
    </w:p>
    <w:p w14:paraId="19590F33" w14:textId="1325DCB5" w:rsidR="00F32E21" w:rsidRDefault="00757525" w:rsidP="00F32E21">
      <w:pPr>
        <w:jc w:val="both"/>
        <w:rPr>
          <w:rFonts w:ascii="Verdana" w:hAnsi="Verdana"/>
          <w:sz w:val="20"/>
          <w:szCs w:val="20"/>
        </w:rPr>
      </w:pPr>
      <w:r w:rsidRPr="000E76AB">
        <w:rPr>
          <w:rFonts w:ascii="Verdana" w:hAnsi="Verdana" w:cs="Arial"/>
          <w:b/>
          <w:bCs/>
          <w:color w:val="000000"/>
          <w:sz w:val="20"/>
          <w:szCs w:val="20"/>
          <w:lang w:val="es-CL"/>
        </w:rPr>
        <w:t>Artículo 71</w:t>
      </w:r>
      <w:r w:rsidRPr="000E76AB">
        <w:rPr>
          <w:rFonts w:ascii="Verdana" w:hAnsi="Verdana" w:cs="Arial"/>
          <w:b/>
          <w:bCs/>
          <w:color w:val="000000"/>
          <w:sz w:val="20"/>
          <w:szCs w:val="20"/>
        </w:rPr>
        <w:t>º</w:t>
      </w:r>
      <w:r w:rsidRPr="000E76AB">
        <w:rPr>
          <w:rFonts w:ascii="Verdana" w:hAnsi="Verdana" w:cs="Arial"/>
          <w:b/>
          <w:bCs/>
          <w:color w:val="000000"/>
          <w:sz w:val="20"/>
          <w:szCs w:val="20"/>
          <w:lang w:val="es-CL"/>
        </w:rPr>
        <w:t xml:space="preserve">: Costos </w:t>
      </w:r>
      <w:r w:rsidR="00534CB3" w:rsidRPr="000E76AB">
        <w:rPr>
          <w:rFonts w:ascii="Verdana" w:hAnsi="Verdana" w:cs="Arial"/>
          <w:b/>
          <w:bCs/>
          <w:color w:val="000000"/>
          <w:sz w:val="20"/>
          <w:szCs w:val="20"/>
          <w:lang w:val="es-CL"/>
        </w:rPr>
        <w:t>de responsabilidad del oferente</w:t>
      </w:r>
      <w:r w:rsidRPr="000E76AB">
        <w:rPr>
          <w:rFonts w:ascii="Verdana" w:hAnsi="Verdana" w:cs="Arial"/>
          <w:b/>
          <w:bCs/>
          <w:color w:val="000000"/>
          <w:sz w:val="20"/>
          <w:szCs w:val="20"/>
          <w:lang w:val="es-CL"/>
        </w:rPr>
        <w:t xml:space="preserve">. </w:t>
      </w:r>
      <w:r w:rsidR="00F32E21" w:rsidRPr="000E76AB">
        <w:rPr>
          <w:rFonts w:ascii="Verdana" w:hAnsi="Verdana"/>
          <w:sz w:val="20"/>
          <w:szCs w:val="20"/>
        </w:rPr>
        <w:t>Los costos relacionados con la implementación del sistema de incentivos por aumentos de consumo serán de cargo de</w:t>
      </w:r>
      <w:r w:rsidR="00820A3B">
        <w:rPr>
          <w:rFonts w:ascii="Verdana" w:hAnsi="Verdana"/>
          <w:sz w:val="20"/>
          <w:szCs w:val="20"/>
        </w:rPr>
        <w:t xml:space="preserve"> </w:t>
      </w:r>
      <w:r w:rsidR="00F32E21" w:rsidRPr="000E76AB">
        <w:rPr>
          <w:rFonts w:ascii="Verdana" w:hAnsi="Verdana"/>
          <w:sz w:val="20"/>
          <w:szCs w:val="20"/>
        </w:rPr>
        <w:t>l</w:t>
      </w:r>
      <w:r w:rsidR="00820A3B">
        <w:rPr>
          <w:rFonts w:ascii="Verdana" w:hAnsi="Verdana"/>
          <w:sz w:val="20"/>
          <w:szCs w:val="20"/>
        </w:rPr>
        <w:t>os</w:t>
      </w:r>
      <w:r w:rsidR="00F32E21" w:rsidRPr="000E76AB">
        <w:rPr>
          <w:rFonts w:ascii="Verdana" w:hAnsi="Verdana"/>
          <w:sz w:val="20"/>
          <w:szCs w:val="20"/>
        </w:rPr>
        <w:t xml:space="preserve"> </w:t>
      </w:r>
      <w:r w:rsidR="00B112AB">
        <w:rPr>
          <w:rFonts w:ascii="Verdana" w:hAnsi="Verdana"/>
          <w:sz w:val="20"/>
          <w:szCs w:val="20"/>
        </w:rPr>
        <w:t>generador</w:t>
      </w:r>
      <w:r w:rsidR="00820A3B">
        <w:rPr>
          <w:rFonts w:ascii="Verdana" w:hAnsi="Verdana"/>
          <w:sz w:val="20"/>
          <w:szCs w:val="20"/>
        </w:rPr>
        <w:t>es</w:t>
      </w:r>
      <w:r w:rsidR="00B112AB">
        <w:rPr>
          <w:rFonts w:ascii="Verdana" w:hAnsi="Verdana"/>
          <w:sz w:val="20"/>
          <w:szCs w:val="20"/>
        </w:rPr>
        <w:t xml:space="preserve"> que realice</w:t>
      </w:r>
      <w:r w:rsidR="00820A3B">
        <w:rPr>
          <w:rFonts w:ascii="Verdana" w:hAnsi="Verdana"/>
          <w:sz w:val="20"/>
          <w:szCs w:val="20"/>
        </w:rPr>
        <w:t>n</w:t>
      </w:r>
      <w:r w:rsidR="00B112AB">
        <w:rPr>
          <w:rFonts w:ascii="Verdana" w:hAnsi="Verdana"/>
          <w:sz w:val="20"/>
          <w:szCs w:val="20"/>
        </w:rPr>
        <w:t xml:space="preserve"> la oferta</w:t>
      </w:r>
      <w:r w:rsidR="00820A3B">
        <w:rPr>
          <w:rFonts w:ascii="Verdana" w:hAnsi="Verdana"/>
          <w:sz w:val="20"/>
          <w:szCs w:val="20"/>
        </w:rPr>
        <w:t>s</w:t>
      </w:r>
      <w:r w:rsidR="00F32E21" w:rsidRPr="000E76AB">
        <w:rPr>
          <w:rFonts w:ascii="Verdana" w:hAnsi="Verdana"/>
          <w:sz w:val="20"/>
          <w:szCs w:val="20"/>
        </w:rPr>
        <w:t>.</w:t>
      </w:r>
    </w:p>
    <w:p w14:paraId="583C30E4" w14:textId="77777777" w:rsidR="004B4C20" w:rsidRDefault="004B4C20" w:rsidP="00F32E21">
      <w:pPr>
        <w:jc w:val="both"/>
        <w:rPr>
          <w:rFonts w:ascii="Verdana" w:hAnsi="Verdana"/>
          <w:sz w:val="20"/>
          <w:szCs w:val="20"/>
        </w:rPr>
      </w:pPr>
    </w:p>
    <w:p w14:paraId="489C90D3" w14:textId="2575F2AD" w:rsidR="00F32E21" w:rsidRPr="000E76AB" w:rsidRDefault="00F32E21" w:rsidP="00F32E21">
      <w:pPr>
        <w:jc w:val="both"/>
        <w:rPr>
          <w:rFonts w:ascii="Verdana" w:hAnsi="Verdana"/>
          <w:sz w:val="20"/>
          <w:szCs w:val="20"/>
        </w:rPr>
      </w:pPr>
      <w:r w:rsidRPr="3A97257B">
        <w:rPr>
          <w:rFonts w:ascii="Verdana" w:hAnsi="Verdana"/>
          <w:sz w:val="20"/>
          <w:szCs w:val="20"/>
        </w:rPr>
        <w:t xml:space="preserve">Para tales efectos, el </w:t>
      </w:r>
      <w:r w:rsidR="00B112AB" w:rsidRPr="3A97257B">
        <w:rPr>
          <w:rFonts w:ascii="Verdana" w:hAnsi="Verdana"/>
          <w:sz w:val="20"/>
          <w:szCs w:val="20"/>
        </w:rPr>
        <w:t xml:space="preserve">generador </w:t>
      </w:r>
      <w:r w:rsidRPr="3A97257B">
        <w:rPr>
          <w:rFonts w:ascii="Verdana" w:hAnsi="Verdana"/>
          <w:sz w:val="20"/>
          <w:szCs w:val="20"/>
        </w:rPr>
        <w:t>deberá remunerar a la empresa distribuidora un monto equivalente</w:t>
      </w:r>
      <w:r w:rsidR="00820A3B" w:rsidRPr="3A97257B">
        <w:rPr>
          <w:rFonts w:ascii="Verdana" w:hAnsi="Verdana"/>
          <w:sz w:val="20"/>
          <w:szCs w:val="20"/>
        </w:rPr>
        <w:t xml:space="preserve"> al</w:t>
      </w:r>
      <w:r w:rsidRPr="3A97257B">
        <w:rPr>
          <w:rFonts w:ascii="Verdana" w:hAnsi="Verdana"/>
          <w:sz w:val="20"/>
          <w:szCs w:val="20"/>
        </w:rPr>
        <w:t xml:space="preserve"> total de los aumentos de consumo </w:t>
      </w:r>
      <w:r w:rsidR="00820A3B" w:rsidRPr="3A97257B">
        <w:rPr>
          <w:rFonts w:ascii="Verdana" w:hAnsi="Verdana"/>
          <w:sz w:val="20"/>
          <w:szCs w:val="20"/>
        </w:rPr>
        <w:t xml:space="preserve">mensuales de energía </w:t>
      </w:r>
      <w:r w:rsidRPr="3A97257B">
        <w:rPr>
          <w:rFonts w:ascii="Verdana" w:hAnsi="Verdana"/>
          <w:sz w:val="20"/>
          <w:szCs w:val="20"/>
        </w:rPr>
        <w:t xml:space="preserve">originados por la reconversión </w:t>
      </w:r>
      <w:r w:rsidR="004031D5" w:rsidRPr="3A97257B">
        <w:rPr>
          <w:rFonts w:ascii="Verdana" w:hAnsi="Verdana"/>
          <w:sz w:val="20"/>
          <w:szCs w:val="20"/>
        </w:rPr>
        <w:t>energética</w:t>
      </w:r>
      <w:r w:rsidR="000C76C7">
        <w:rPr>
          <w:rFonts w:ascii="Verdana" w:hAnsi="Verdana"/>
          <w:sz w:val="20"/>
          <w:szCs w:val="20"/>
        </w:rPr>
        <w:t xml:space="preserve"> </w:t>
      </w:r>
      <w:r w:rsidR="5B1FB338" w:rsidRPr="3A97257B">
        <w:rPr>
          <w:rFonts w:ascii="Verdana" w:hAnsi="Verdana"/>
          <w:sz w:val="20"/>
          <w:szCs w:val="20"/>
        </w:rPr>
        <w:t>residencial</w:t>
      </w:r>
      <w:r w:rsidR="00820A3B" w:rsidRPr="3A97257B">
        <w:rPr>
          <w:rFonts w:ascii="Verdana" w:hAnsi="Verdana"/>
          <w:sz w:val="20"/>
          <w:szCs w:val="20"/>
        </w:rPr>
        <w:t xml:space="preserve"> </w:t>
      </w:r>
      <w:r w:rsidRPr="3A97257B">
        <w:rPr>
          <w:rFonts w:ascii="Verdana" w:hAnsi="Verdana"/>
          <w:sz w:val="20"/>
          <w:szCs w:val="20"/>
        </w:rPr>
        <w:t xml:space="preserve">que le han </w:t>
      </w:r>
      <w:r w:rsidR="00820A3B" w:rsidRPr="3A97257B">
        <w:rPr>
          <w:rFonts w:ascii="Verdana" w:hAnsi="Verdana"/>
          <w:sz w:val="20"/>
          <w:szCs w:val="20"/>
        </w:rPr>
        <w:t xml:space="preserve">sido </w:t>
      </w:r>
      <w:r w:rsidRPr="3A97257B">
        <w:rPr>
          <w:rFonts w:ascii="Verdana" w:hAnsi="Verdana"/>
          <w:sz w:val="20"/>
          <w:szCs w:val="20"/>
        </w:rPr>
        <w:t>asignado</w:t>
      </w:r>
      <w:r w:rsidR="00820A3B" w:rsidRPr="3A97257B">
        <w:rPr>
          <w:rFonts w:ascii="Verdana" w:hAnsi="Verdana"/>
          <w:sz w:val="20"/>
          <w:szCs w:val="20"/>
        </w:rPr>
        <w:t>s</w:t>
      </w:r>
      <w:r w:rsidRPr="3A97257B">
        <w:rPr>
          <w:rFonts w:ascii="Verdana" w:hAnsi="Verdana"/>
          <w:sz w:val="20"/>
          <w:szCs w:val="20"/>
        </w:rPr>
        <w:t xml:space="preserve"> en virtud de su oferta</w:t>
      </w:r>
      <w:r w:rsidR="00820A3B" w:rsidRPr="3A97257B">
        <w:rPr>
          <w:rFonts w:ascii="Verdana" w:hAnsi="Verdana"/>
          <w:sz w:val="20"/>
          <w:szCs w:val="20"/>
        </w:rPr>
        <w:t xml:space="preserve"> y determinados conforme al artículo 69°</w:t>
      </w:r>
      <w:r w:rsidRPr="3A97257B">
        <w:rPr>
          <w:rFonts w:ascii="Verdana" w:hAnsi="Verdana"/>
          <w:sz w:val="20"/>
          <w:szCs w:val="20"/>
        </w:rPr>
        <w:t xml:space="preserve">, valorizados al correspondiente Precio de Oferta </w:t>
      </w:r>
      <w:r w:rsidR="00C061ED" w:rsidRPr="3A97257B">
        <w:rPr>
          <w:rFonts w:ascii="Verdana" w:hAnsi="Verdana"/>
          <w:sz w:val="20"/>
          <w:szCs w:val="20"/>
        </w:rPr>
        <w:t xml:space="preserve">de descuento </w:t>
      </w:r>
      <w:r w:rsidRPr="3A97257B">
        <w:rPr>
          <w:rFonts w:ascii="Verdana" w:hAnsi="Verdana"/>
          <w:sz w:val="20"/>
          <w:szCs w:val="20"/>
        </w:rPr>
        <w:t>adjudicado.</w:t>
      </w:r>
    </w:p>
    <w:p w14:paraId="6BEE2068" w14:textId="77777777" w:rsidR="00F32E21" w:rsidRDefault="00F32E21" w:rsidP="00F32E21">
      <w:pPr>
        <w:jc w:val="both"/>
        <w:rPr>
          <w:rFonts w:ascii="Verdana" w:hAnsi="Verdana"/>
          <w:sz w:val="20"/>
          <w:szCs w:val="20"/>
        </w:rPr>
      </w:pPr>
    </w:p>
    <w:p w14:paraId="396CC99E" w14:textId="4E2B90E7" w:rsidR="00F32E21" w:rsidRPr="000E76AB" w:rsidRDefault="00F32E21" w:rsidP="00F32E21">
      <w:pPr>
        <w:jc w:val="both"/>
        <w:rPr>
          <w:rFonts w:ascii="Verdana" w:hAnsi="Verdana"/>
          <w:sz w:val="20"/>
          <w:szCs w:val="20"/>
        </w:rPr>
      </w:pPr>
      <w:r w:rsidRPr="000E76AB">
        <w:rPr>
          <w:rFonts w:ascii="Verdana" w:hAnsi="Verdana"/>
          <w:sz w:val="20"/>
          <w:szCs w:val="20"/>
        </w:rPr>
        <w:t xml:space="preserve">Adicionalmente, el </w:t>
      </w:r>
      <w:r w:rsidR="00B112AB">
        <w:rPr>
          <w:rFonts w:ascii="Verdana" w:hAnsi="Verdana"/>
          <w:sz w:val="20"/>
          <w:szCs w:val="20"/>
        </w:rPr>
        <w:t>generador</w:t>
      </w:r>
      <w:r w:rsidRPr="000E76AB">
        <w:rPr>
          <w:rFonts w:ascii="Verdana" w:hAnsi="Verdana"/>
          <w:sz w:val="20"/>
          <w:szCs w:val="20"/>
        </w:rPr>
        <w:t xml:space="preserve"> deberá pagar o cargar, según sea el caso, un monto equivalente a la energía total facturada en cada Punto de Compra, valorizada a la diferencia entre el precio de facturación de energía del </w:t>
      </w:r>
      <w:r w:rsidR="00820A3B">
        <w:rPr>
          <w:rFonts w:ascii="Verdana" w:hAnsi="Verdana"/>
          <w:sz w:val="20"/>
          <w:szCs w:val="20"/>
        </w:rPr>
        <w:t xml:space="preserve">generador </w:t>
      </w:r>
      <w:r w:rsidRPr="000E76AB">
        <w:rPr>
          <w:rFonts w:ascii="Verdana" w:hAnsi="Verdana"/>
          <w:sz w:val="20"/>
          <w:szCs w:val="20"/>
        </w:rPr>
        <w:t xml:space="preserve">en el referido Punto de Compra y el precio de nudo de energía en nivel de distribución de la correspondiente empresa distribuidora. En caso de que dicho monto resulte positivo, el </w:t>
      </w:r>
      <w:r w:rsidR="00820A3B">
        <w:rPr>
          <w:rFonts w:ascii="Verdana" w:hAnsi="Verdana"/>
          <w:sz w:val="20"/>
          <w:szCs w:val="20"/>
        </w:rPr>
        <w:t>generador</w:t>
      </w:r>
      <w:r w:rsidR="00820A3B" w:rsidRPr="000E76AB">
        <w:rPr>
          <w:rFonts w:ascii="Verdana" w:hAnsi="Verdana"/>
          <w:sz w:val="20"/>
          <w:szCs w:val="20"/>
        </w:rPr>
        <w:t xml:space="preserve"> </w:t>
      </w:r>
      <w:r w:rsidRPr="000E76AB">
        <w:rPr>
          <w:rFonts w:ascii="Verdana" w:hAnsi="Verdana"/>
          <w:sz w:val="20"/>
          <w:szCs w:val="20"/>
        </w:rPr>
        <w:t>deberá descontarlo de su facturación mensual, mientras que, en caso de resultar negativo, el valor absoluto será adicionado a la facturación realizada a la distribuidora, de modo tal que la operación del sistema de incentivos no represente ningún costo ni tampoco un exceso de recaudación</w:t>
      </w:r>
      <w:r w:rsidR="004031D5">
        <w:rPr>
          <w:rFonts w:ascii="Verdana" w:hAnsi="Verdana"/>
          <w:sz w:val="20"/>
          <w:szCs w:val="20"/>
        </w:rPr>
        <w:t xml:space="preserve"> por </w:t>
      </w:r>
      <w:r w:rsidR="00820A3B">
        <w:rPr>
          <w:rFonts w:ascii="Verdana" w:hAnsi="Verdana"/>
          <w:sz w:val="20"/>
          <w:szCs w:val="20"/>
        </w:rPr>
        <w:t xml:space="preserve">compras de </w:t>
      </w:r>
      <w:r w:rsidR="004031D5">
        <w:rPr>
          <w:rFonts w:ascii="Verdana" w:hAnsi="Verdana"/>
          <w:sz w:val="20"/>
          <w:szCs w:val="20"/>
        </w:rPr>
        <w:t>energía</w:t>
      </w:r>
      <w:r w:rsidR="00820A3B">
        <w:rPr>
          <w:rFonts w:ascii="Verdana" w:hAnsi="Verdana"/>
          <w:sz w:val="20"/>
          <w:szCs w:val="20"/>
        </w:rPr>
        <w:t xml:space="preserve"> y potencia</w:t>
      </w:r>
      <w:r w:rsidRPr="000E76AB">
        <w:rPr>
          <w:rFonts w:ascii="Verdana" w:hAnsi="Verdana"/>
          <w:sz w:val="20"/>
          <w:szCs w:val="20"/>
        </w:rPr>
        <w:t xml:space="preserve"> en la empresa distribuidora. Asimismo, el </w:t>
      </w:r>
      <w:r w:rsidR="00820A3B">
        <w:rPr>
          <w:rFonts w:ascii="Verdana" w:hAnsi="Verdana"/>
          <w:sz w:val="20"/>
          <w:szCs w:val="20"/>
        </w:rPr>
        <w:t>generador</w:t>
      </w:r>
      <w:r w:rsidR="00820A3B" w:rsidRPr="000E76AB">
        <w:rPr>
          <w:rFonts w:ascii="Verdana" w:hAnsi="Verdana"/>
          <w:sz w:val="20"/>
          <w:szCs w:val="20"/>
        </w:rPr>
        <w:t xml:space="preserve"> </w:t>
      </w:r>
      <w:r w:rsidRPr="000E76AB">
        <w:rPr>
          <w:rFonts w:ascii="Verdana" w:hAnsi="Verdana"/>
          <w:sz w:val="20"/>
          <w:szCs w:val="20"/>
        </w:rPr>
        <w:t xml:space="preserve">deberá pagar o cargar, según sea el caso, un monto equivalente a la potencia total facturada en cada Punto de Compra, valorizada a la diferencia entre el precio de facturación de la potencia del </w:t>
      </w:r>
      <w:r w:rsidR="00820A3B">
        <w:rPr>
          <w:rFonts w:ascii="Verdana" w:hAnsi="Verdana"/>
          <w:sz w:val="20"/>
          <w:szCs w:val="20"/>
        </w:rPr>
        <w:t>generador</w:t>
      </w:r>
      <w:r w:rsidR="00820A3B" w:rsidRPr="000E76AB">
        <w:rPr>
          <w:rFonts w:ascii="Verdana" w:hAnsi="Verdana"/>
          <w:sz w:val="20"/>
          <w:szCs w:val="20"/>
        </w:rPr>
        <w:t xml:space="preserve"> </w:t>
      </w:r>
      <w:r w:rsidRPr="000E76AB">
        <w:rPr>
          <w:rFonts w:ascii="Verdana" w:hAnsi="Verdana"/>
          <w:sz w:val="20"/>
          <w:szCs w:val="20"/>
        </w:rPr>
        <w:t>en el referido Punto de Compra y el precio de nudo de la potencia en nivel de distribución de la correspondiente empresa distribuidora.</w:t>
      </w:r>
    </w:p>
    <w:p w14:paraId="5A2E8B1F" w14:textId="77777777" w:rsidR="00F32E21" w:rsidRDefault="00F32E21" w:rsidP="00F32E21">
      <w:pPr>
        <w:jc w:val="both"/>
        <w:rPr>
          <w:rFonts w:ascii="Verdana" w:hAnsi="Verdana"/>
          <w:sz w:val="20"/>
          <w:szCs w:val="20"/>
        </w:rPr>
      </w:pPr>
    </w:p>
    <w:p w14:paraId="1D7F7982" w14:textId="12C6EDD8" w:rsidR="00F32E21" w:rsidRPr="000E76AB" w:rsidRDefault="00F32E21" w:rsidP="00F32E21">
      <w:pPr>
        <w:jc w:val="both"/>
        <w:rPr>
          <w:rFonts w:ascii="Verdana" w:hAnsi="Verdana"/>
          <w:sz w:val="20"/>
          <w:szCs w:val="20"/>
        </w:rPr>
      </w:pPr>
      <w:r w:rsidRPr="3A97257B">
        <w:rPr>
          <w:rFonts w:ascii="Verdana" w:hAnsi="Verdana"/>
          <w:sz w:val="20"/>
          <w:szCs w:val="20"/>
        </w:rPr>
        <w:t xml:space="preserve">A su vez, las empresas de distribución facturarán a sus </w:t>
      </w:r>
      <w:r w:rsidR="00B112AB" w:rsidRPr="3A97257B">
        <w:rPr>
          <w:rFonts w:ascii="Verdana" w:hAnsi="Verdana"/>
          <w:sz w:val="20"/>
          <w:szCs w:val="20"/>
        </w:rPr>
        <w:t xml:space="preserve">generadores </w:t>
      </w:r>
      <w:r w:rsidRPr="3A97257B">
        <w:rPr>
          <w:rFonts w:ascii="Verdana" w:hAnsi="Verdana"/>
          <w:sz w:val="20"/>
          <w:szCs w:val="20"/>
        </w:rPr>
        <w:t xml:space="preserve">asignados con aumentos de consumo originados por la reconversión </w:t>
      </w:r>
      <w:r w:rsidR="00C061ED" w:rsidRPr="3A97257B">
        <w:rPr>
          <w:rFonts w:ascii="Verdana" w:hAnsi="Verdana"/>
          <w:sz w:val="20"/>
          <w:szCs w:val="20"/>
        </w:rPr>
        <w:t>energética</w:t>
      </w:r>
      <w:r w:rsidR="00B112AB" w:rsidRPr="3A97257B">
        <w:rPr>
          <w:rFonts w:ascii="Verdana" w:hAnsi="Verdana"/>
          <w:sz w:val="20"/>
          <w:szCs w:val="20"/>
        </w:rPr>
        <w:t xml:space="preserve"> residencial</w:t>
      </w:r>
      <w:r w:rsidR="00C061ED" w:rsidRPr="3A97257B">
        <w:rPr>
          <w:rFonts w:ascii="Verdana" w:hAnsi="Verdana"/>
          <w:sz w:val="20"/>
          <w:szCs w:val="20"/>
        </w:rPr>
        <w:t xml:space="preserve"> </w:t>
      </w:r>
      <w:r w:rsidRPr="3A97257B">
        <w:rPr>
          <w:rFonts w:ascii="Verdana" w:hAnsi="Verdana"/>
          <w:sz w:val="20"/>
          <w:szCs w:val="20"/>
        </w:rPr>
        <w:t xml:space="preserve">los costos asociados a la implementación </w:t>
      </w:r>
      <w:r w:rsidR="035338AB" w:rsidRPr="3A97257B">
        <w:rPr>
          <w:rFonts w:ascii="Verdana" w:hAnsi="Verdana"/>
          <w:sz w:val="20"/>
          <w:szCs w:val="20"/>
        </w:rPr>
        <w:t xml:space="preserve">y operación </w:t>
      </w:r>
      <w:r w:rsidRPr="3A97257B">
        <w:rPr>
          <w:rFonts w:ascii="Verdana" w:hAnsi="Verdana"/>
          <w:sz w:val="20"/>
          <w:szCs w:val="20"/>
        </w:rPr>
        <w:t>del señalado sistema de ofertas. Se distinguirán dos tipos de costo:</w:t>
      </w:r>
    </w:p>
    <w:p w14:paraId="3E65322A" w14:textId="77777777" w:rsidR="00F32E21" w:rsidRPr="000E76AB" w:rsidRDefault="00F32E21" w:rsidP="00F32E21">
      <w:pPr>
        <w:pStyle w:val="Prrafodelista"/>
        <w:numPr>
          <w:ilvl w:val="0"/>
          <w:numId w:val="25"/>
        </w:numPr>
        <w:spacing w:after="160" w:line="259" w:lineRule="auto"/>
        <w:jc w:val="both"/>
        <w:rPr>
          <w:rFonts w:ascii="Verdana" w:hAnsi="Verdana"/>
          <w:sz w:val="20"/>
          <w:szCs w:val="20"/>
        </w:rPr>
      </w:pPr>
      <w:r w:rsidRPr="000E76AB">
        <w:rPr>
          <w:rFonts w:ascii="Verdana" w:hAnsi="Verdana"/>
          <w:sz w:val="20"/>
          <w:szCs w:val="20"/>
        </w:rPr>
        <w:lastRenderedPageBreak/>
        <w:t>Costo mensual que significa la contratación y/o pago de un recurso distinto a los existentes en la empresa distribuidora, y que debe acreditarse conforme un valor facturado.</w:t>
      </w:r>
    </w:p>
    <w:p w14:paraId="4B42491A" w14:textId="0285EFC4" w:rsidR="00F32E21" w:rsidRPr="000E76AB" w:rsidRDefault="00F32E21" w:rsidP="00F32E21">
      <w:pPr>
        <w:pStyle w:val="Prrafodelista"/>
        <w:numPr>
          <w:ilvl w:val="0"/>
          <w:numId w:val="25"/>
        </w:numPr>
        <w:spacing w:after="160" w:line="259" w:lineRule="auto"/>
        <w:jc w:val="both"/>
        <w:rPr>
          <w:rFonts w:ascii="Verdana" w:hAnsi="Verdana"/>
          <w:sz w:val="20"/>
          <w:szCs w:val="20"/>
        </w:rPr>
      </w:pPr>
      <w:r w:rsidRPr="000E76AB">
        <w:rPr>
          <w:rFonts w:ascii="Verdana" w:hAnsi="Verdana"/>
          <w:sz w:val="20"/>
          <w:szCs w:val="20"/>
        </w:rPr>
        <w:t xml:space="preserve">Costo mensual por cliente suscriptor del acuerdo, </w:t>
      </w:r>
      <w:r w:rsidR="00820A3B">
        <w:rPr>
          <w:rFonts w:ascii="Verdana" w:hAnsi="Verdana"/>
          <w:sz w:val="20"/>
          <w:szCs w:val="20"/>
        </w:rPr>
        <w:t xml:space="preserve">que incurra </w:t>
      </w:r>
      <w:r w:rsidRPr="000E76AB">
        <w:rPr>
          <w:rFonts w:ascii="Verdana" w:hAnsi="Verdana"/>
          <w:sz w:val="20"/>
          <w:szCs w:val="20"/>
        </w:rPr>
        <w:t xml:space="preserve">la empresa distribuidora por el mayor uso </w:t>
      </w:r>
      <w:r w:rsidR="00820A3B">
        <w:rPr>
          <w:rFonts w:ascii="Verdana" w:hAnsi="Verdana"/>
          <w:sz w:val="20"/>
          <w:szCs w:val="20"/>
        </w:rPr>
        <w:t xml:space="preserve">de </w:t>
      </w:r>
      <w:r w:rsidRPr="000E76AB">
        <w:rPr>
          <w:rFonts w:ascii="Verdana" w:hAnsi="Verdana"/>
          <w:sz w:val="20"/>
          <w:szCs w:val="20"/>
        </w:rPr>
        <w:t xml:space="preserve">en sus recursos. </w:t>
      </w:r>
    </w:p>
    <w:p w14:paraId="6BF0053F" w14:textId="6176651B" w:rsidR="00F32E21" w:rsidRDefault="00F32E21" w:rsidP="3A97257B">
      <w:pPr>
        <w:jc w:val="both"/>
        <w:rPr>
          <w:rFonts w:ascii="Verdana" w:hAnsi="Verdana"/>
          <w:sz w:val="20"/>
          <w:szCs w:val="20"/>
        </w:rPr>
      </w:pPr>
      <w:r w:rsidRPr="3A97257B">
        <w:rPr>
          <w:rFonts w:ascii="Verdana" w:hAnsi="Verdana"/>
          <w:sz w:val="20"/>
          <w:szCs w:val="20"/>
        </w:rPr>
        <w:t>Los costos señalados serán presupuestados y definidos anualmente por la distribuidora, y podrá</w:t>
      </w:r>
      <w:r w:rsidR="727053E5" w:rsidRPr="3A97257B">
        <w:rPr>
          <w:rFonts w:ascii="Verdana" w:hAnsi="Verdana"/>
          <w:sz w:val="20"/>
          <w:szCs w:val="20"/>
        </w:rPr>
        <w:t xml:space="preserve"> establecerse fórmula</w:t>
      </w:r>
      <w:r w:rsidR="3B59566E" w:rsidRPr="3A97257B">
        <w:rPr>
          <w:rFonts w:ascii="Verdana" w:hAnsi="Verdana"/>
          <w:sz w:val="20"/>
          <w:szCs w:val="20"/>
        </w:rPr>
        <w:t>s</w:t>
      </w:r>
      <w:r w:rsidR="727053E5" w:rsidRPr="3A97257B">
        <w:rPr>
          <w:rFonts w:ascii="Verdana" w:hAnsi="Verdana"/>
          <w:sz w:val="20"/>
          <w:szCs w:val="20"/>
        </w:rPr>
        <w:t xml:space="preserve"> de indexac</w:t>
      </w:r>
      <w:r w:rsidR="68A2BF53" w:rsidRPr="3A97257B">
        <w:rPr>
          <w:rFonts w:ascii="Verdana" w:hAnsi="Verdana"/>
          <w:sz w:val="20"/>
          <w:szCs w:val="20"/>
        </w:rPr>
        <w:t>i</w:t>
      </w:r>
      <w:r w:rsidR="727053E5" w:rsidRPr="3A97257B">
        <w:rPr>
          <w:rFonts w:ascii="Verdana" w:hAnsi="Verdana"/>
          <w:sz w:val="20"/>
          <w:szCs w:val="20"/>
        </w:rPr>
        <w:t xml:space="preserve">ón, </w:t>
      </w:r>
      <w:r w:rsidR="4E0A3375" w:rsidRPr="3A97257B">
        <w:rPr>
          <w:rFonts w:ascii="Verdana" w:hAnsi="Verdana"/>
          <w:sz w:val="20"/>
          <w:szCs w:val="20"/>
        </w:rPr>
        <w:t>que reflejen la v</w:t>
      </w:r>
      <w:r w:rsidR="313CBB89" w:rsidRPr="3A97257B">
        <w:rPr>
          <w:rFonts w:ascii="Verdana" w:hAnsi="Verdana"/>
          <w:sz w:val="20"/>
          <w:szCs w:val="20"/>
        </w:rPr>
        <w:t>ariación de valorización de</w:t>
      </w:r>
      <w:r w:rsidR="402E5124" w:rsidRPr="3A97257B">
        <w:rPr>
          <w:rFonts w:ascii="Verdana" w:hAnsi="Verdana"/>
          <w:sz w:val="20"/>
          <w:szCs w:val="20"/>
        </w:rPr>
        <w:t xml:space="preserve"> dichos costos</w:t>
      </w:r>
      <w:r w:rsidRPr="3A97257B">
        <w:rPr>
          <w:rFonts w:ascii="Verdana" w:hAnsi="Verdana"/>
          <w:sz w:val="20"/>
          <w:szCs w:val="20"/>
        </w:rPr>
        <w:t>.</w:t>
      </w:r>
    </w:p>
    <w:p w14:paraId="26ADF29F" w14:textId="77777777" w:rsidR="00F32E21" w:rsidRPr="000E76AB" w:rsidRDefault="00F32E21" w:rsidP="00F32E21">
      <w:pPr>
        <w:jc w:val="both"/>
        <w:rPr>
          <w:rFonts w:ascii="Verdana" w:hAnsi="Verdana"/>
          <w:sz w:val="20"/>
          <w:szCs w:val="20"/>
        </w:rPr>
      </w:pPr>
    </w:p>
    <w:p w14:paraId="40A01B39" w14:textId="4F6B0F67" w:rsidR="00100076" w:rsidRPr="008946D0" w:rsidRDefault="00F32E21" w:rsidP="3A97257B">
      <w:pPr>
        <w:pStyle w:val="Textodecuerpo"/>
        <w:rPr>
          <w:rFonts w:ascii="Verdana" w:hAnsi="Verdana" w:cs="Arial"/>
          <w:sz w:val="20"/>
        </w:rPr>
      </w:pPr>
      <w:r w:rsidRPr="3A97257B">
        <w:rPr>
          <w:rFonts w:ascii="Verdana" w:hAnsi="Verdana"/>
          <w:sz w:val="20"/>
        </w:rPr>
        <w:t>El presupuesto de costos deberá ser aprobado por la Comisión, y sólo podrá contemplar costos adicionales a los que la empresa distribuidora incurriría de no existir ofertas específicas</w:t>
      </w:r>
      <w:r w:rsidR="00071475" w:rsidRPr="3A97257B">
        <w:rPr>
          <w:rFonts w:ascii="Verdana" w:hAnsi="Verdana"/>
          <w:sz w:val="20"/>
        </w:rPr>
        <w:t xml:space="preserve"> para reconversión energética residencial</w:t>
      </w:r>
      <w:r w:rsidRPr="3A97257B">
        <w:rPr>
          <w:rFonts w:ascii="Verdana" w:hAnsi="Verdana"/>
          <w:sz w:val="20"/>
        </w:rPr>
        <w:t>. En particular, no se incluirán costos asociados a la puesta en marcha y mantención de los mecanismos que permiten hacer operativas las disposiciones de la presente resolución</w:t>
      </w:r>
      <w:r w:rsidR="00100076" w:rsidRPr="3A97257B">
        <w:rPr>
          <w:rFonts w:ascii="Verdana" w:hAnsi="Verdana"/>
          <w:sz w:val="20"/>
        </w:rPr>
        <w:t xml:space="preserve">. </w:t>
      </w:r>
      <w:r w:rsidR="00100076" w:rsidRPr="3A97257B">
        <w:rPr>
          <w:rFonts w:ascii="Verdana" w:hAnsi="Verdana" w:cs="Arial"/>
          <w:sz w:val="20"/>
        </w:rPr>
        <w:t xml:space="preserve">Para la elaboración del presupuesto respectivo, las concesionarias de distribución deberán considerar las economías de ámbito y escala que puedan aprovechar. La Comisión deberá publicar en su página web e informar dichos costos a todos aquellos </w:t>
      </w:r>
      <w:r w:rsidR="00071475" w:rsidRPr="3A97257B">
        <w:rPr>
          <w:rFonts w:ascii="Verdana" w:hAnsi="Verdana" w:cs="Arial"/>
          <w:sz w:val="20"/>
        </w:rPr>
        <w:t>generadores que suministren a</w:t>
      </w:r>
      <w:r w:rsidR="00100076" w:rsidRPr="3A97257B">
        <w:rPr>
          <w:rFonts w:ascii="Verdana" w:hAnsi="Verdana" w:cs="Arial"/>
          <w:sz w:val="20"/>
        </w:rPr>
        <w:t xml:space="preserve"> la empresa distribuidora respectiva.</w:t>
      </w:r>
    </w:p>
    <w:p w14:paraId="59414228" w14:textId="77777777" w:rsidR="00100076" w:rsidRDefault="00100076" w:rsidP="00100076">
      <w:pPr>
        <w:jc w:val="both"/>
        <w:rPr>
          <w:rFonts w:ascii="Verdana" w:hAnsi="Verdana"/>
          <w:sz w:val="20"/>
          <w:szCs w:val="20"/>
        </w:rPr>
      </w:pPr>
    </w:p>
    <w:p w14:paraId="74A6A396" w14:textId="76F459AF" w:rsidR="00F32E21" w:rsidRPr="000E76AB" w:rsidRDefault="00F32E21" w:rsidP="00F32E21">
      <w:pPr>
        <w:jc w:val="both"/>
        <w:rPr>
          <w:rFonts w:ascii="Verdana" w:hAnsi="Verdana"/>
          <w:sz w:val="20"/>
          <w:szCs w:val="20"/>
        </w:rPr>
      </w:pPr>
      <w:r w:rsidRPr="3A97257B">
        <w:rPr>
          <w:rFonts w:ascii="Verdana" w:hAnsi="Verdana"/>
          <w:sz w:val="20"/>
          <w:szCs w:val="20"/>
        </w:rPr>
        <w:t xml:space="preserve">Los costos derivados de la implementación de ofertas señalados en la letra a) anterior y los costos señalados en la letra b) multiplicados por el número de </w:t>
      </w:r>
      <w:r w:rsidR="00071475" w:rsidRPr="3A97257B">
        <w:rPr>
          <w:rFonts w:ascii="Verdana" w:hAnsi="Verdana"/>
          <w:sz w:val="20"/>
          <w:szCs w:val="20"/>
        </w:rPr>
        <w:t>usuarios finales</w:t>
      </w:r>
      <w:r w:rsidRPr="3A97257B">
        <w:rPr>
          <w:rFonts w:ascii="Verdana" w:hAnsi="Verdana"/>
          <w:sz w:val="20"/>
          <w:szCs w:val="20"/>
        </w:rPr>
        <w:t xml:space="preserve"> suscriptores de acuerdos, serán remunerados por los </w:t>
      </w:r>
      <w:r w:rsidR="00071475" w:rsidRPr="3A97257B">
        <w:rPr>
          <w:rFonts w:ascii="Verdana" w:hAnsi="Verdana"/>
          <w:sz w:val="20"/>
          <w:szCs w:val="20"/>
        </w:rPr>
        <w:t>generadores</w:t>
      </w:r>
      <w:r w:rsidRPr="3A97257B">
        <w:rPr>
          <w:rFonts w:ascii="Verdana" w:hAnsi="Verdana"/>
          <w:sz w:val="20"/>
          <w:szCs w:val="20"/>
        </w:rPr>
        <w:t xml:space="preserve">, a prorrata de los aumentos de consumo asignados a cada </w:t>
      </w:r>
      <w:r w:rsidR="00071475" w:rsidRPr="3A97257B">
        <w:rPr>
          <w:rFonts w:ascii="Verdana" w:hAnsi="Verdana"/>
          <w:sz w:val="20"/>
          <w:szCs w:val="20"/>
        </w:rPr>
        <w:t>generador</w:t>
      </w:r>
      <w:r w:rsidRPr="3A97257B">
        <w:rPr>
          <w:rFonts w:ascii="Verdana" w:hAnsi="Verdana"/>
          <w:sz w:val="20"/>
          <w:szCs w:val="20"/>
        </w:rPr>
        <w:t xml:space="preserve">. </w:t>
      </w:r>
    </w:p>
    <w:p w14:paraId="3AEC92E6" w14:textId="77777777" w:rsidR="00F32E21" w:rsidRDefault="00F32E21" w:rsidP="00F32E21">
      <w:pPr>
        <w:jc w:val="both"/>
        <w:rPr>
          <w:rFonts w:ascii="Verdana" w:hAnsi="Verdana"/>
          <w:sz w:val="20"/>
          <w:szCs w:val="20"/>
        </w:rPr>
      </w:pPr>
    </w:p>
    <w:p w14:paraId="37DEA2B6" w14:textId="62142C19" w:rsidR="00F32E21" w:rsidRPr="000E76AB" w:rsidRDefault="00F32E21" w:rsidP="00F32E21">
      <w:pPr>
        <w:jc w:val="both"/>
        <w:rPr>
          <w:rFonts w:ascii="Verdana" w:hAnsi="Verdana"/>
          <w:sz w:val="20"/>
          <w:szCs w:val="20"/>
        </w:rPr>
      </w:pPr>
      <w:r w:rsidRPr="000E76AB">
        <w:rPr>
          <w:rFonts w:ascii="Verdana" w:hAnsi="Verdana"/>
          <w:sz w:val="20"/>
          <w:szCs w:val="20"/>
        </w:rPr>
        <w:t>Al momento de informar los costos a remunerar por los generadores que corresponda, la distribuidora deberá adjuntar las facturas correspondientes a la componente señalada en la letra a), si fuere el caso.</w:t>
      </w:r>
    </w:p>
    <w:p w14:paraId="70CBB1CF" w14:textId="77777777" w:rsidR="00F32E21" w:rsidRPr="00F32E21" w:rsidRDefault="00F32E21" w:rsidP="000E76AB">
      <w:pPr>
        <w:pStyle w:val="Textodecuerpo"/>
        <w:rPr>
          <w:rFonts w:ascii="Verdana" w:hAnsi="Verdana" w:cs="Arial"/>
          <w:sz w:val="20"/>
        </w:rPr>
      </w:pPr>
    </w:p>
    <w:p w14:paraId="2CA64589" w14:textId="77777777" w:rsidR="006C522F" w:rsidRPr="00F32E21" w:rsidRDefault="006C522F" w:rsidP="00757525">
      <w:pPr>
        <w:pStyle w:val="Textodecuerpo"/>
        <w:rPr>
          <w:rFonts w:ascii="Verdana" w:hAnsi="Verdana" w:cs="Arial"/>
          <w:sz w:val="20"/>
        </w:rPr>
      </w:pPr>
    </w:p>
    <w:p w14:paraId="01C6754F" w14:textId="22F540BA" w:rsidR="007A7208" w:rsidRPr="00F32E21" w:rsidRDefault="00757525" w:rsidP="3A97257B">
      <w:pPr>
        <w:pStyle w:val="Textodecuerpo"/>
        <w:rPr>
          <w:rFonts w:ascii="Verdana" w:hAnsi="Verdana" w:cs="Arial"/>
          <w:sz w:val="20"/>
        </w:rPr>
      </w:pPr>
      <w:r w:rsidRPr="3A97257B">
        <w:rPr>
          <w:rFonts w:ascii="Verdana" w:hAnsi="Verdana" w:cs="Arial"/>
          <w:b/>
          <w:bCs/>
          <w:sz w:val="20"/>
        </w:rPr>
        <w:t>Artículo 72</w:t>
      </w:r>
      <w:r w:rsidRPr="3A97257B">
        <w:rPr>
          <w:rFonts w:ascii="Verdana" w:hAnsi="Verdana" w:cs="Arial"/>
          <w:b/>
          <w:bCs/>
          <w:sz w:val="20"/>
          <w:lang w:val="es-ES"/>
        </w:rPr>
        <w:t>º</w:t>
      </w:r>
      <w:r w:rsidRPr="3A97257B">
        <w:rPr>
          <w:rFonts w:ascii="Verdana" w:hAnsi="Verdana" w:cs="Arial"/>
          <w:b/>
          <w:bCs/>
          <w:sz w:val="20"/>
        </w:rPr>
        <w:t>: Disposiciones contractuales mínimas</w:t>
      </w:r>
      <w:r w:rsidR="00637F98" w:rsidRPr="3A97257B">
        <w:rPr>
          <w:rFonts w:ascii="Verdana" w:hAnsi="Verdana" w:cs="Arial"/>
          <w:b/>
          <w:bCs/>
          <w:sz w:val="20"/>
        </w:rPr>
        <w:t>.</w:t>
      </w:r>
      <w:r w:rsidR="00637F98" w:rsidRPr="3A97257B">
        <w:rPr>
          <w:rFonts w:ascii="Verdana" w:hAnsi="Verdana" w:cs="Arial"/>
          <w:sz w:val="20"/>
        </w:rPr>
        <w:t xml:space="preserve"> El </w:t>
      </w:r>
      <w:r w:rsidR="00BB42E1" w:rsidRPr="3A97257B">
        <w:rPr>
          <w:rFonts w:ascii="Verdana" w:hAnsi="Verdana" w:cs="Arial"/>
          <w:sz w:val="20"/>
        </w:rPr>
        <w:t xml:space="preserve">acuerdo </w:t>
      </w:r>
      <w:r w:rsidR="00637F98" w:rsidRPr="3A97257B">
        <w:rPr>
          <w:rFonts w:ascii="Verdana" w:hAnsi="Verdana" w:cs="Arial"/>
          <w:sz w:val="20"/>
        </w:rPr>
        <w:t>que suscriba el concesionario de servicio público de distribución</w:t>
      </w:r>
      <w:r w:rsidR="00082424" w:rsidRPr="3A97257B">
        <w:rPr>
          <w:rFonts w:ascii="Verdana" w:hAnsi="Verdana" w:cs="Arial"/>
          <w:sz w:val="20"/>
        </w:rPr>
        <w:t>, ya sea por medios digitales o presenciales,</w:t>
      </w:r>
      <w:r w:rsidR="00637F98" w:rsidRPr="3A97257B">
        <w:rPr>
          <w:rFonts w:ascii="Verdana" w:hAnsi="Verdana" w:cs="Arial"/>
          <w:sz w:val="20"/>
        </w:rPr>
        <w:t xml:space="preserve"> con el usuario final que opte </w:t>
      </w:r>
      <w:r w:rsidR="007A5CEC" w:rsidRPr="3A97257B">
        <w:rPr>
          <w:rFonts w:ascii="Verdana" w:hAnsi="Verdana" w:cs="Arial"/>
          <w:sz w:val="20"/>
        </w:rPr>
        <w:t xml:space="preserve">al mecanismo de incentivos de aumentos de consumo </w:t>
      </w:r>
      <w:r w:rsidR="00637F98" w:rsidRPr="3A97257B">
        <w:rPr>
          <w:rFonts w:ascii="Verdana" w:hAnsi="Verdana" w:cs="Arial"/>
          <w:sz w:val="20"/>
        </w:rPr>
        <w:t>para reconversión energ</w:t>
      </w:r>
      <w:r w:rsidR="007A7208" w:rsidRPr="3A97257B">
        <w:rPr>
          <w:rFonts w:ascii="Verdana" w:hAnsi="Verdana" w:cs="Arial"/>
          <w:sz w:val="20"/>
        </w:rPr>
        <w:t>ética</w:t>
      </w:r>
      <w:r w:rsidR="09874D9E" w:rsidRPr="3A97257B">
        <w:rPr>
          <w:rFonts w:ascii="Verdana" w:hAnsi="Verdana" w:cs="Arial"/>
          <w:sz w:val="20"/>
        </w:rPr>
        <w:t xml:space="preserve"> residencial</w:t>
      </w:r>
      <w:r w:rsidR="007A7208" w:rsidRPr="3A97257B">
        <w:rPr>
          <w:rFonts w:ascii="Verdana" w:hAnsi="Verdana" w:cs="Arial"/>
          <w:sz w:val="20"/>
        </w:rPr>
        <w:t xml:space="preserve"> deberá establecer las siguientes condiciones mínimas: </w:t>
      </w:r>
    </w:p>
    <w:p w14:paraId="22901D2B" w14:textId="671D84FC" w:rsidR="007A7208" w:rsidRPr="00F32E21" w:rsidRDefault="007A7208" w:rsidP="3A97257B">
      <w:pPr>
        <w:pStyle w:val="Textodecuerpo"/>
        <w:numPr>
          <w:ilvl w:val="0"/>
          <w:numId w:val="21"/>
        </w:numPr>
        <w:rPr>
          <w:rFonts w:ascii="Verdana" w:hAnsi="Verdana" w:cs="Arial"/>
          <w:sz w:val="20"/>
        </w:rPr>
      </w:pPr>
      <w:r w:rsidRPr="3A97257B">
        <w:rPr>
          <w:rFonts w:ascii="Verdana" w:hAnsi="Verdana" w:cs="Arial"/>
          <w:sz w:val="20"/>
        </w:rPr>
        <w:t xml:space="preserve">La </w:t>
      </w:r>
      <w:r w:rsidR="00BB42E1" w:rsidRPr="3A97257B">
        <w:rPr>
          <w:rFonts w:ascii="Verdana" w:hAnsi="Verdana" w:cs="Arial"/>
          <w:sz w:val="20"/>
        </w:rPr>
        <w:t xml:space="preserve">opción tarifaria del </w:t>
      </w:r>
      <w:r w:rsidR="00071475" w:rsidRPr="3A97257B">
        <w:rPr>
          <w:rFonts w:ascii="Verdana" w:hAnsi="Verdana" w:cs="Arial"/>
          <w:sz w:val="20"/>
        </w:rPr>
        <w:t>usuario final</w:t>
      </w:r>
    </w:p>
    <w:p w14:paraId="358F17B0" w14:textId="559B38C4" w:rsidR="007A7208" w:rsidRPr="00F32E21" w:rsidRDefault="2FCF446C" w:rsidP="3A97257B">
      <w:pPr>
        <w:pStyle w:val="Textodecuerpo"/>
        <w:numPr>
          <w:ilvl w:val="0"/>
          <w:numId w:val="21"/>
        </w:numPr>
        <w:rPr>
          <w:sz w:val="20"/>
        </w:rPr>
      </w:pPr>
      <w:r w:rsidRPr="3A97257B">
        <w:rPr>
          <w:rFonts w:ascii="Verdana" w:hAnsi="Verdana" w:cs="Arial"/>
          <w:sz w:val="20"/>
        </w:rPr>
        <w:t xml:space="preserve">Mecanismo de determinación del </w:t>
      </w:r>
      <w:r w:rsidR="00BB42E1" w:rsidRPr="3A97257B">
        <w:rPr>
          <w:rFonts w:ascii="Verdana" w:hAnsi="Verdana" w:cs="Arial"/>
          <w:sz w:val="20"/>
        </w:rPr>
        <w:t xml:space="preserve">Descuento </w:t>
      </w:r>
      <w:r w:rsidR="007A7208" w:rsidRPr="3A97257B">
        <w:rPr>
          <w:rFonts w:ascii="Verdana" w:hAnsi="Verdana" w:cs="Arial"/>
          <w:sz w:val="20"/>
        </w:rPr>
        <w:t>a</w:t>
      </w:r>
      <w:r w:rsidR="0B5D0854" w:rsidRPr="3A97257B">
        <w:rPr>
          <w:rFonts w:ascii="Verdana" w:hAnsi="Verdana" w:cs="Arial"/>
          <w:sz w:val="20"/>
        </w:rPr>
        <w:t xml:space="preserve">l </w:t>
      </w:r>
      <w:r w:rsidR="007A7208" w:rsidRPr="3A97257B">
        <w:rPr>
          <w:rFonts w:ascii="Verdana" w:hAnsi="Verdana" w:cs="Arial"/>
          <w:sz w:val="20"/>
        </w:rPr>
        <w:t xml:space="preserve">que accederá el usuario en conformidad a la </w:t>
      </w:r>
      <w:r w:rsidR="00BB42E1" w:rsidRPr="3A97257B">
        <w:rPr>
          <w:rFonts w:ascii="Verdana" w:hAnsi="Verdana" w:cs="Arial"/>
          <w:sz w:val="20"/>
        </w:rPr>
        <w:t xml:space="preserve">adjudicación del proceso de licitación </w:t>
      </w:r>
      <w:r w:rsidR="007A7208" w:rsidRPr="3A97257B">
        <w:rPr>
          <w:rFonts w:ascii="Verdana" w:hAnsi="Verdana" w:cs="Arial"/>
          <w:sz w:val="20"/>
        </w:rPr>
        <w:t xml:space="preserve">que </w:t>
      </w:r>
      <w:r w:rsidR="00BB42E1" w:rsidRPr="3A97257B">
        <w:rPr>
          <w:rFonts w:ascii="Verdana" w:hAnsi="Verdana" w:cs="Arial"/>
          <w:sz w:val="20"/>
        </w:rPr>
        <w:t xml:space="preserve">se </w:t>
      </w:r>
      <w:r w:rsidR="007A7208" w:rsidRPr="3A97257B">
        <w:rPr>
          <w:rFonts w:ascii="Verdana" w:hAnsi="Verdana" w:cs="Arial"/>
          <w:sz w:val="20"/>
        </w:rPr>
        <w:t>realice en conformidad a lo di</w:t>
      </w:r>
      <w:r w:rsidR="000E76AB" w:rsidRPr="3A97257B">
        <w:rPr>
          <w:rFonts w:ascii="Verdana" w:hAnsi="Verdana" w:cs="Arial"/>
          <w:sz w:val="20"/>
        </w:rPr>
        <w:t>s</w:t>
      </w:r>
      <w:r w:rsidR="007A7208" w:rsidRPr="3A97257B">
        <w:rPr>
          <w:rFonts w:ascii="Verdana" w:hAnsi="Verdana" w:cs="Arial"/>
          <w:sz w:val="20"/>
        </w:rPr>
        <w:t>puesto en el artículo 69</w:t>
      </w:r>
      <w:r w:rsidR="007A7208" w:rsidRPr="3A97257B">
        <w:rPr>
          <w:rFonts w:ascii="Verdana" w:hAnsi="Verdana" w:cs="Arial"/>
          <w:sz w:val="20"/>
          <w:lang w:val="es-ES"/>
        </w:rPr>
        <w:t xml:space="preserve">º; </w:t>
      </w:r>
    </w:p>
    <w:p w14:paraId="4D8C996D" w14:textId="387207CD" w:rsidR="00F62C43" w:rsidRPr="00F32E21" w:rsidRDefault="007A7208" w:rsidP="3A97257B">
      <w:pPr>
        <w:pStyle w:val="Textodecuerpo"/>
        <w:numPr>
          <w:ilvl w:val="0"/>
          <w:numId w:val="21"/>
        </w:numPr>
        <w:rPr>
          <w:rFonts w:ascii="Verdana" w:hAnsi="Verdana" w:cs="Arial"/>
          <w:sz w:val="20"/>
        </w:rPr>
      </w:pPr>
      <w:r w:rsidRPr="3A97257B">
        <w:rPr>
          <w:rFonts w:ascii="Verdana" w:hAnsi="Verdana" w:cs="Arial"/>
          <w:sz w:val="20"/>
          <w:lang w:val="es-ES"/>
        </w:rPr>
        <w:t xml:space="preserve">La vigencia del </w:t>
      </w:r>
      <w:r w:rsidR="00BB42E1" w:rsidRPr="3A97257B">
        <w:rPr>
          <w:rFonts w:ascii="Verdana" w:hAnsi="Verdana" w:cs="Arial"/>
          <w:sz w:val="20"/>
          <w:lang w:val="es-ES"/>
        </w:rPr>
        <w:t>acuerdo</w:t>
      </w:r>
      <w:r w:rsidR="009A0EF2" w:rsidRPr="3A97257B">
        <w:rPr>
          <w:rFonts w:ascii="Verdana" w:hAnsi="Verdana" w:cs="Arial"/>
          <w:sz w:val="20"/>
          <w:lang w:val="es-ES"/>
        </w:rPr>
        <w:t>;</w:t>
      </w:r>
    </w:p>
    <w:p w14:paraId="25E6B6F4" w14:textId="294BAEC2" w:rsidR="009A0EF2" w:rsidRPr="00F32E21" w:rsidRDefault="009A0EF2" w:rsidP="3A97257B">
      <w:pPr>
        <w:pStyle w:val="Textodecuerpo"/>
        <w:numPr>
          <w:ilvl w:val="0"/>
          <w:numId w:val="21"/>
        </w:numPr>
        <w:rPr>
          <w:rFonts w:ascii="Verdana" w:hAnsi="Verdana" w:cs="Arial"/>
          <w:sz w:val="20"/>
        </w:rPr>
      </w:pPr>
      <w:r w:rsidRPr="3A97257B">
        <w:rPr>
          <w:rFonts w:ascii="Verdana" w:hAnsi="Verdana" w:cs="Arial"/>
          <w:sz w:val="20"/>
          <w:lang w:val="es-ES"/>
        </w:rPr>
        <w:t xml:space="preserve">En caso que el usuario final así lo requiera, los </w:t>
      </w:r>
      <w:r w:rsidR="628823A9" w:rsidRPr="3A97257B">
        <w:rPr>
          <w:rFonts w:ascii="Verdana" w:hAnsi="Verdana" w:cs="Arial"/>
          <w:sz w:val="20"/>
          <w:lang w:val="es-ES"/>
        </w:rPr>
        <w:t xml:space="preserve">acuerdos </w:t>
      </w:r>
      <w:r w:rsidRPr="3A97257B">
        <w:rPr>
          <w:rFonts w:ascii="Verdana" w:hAnsi="Verdana" w:cs="Arial"/>
          <w:sz w:val="20"/>
          <w:lang w:val="es-ES"/>
        </w:rPr>
        <w:t xml:space="preserve">deberán tener alternativas que permitan gestionar los consumos asociados a la </w:t>
      </w:r>
      <w:r w:rsidR="00071475" w:rsidRPr="3A97257B">
        <w:rPr>
          <w:rFonts w:ascii="Verdana" w:hAnsi="Verdana" w:cs="Arial"/>
          <w:sz w:val="20"/>
          <w:lang w:val="es-ES"/>
        </w:rPr>
        <w:t>reconversión energética</w:t>
      </w:r>
      <w:r w:rsidRPr="3A97257B">
        <w:rPr>
          <w:rFonts w:ascii="Verdana" w:hAnsi="Verdana" w:cs="Arial"/>
          <w:sz w:val="20"/>
          <w:lang w:val="es-ES"/>
        </w:rPr>
        <w:t xml:space="preserve"> residencial;</w:t>
      </w:r>
    </w:p>
    <w:p w14:paraId="1F0565A4" w14:textId="79B7C4C5" w:rsidR="00757525" w:rsidRPr="00F32E21" w:rsidRDefault="009A0EF2" w:rsidP="3A97257B">
      <w:pPr>
        <w:pStyle w:val="Textodecuerpo"/>
        <w:numPr>
          <w:ilvl w:val="0"/>
          <w:numId w:val="21"/>
        </w:numPr>
        <w:rPr>
          <w:rFonts w:ascii="Verdana" w:hAnsi="Verdana" w:cs="Arial"/>
          <w:sz w:val="20"/>
        </w:rPr>
      </w:pPr>
      <w:r w:rsidRPr="3A97257B">
        <w:rPr>
          <w:rFonts w:ascii="Verdana" w:hAnsi="Verdana" w:cs="Arial"/>
          <w:sz w:val="20"/>
        </w:rPr>
        <w:t>Una d</w:t>
      </w:r>
      <w:r w:rsidR="00757525" w:rsidRPr="3A97257B">
        <w:rPr>
          <w:rFonts w:ascii="Verdana" w:hAnsi="Verdana" w:cs="Arial"/>
          <w:sz w:val="20"/>
        </w:rPr>
        <w:t xml:space="preserve">eclaración </w:t>
      </w:r>
      <w:r w:rsidRPr="3A97257B">
        <w:rPr>
          <w:rFonts w:ascii="Verdana" w:hAnsi="Verdana" w:cs="Arial"/>
          <w:sz w:val="20"/>
        </w:rPr>
        <w:t xml:space="preserve">por parte del usuario final, que el acceso a las condiciones establecidas en el </w:t>
      </w:r>
      <w:r w:rsidR="4E55E79D" w:rsidRPr="3A97257B">
        <w:rPr>
          <w:rFonts w:ascii="Verdana" w:hAnsi="Verdana" w:cs="Arial"/>
          <w:sz w:val="20"/>
        </w:rPr>
        <w:t xml:space="preserve">acuerdo </w:t>
      </w:r>
      <w:r w:rsidRPr="3A97257B">
        <w:rPr>
          <w:rFonts w:ascii="Verdana" w:hAnsi="Verdana" w:cs="Arial"/>
          <w:sz w:val="20"/>
        </w:rPr>
        <w:t xml:space="preserve">respectivo, son de uso exclusivo para </w:t>
      </w:r>
      <w:r w:rsidR="00B07BBA" w:rsidRPr="3A97257B">
        <w:rPr>
          <w:rFonts w:ascii="Verdana" w:hAnsi="Verdana" w:cs="Arial"/>
          <w:sz w:val="20"/>
        </w:rPr>
        <w:t>reconversión</w:t>
      </w:r>
      <w:r w:rsidR="00071475" w:rsidRPr="3A97257B">
        <w:rPr>
          <w:rFonts w:ascii="Verdana" w:hAnsi="Verdana" w:cs="Arial"/>
          <w:sz w:val="20"/>
        </w:rPr>
        <w:t xml:space="preserve"> energética </w:t>
      </w:r>
      <w:r w:rsidRPr="3A97257B">
        <w:rPr>
          <w:rFonts w:ascii="Verdana" w:hAnsi="Verdana" w:cs="Arial"/>
          <w:sz w:val="20"/>
        </w:rPr>
        <w:t xml:space="preserve">residencial; </w:t>
      </w:r>
    </w:p>
    <w:p w14:paraId="2D19047E" w14:textId="35F2EBB9" w:rsidR="00082424" w:rsidRPr="00F32E21" w:rsidRDefault="71B5C1BA" w:rsidP="3A97257B">
      <w:pPr>
        <w:pStyle w:val="Textodecuerpo"/>
        <w:numPr>
          <w:ilvl w:val="0"/>
          <w:numId w:val="21"/>
        </w:numPr>
        <w:rPr>
          <w:rFonts w:ascii="Verdana" w:hAnsi="Verdana" w:cs="Arial"/>
          <w:sz w:val="20"/>
        </w:rPr>
      </w:pPr>
      <w:r w:rsidRPr="3A97257B">
        <w:rPr>
          <w:rFonts w:ascii="Verdana" w:hAnsi="Verdana" w:cs="Arial"/>
          <w:sz w:val="20"/>
        </w:rPr>
        <w:lastRenderedPageBreak/>
        <w:t>Registro</w:t>
      </w:r>
      <w:r w:rsidR="00082424" w:rsidRPr="3A97257B">
        <w:rPr>
          <w:rFonts w:ascii="Verdana" w:hAnsi="Verdana" w:cs="Arial"/>
          <w:sz w:val="20"/>
        </w:rPr>
        <w:t xml:space="preserve"> del consumo promedio anual del usuario, de acuerdo a las mediciones registradas el año calendario anterior</w:t>
      </w:r>
      <w:r w:rsidR="00D73B07" w:rsidRPr="3A97257B">
        <w:rPr>
          <w:rFonts w:ascii="Verdana" w:hAnsi="Verdana" w:cs="Arial"/>
          <w:sz w:val="20"/>
        </w:rPr>
        <w:t xml:space="preserve"> en conformidad a los requisitos establecidos en el artículo 1-13 de la Norma Técnica de Calidad de Servicio para Sistemas de Distribución o el que en el futuro la reemplace</w:t>
      </w:r>
      <w:r w:rsidR="348F25BD" w:rsidRPr="3A97257B">
        <w:rPr>
          <w:rFonts w:ascii="Verdana" w:hAnsi="Verdana" w:cs="Arial"/>
          <w:sz w:val="20"/>
        </w:rPr>
        <w:t>.</w:t>
      </w:r>
      <w:r w:rsidR="00082424" w:rsidRPr="3A97257B">
        <w:rPr>
          <w:rFonts w:ascii="Verdana" w:hAnsi="Verdana" w:cs="Arial"/>
          <w:sz w:val="20"/>
        </w:rPr>
        <w:t xml:space="preserve"> </w:t>
      </w:r>
      <w:r w:rsidR="1D0C4126" w:rsidRPr="3A97257B">
        <w:rPr>
          <w:rFonts w:ascii="Verdana" w:hAnsi="Verdana" w:cs="Arial"/>
          <w:sz w:val="20"/>
        </w:rPr>
        <w:t>Variaciones</w:t>
      </w:r>
      <w:r w:rsidR="00082424" w:rsidRPr="3A97257B">
        <w:rPr>
          <w:rFonts w:ascii="Verdana" w:hAnsi="Verdana" w:cs="Arial"/>
          <w:sz w:val="20"/>
        </w:rPr>
        <w:t xml:space="preserve"> superior</w:t>
      </w:r>
      <w:r w:rsidR="042001A9" w:rsidRPr="3A97257B">
        <w:rPr>
          <w:rFonts w:ascii="Verdana" w:hAnsi="Verdana" w:cs="Arial"/>
          <w:sz w:val="20"/>
        </w:rPr>
        <w:t>es</w:t>
      </w:r>
      <w:r w:rsidR="00082424" w:rsidRPr="3A97257B">
        <w:rPr>
          <w:rFonts w:ascii="Verdana" w:hAnsi="Verdana" w:cs="Arial"/>
          <w:sz w:val="20"/>
        </w:rPr>
        <w:t xml:space="preserve"> </w:t>
      </w:r>
      <w:r w:rsidR="00082424" w:rsidRPr="00B1393C">
        <w:rPr>
          <w:rFonts w:ascii="Verdana" w:hAnsi="Verdana" w:cs="Arial"/>
          <w:sz w:val="20"/>
        </w:rPr>
        <w:t xml:space="preserve">a </w:t>
      </w:r>
      <w:r w:rsidR="593567A9" w:rsidRPr="00B1393C">
        <w:rPr>
          <w:rFonts w:ascii="Verdana" w:hAnsi="Verdana" w:cs="Arial"/>
          <w:sz w:val="20"/>
        </w:rPr>
        <w:t>20</w:t>
      </w:r>
      <w:r w:rsidR="00082424" w:rsidRPr="00B1393C">
        <w:rPr>
          <w:rFonts w:ascii="Verdana" w:hAnsi="Verdana" w:cs="Arial"/>
          <w:sz w:val="20"/>
        </w:rPr>
        <w:t>%</w:t>
      </w:r>
      <w:r w:rsidR="00082424" w:rsidRPr="3A97257B">
        <w:rPr>
          <w:rFonts w:ascii="Verdana" w:hAnsi="Verdana" w:cs="Arial"/>
          <w:sz w:val="20"/>
        </w:rPr>
        <w:t xml:space="preserve"> de dichos consumos, permitirá la fiscalización por parte de la Superintendencia de Electricidad y Combustibles;</w:t>
      </w:r>
    </w:p>
    <w:p w14:paraId="33CE2D4A" w14:textId="1A04A850" w:rsidR="009A0EF2" w:rsidRPr="00B07BBA" w:rsidRDefault="009A0EF2" w:rsidP="3A97257B">
      <w:pPr>
        <w:pStyle w:val="Textodecuerpo"/>
        <w:numPr>
          <w:ilvl w:val="0"/>
          <w:numId w:val="21"/>
        </w:numPr>
        <w:rPr>
          <w:rFonts w:ascii="Verdana" w:hAnsi="Verdana" w:cs="Arial"/>
          <w:sz w:val="20"/>
        </w:rPr>
      </w:pPr>
      <w:r w:rsidRPr="3A97257B">
        <w:rPr>
          <w:rFonts w:ascii="Verdana" w:hAnsi="Verdana" w:cs="Arial"/>
          <w:sz w:val="20"/>
        </w:rPr>
        <w:t>Una cláusula de término anticipado de</w:t>
      </w:r>
      <w:r w:rsidR="007A5CEC" w:rsidRPr="3A97257B">
        <w:rPr>
          <w:rFonts w:ascii="Verdana" w:hAnsi="Verdana" w:cs="Arial"/>
          <w:sz w:val="20"/>
        </w:rPr>
        <w:t xml:space="preserve">l mecanismo de incentivos de aumento de consumo </w:t>
      </w:r>
      <w:r w:rsidRPr="3A97257B">
        <w:rPr>
          <w:rFonts w:ascii="Verdana" w:hAnsi="Verdana" w:cs="Arial"/>
          <w:sz w:val="20"/>
        </w:rPr>
        <w:t xml:space="preserve">en caso que se alteren los circuitos, equipos de medición, o se realice cualquier otro acto fraudulento que tenga por objeto </w:t>
      </w:r>
      <w:r w:rsidR="00082424" w:rsidRPr="3A97257B">
        <w:rPr>
          <w:rFonts w:ascii="Verdana" w:hAnsi="Verdana" w:cs="Arial"/>
          <w:sz w:val="20"/>
        </w:rPr>
        <w:t xml:space="preserve">ampliar de manera ilegítima </w:t>
      </w:r>
      <w:r w:rsidR="00082424" w:rsidRPr="00B07BBA">
        <w:rPr>
          <w:rFonts w:ascii="Verdana" w:hAnsi="Verdana" w:cs="Arial"/>
          <w:sz w:val="20"/>
        </w:rPr>
        <w:t>el ámbito de aplicación de los incentivos referidos</w:t>
      </w:r>
      <w:r w:rsidR="09390DC0" w:rsidRPr="00B07BBA">
        <w:rPr>
          <w:rFonts w:ascii="Verdana" w:hAnsi="Verdana" w:cs="Arial"/>
          <w:sz w:val="20"/>
        </w:rPr>
        <w:t>;</w:t>
      </w:r>
    </w:p>
    <w:p w14:paraId="15D8D4B7" w14:textId="02C9663E" w:rsidR="1A228A11" w:rsidRPr="00B07BBA" w:rsidRDefault="1A228A11" w:rsidP="3A97257B">
      <w:pPr>
        <w:pStyle w:val="Textodecuerpo"/>
        <w:numPr>
          <w:ilvl w:val="0"/>
          <w:numId w:val="21"/>
        </w:numPr>
        <w:rPr>
          <w:rFonts w:asciiTheme="minorHAnsi" w:eastAsiaTheme="minorEastAsia" w:hAnsiTheme="minorHAnsi" w:cstheme="minorBidi"/>
          <w:color w:val="000000" w:themeColor="text1"/>
          <w:sz w:val="20"/>
        </w:rPr>
      </w:pPr>
      <w:r w:rsidRPr="00B07BBA">
        <w:rPr>
          <w:rFonts w:ascii="Verdana" w:hAnsi="Verdana" w:cs="Arial"/>
          <w:sz w:val="20"/>
        </w:rPr>
        <w:t xml:space="preserve">El </w:t>
      </w:r>
      <w:r w:rsidR="7A9A67F9" w:rsidRPr="00B07BBA">
        <w:rPr>
          <w:rFonts w:ascii="Verdana" w:hAnsi="Verdana" w:cs="Arial"/>
          <w:sz w:val="20"/>
        </w:rPr>
        <w:t xml:space="preserve">derecho del </w:t>
      </w:r>
      <w:r w:rsidRPr="00B07BBA">
        <w:rPr>
          <w:rFonts w:ascii="Verdana" w:hAnsi="Verdana" w:cs="Arial"/>
          <w:sz w:val="20"/>
        </w:rPr>
        <w:t xml:space="preserve">usuario </w:t>
      </w:r>
      <w:r w:rsidR="2268608C" w:rsidRPr="00B07BBA">
        <w:rPr>
          <w:rFonts w:ascii="Verdana" w:hAnsi="Verdana" w:cs="Arial"/>
          <w:sz w:val="20"/>
        </w:rPr>
        <w:t>para</w:t>
      </w:r>
      <w:r w:rsidRPr="00B07BBA">
        <w:rPr>
          <w:rFonts w:ascii="Verdana" w:hAnsi="Verdana" w:cs="Arial"/>
          <w:sz w:val="20"/>
        </w:rPr>
        <w:t xml:space="preserve"> terminar el contrato en cualquier momento.</w:t>
      </w:r>
    </w:p>
    <w:p w14:paraId="07AC4FB8" w14:textId="77777777" w:rsidR="00E9640D" w:rsidRPr="00B07BBA" w:rsidRDefault="00E9640D" w:rsidP="00E9640D">
      <w:pPr>
        <w:pStyle w:val="Textodecuerpo"/>
        <w:ind w:left="360"/>
        <w:rPr>
          <w:rFonts w:ascii="Verdana" w:hAnsi="Verdana" w:cs="Arial"/>
          <w:sz w:val="20"/>
          <w:lang w:val="es-ES"/>
        </w:rPr>
      </w:pPr>
    </w:p>
    <w:p w14:paraId="787B0588" w14:textId="571ABAC0" w:rsidR="00E9640D" w:rsidRPr="00B07BBA" w:rsidRDefault="009A0EF2" w:rsidP="3A97257B">
      <w:pPr>
        <w:pStyle w:val="Textodecuerpo"/>
        <w:rPr>
          <w:rFonts w:ascii="Verdana" w:hAnsi="Verdana" w:cs="Arial"/>
          <w:sz w:val="20"/>
        </w:rPr>
      </w:pPr>
      <w:r w:rsidRPr="00B07BBA">
        <w:rPr>
          <w:rFonts w:ascii="Verdana" w:hAnsi="Verdana" w:cs="Arial"/>
          <w:sz w:val="20"/>
        </w:rPr>
        <w:t xml:space="preserve"> </w:t>
      </w:r>
    </w:p>
    <w:p w14:paraId="5353E816" w14:textId="77777777" w:rsidR="00D141A0" w:rsidRPr="00F32E21" w:rsidRDefault="00D141A0" w:rsidP="00D141A0">
      <w:pPr>
        <w:pStyle w:val="Textodecuerpo"/>
        <w:rPr>
          <w:rFonts w:ascii="Verdana" w:hAnsi="Verdana" w:cs="Arial"/>
          <w:sz w:val="20"/>
        </w:rPr>
      </w:pPr>
    </w:p>
    <w:p w14:paraId="46C14FA3" w14:textId="77777777" w:rsidR="00A82249" w:rsidRPr="00F32E21" w:rsidRDefault="00A82249" w:rsidP="0094612C">
      <w:pPr>
        <w:widowControl w:val="0"/>
        <w:autoSpaceDE w:val="0"/>
        <w:autoSpaceDN w:val="0"/>
        <w:adjustRightInd w:val="0"/>
        <w:jc w:val="both"/>
        <w:rPr>
          <w:rFonts w:ascii="Verdana" w:hAnsi="Verdana" w:cs="Arial"/>
          <w:b/>
          <w:sz w:val="20"/>
          <w:szCs w:val="20"/>
        </w:rPr>
      </w:pPr>
    </w:p>
    <w:p w14:paraId="011900F4" w14:textId="77777777" w:rsidR="00327797" w:rsidRPr="00F32E21" w:rsidRDefault="0094612C" w:rsidP="0078477E">
      <w:pPr>
        <w:widowControl w:val="0"/>
        <w:autoSpaceDE w:val="0"/>
        <w:autoSpaceDN w:val="0"/>
        <w:adjustRightInd w:val="0"/>
        <w:jc w:val="both"/>
        <w:rPr>
          <w:rFonts w:ascii="Verdana" w:hAnsi="Verdana" w:cs="Arial"/>
          <w:sz w:val="20"/>
          <w:szCs w:val="20"/>
        </w:rPr>
      </w:pPr>
      <w:r w:rsidRPr="00F32E21">
        <w:rPr>
          <w:rFonts w:ascii="Verdana" w:hAnsi="Verdana" w:cs="Arial"/>
          <w:b/>
          <w:sz w:val="20"/>
          <w:szCs w:val="20"/>
        </w:rPr>
        <w:t>AR</w:t>
      </w:r>
      <w:r w:rsidR="009D6B43" w:rsidRPr="00F32E21">
        <w:rPr>
          <w:rFonts w:ascii="Verdana" w:hAnsi="Verdana" w:cs="Arial"/>
          <w:b/>
          <w:sz w:val="20"/>
          <w:szCs w:val="20"/>
        </w:rPr>
        <w:t xml:space="preserve">TÍCULO </w:t>
      </w:r>
      <w:r w:rsidR="00223CE1" w:rsidRPr="00F32E21">
        <w:rPr>
          <w:rFonts w:ascii="Verdana" w:hAnsi="Verdana" w:cs="Arial"/>
          <w:b/>
          <w:sz w:val="20"/>
          <w:szCs w:val="20"/>
        </w:rPr>
        <w:t>TERCERO</w:t>
      </w:r>
      <w:r w:rsidRPr="00F32E21">
        <w:rPr>
          <w:rFonts w:ascii="Verdana" w:hAnsi="Verdana" w:cs="Arial"/>
          <w:b/>
          <w:sz w:val="20"/>
          <w:szCs w:val="20"/>
        </w:rPr>
        <w:t xml:space="preserve">: </w:t>
      </w:r>
      <w:r w:rsidR="00AC5852" w:rsidRPr="00F32E21">
        <w:rPr>
          <w:rFonts w:ascii="Verdana" w:hAnsi="Verdana"/>
          <w:sz w:val="20"/>
          <w:szCs w:val="20"/>
        </w:rPr>
        <w:t>Publíquese la presente resolución en forma íntegra en el sitio web de la Comisión Nacional de Energía y en el Diario Oficial.</w:t>
      </w:r>
    </w:p>
    <w:p w14:paraId="374630DC" w14:textId="77777777" w:rsidR="0094612C" w:rsidRPr="00F32E21" w:rsidRDefault="0094612C" w:rsidP="0094612C">
      <w:pPr>
        <w:widowControl w:val="0"/>
        <w:autoSpaceDE w:val="0"/>
        <w:autoSpaceDN w:val="0"/>
        <w:adjustRightInd w:val="0"/>
        <w:jc w:val="both"/>
        <w:rPr>
          <w:rFonts w:ascii="Verdana" w:hAnsi="Verdana" w:cs="Arial"/>
          <w:sz w:val="20"/>
          <w:szCs w:val="20"/>
        </w:rPr>
      </w:pPr>
    </w:p>
    <w:p w14:paraId="1ACD45D0" w14:textId="77777777" w:rsidR="005657E3" w:rsidRPr="00F32E21" w:rsidRDefault="005657E3" w:rsidP="005657E3">
      <w:pPr>
        <w:widowControl w:val="0"/>
        <w:autoSpaceDE w:val="0"/>
        <w:autoSpaceDN w:val="0"/>
        <w:adjustRightInd w:val="0"/>
        <w:ind w:right="980"/>
        <w:jc w:val="center"/>
        <w:outlineLvl w:val="0"/>
        <w:rPr>
          <w:rFonts w:ascii="Verdana" w:hAnsi="Verdana" w:cs="Arial"/>
          <w:bCs/>
          <w:sz w:val="20"/>
          <w:szCs w:val="20"/>
        </w:rPr>
      </w:pPr>
    </w:p>
    <w:p w14:paraId="4FFBEBFE" w14:textId="77777777" w:rsidR="005657E3" w:rsidRPr="00F32E21" w:rsidRDefault="005657E3" w:rsidP="005657E3">
      <w:pPr>
        <w:widowControl w:val="0"/>
        <w:autoSpaceDE w:val="0"/>
        <w:autoSpaceDN w:val="0"/>
        <w:adjustRightInd w:val="0"/>
        <w:ind w:right="980"/>
        <w:jc w:val="center"/>
        <w:outlineLvl w:val="0"/>
        <w:rPr>
          <w:rFonts w:ascii="Verdana" w:hAnsi="Verdana" w:cs="Arial"/>
          <w:b/>
          <w:bCs/>
          <w:sz w:val="20"/>
          <w:szCs w:val="20"/>
        </w:rPr>
      </w:pPr>
      <w:r w:rsidRPr="00F32E21">
        <w:rPr>
          <w:rFonts w:ascii="Verdana" w:hAnsi="Verdana" w:cs="Arial"/>
          <w:b/>
          <w:bCs/>
          <w:sz w:val="20"/>
          <w:szCs w:val="20"/>
        </w:rPr>
        <w:t>Anótese, Comuníquese y Publíquese.</w:t>
      </w:r>
    </w:p>
    <w:p w14:paraId="36F0567A" w14:textId="77777777" w:rsidR="00891E42" w:rsidRPr="00F32E21" w:rsidRDefault="00891E42" w:rsidP="00B07BBA">
      <w:pPr>
        <w:spacing w:after="200" w:line="276" w:lineRule="auto"/>
        <w:rPr>
          <w:rFonts w:ascii="Verdana" w:hAnsi="Verdana"/>
          <w:sz w:val="20"/>
          <w:szCs w:val="20"/>
          <w:lang w:val="es-CL"/>
        </w:rPr>
      </w:pPr>
    </w:p>
    <w:sectPr w:rsidR="00891E42" w:rsidRPr="00F32E21" w:rsidSect="0002249D">
      <w:headerReference w:type="even" r:id="rId9"/>
      <w:headerReference w:type="default" r:id="rId10"/>
      <w:footerReference w:type="default" r:id="rId11"/>
      <w:headerReference w:type="first" r:id="rId12"/>
      <w:pgSz w:w="12242" w:h="15842" w:code="1"/>
      <w:pgMar w:top="1985" w:right="1610" w:bottom="2268" w:left="1559" w:header="0" w:footer="720" w:gutter="0"/>
      <w:paperSrc w:first="7" w:other="7"/>
      <w:cols w:space="720" w:equalWidth="0">
        <w:col w:w="9073"/>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B33EC" w14:textId="77777777" w:rsidR="00313A76" w:rsidRDefault="00313A76" w:rsidP="00431135">
      <w:r>
        <w:separator/>
      </w:r>
    </w:p>
  </w:endnote>
  <w:endnote w:type="continuationSeparator" w:id="0">
    <w:p w14:paraId="4CEB82F0" w14:textId="77777777" w:rsidR="00313A76" w:rsidRDefault="00313A76" w:rsidP="0043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4064B0" w14:textId="77777777" w:rsidR="00313A76" w:rsidRDefault="00313A76">
    <w:pPr>
      <w:pStyle w:val="Piedepgina"/>
    </w:pPr>
    <w:r>
      <w:rPr>
        <w:noProof/>
      </w:rPr>
      <w:drawing>
        <wp:inline distT="0" distB="0" distL="0" distR="0" wp14:anchorId="0C7A1707" wp14:editId="2E75F663">
          <wp:extent cx="2072640" cy="768350"/>
          <wp:effectExtent l="0" t="0" r="3810" b="0"/>
          <wp:docPr id="2341417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072640" cy="76835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1EFD" w14:textId="77777777" w:rsidR="00313A76" w:rsidRDefault="00313A76" w:rsidP="00431135">
      <w:r>
        <w:separator/>
      </w:r>
    </w:p>
  </w:footnote>
  <w:footnote w:type="continuationSeparator" w:id="0">
    <w:p w14:paraId="30969F07" w14:textId="77777777" w:rsidR="00313A76" w:rsidRDefault="00313A76" w:rsidP="00431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16B983" w14:textId="77777777" w:rsidR="00313A76" w:rsidRDefault="003E5117">
    <w:pPr>
      <w:pStyle w:val="Encabezado"/>
    </w:pPr>
    <w:r>
      <w:rPr>
        <w:noProof/>
      </w:rPr>
      <w:pict w14:anchorId="37339D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587407" o:spid="_x0000_s2050" type="#_x0000_t136" style="position:absolute;margin-left:0;margin-top:0;width:465.15pt;height:174.4pt;rotation:315;z-index:-251655168;mso-position-horizontal:center;mso-position-horizontal-relative:margin;mso-position-vertical:center;mso-position-vertical-relative:margin" o:allowincell="f" fillcolor="silver" stroked="f">
          <v:fill opacity=".5"/>
          <v:textpath style="font-family:&quot;Calibri Light&quot;;font-size:1pt" string="BORRADO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EED0C5" w14:textId="77777777" w:rsidR="00313A76" w:rsidRDefault="003E5117">
    <w:pPr>
      <w:pStyle w:val="Encabezado"/>
    </w:pPr>
    <w:r>
      <w:rPr>
        <w:noProof/>
      </w:rPr>
      <w:pict w14:anchorId="521C9A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587408" o:spid="_x0000_s2051" type="#_x0000_t136" style="position:absolute;margin-left:0;margin-top:0;width:465.15pt;height:174.4pt;rotation:315;z-index:-251653120;mso-position-horizontal:center;mso-position-horizontal-relative:margin;mso-position-vertical:center;mso-position-vertical-relative:margin" o:allowincell="f" fillcolor="silver" stroked="f">
          <v:fill opacity=".5"/>
          <v:textpath style="font-family:&quot;Calibri Light&quot;;font-size:1pt" string="BORRADOR"/>
          <w10:wrap anchorx="margin" anchory="margin"/>
        </v:shape>
      </w:pict>
    </w:r>
  </w:p>
  <w:p w14:paraId="4FCC116C" w14:textId="77777777" w:rsidR="00313A76" w:rsidRDefault="00313A76">
    <w:pPr>
      <w:pStyle w:val="Encabezado"/>
    </w:pPr>
  </w:p>
  <w:p w14:paraId="62C53FBD" w14:textId="77777777" w:rsidR="00313A76" w:rsidRDefault="00313A76">
    <w:pPr>
      <w:pStyle w:val="Encabezado"/>
    </w:pPr>
    <w:r>
      <w:rPr>
        <w:b/>
        <w:noProof/>
      </w:rPr>
      <w:drawing>
        <wp:anchor distT="0" distB="0" distL="114300" distR="114300" simplePos="0" relativeHeight="251665408" behindDoc="0" locked="0" layoutInCell="1" allowOverlap="1" wp14:anchorId="2E580D48" wp14:editId="03025B6D">
          <wp:simplePos x="0" y="0"/>
          <wp:positionH relativeFrom="margin">
            <wp:align>left</wp:align>
          </wp:positionH>
          <wp:positionV relativeFrom="paragraph">
            <wp:posOffset>173355</wp:posOffset>
          </wp:positionV>
          <wp:extent cx="1914525" cy="473075"/>
          <wp:effectExtent l="0" t="0" r="952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NE-final-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3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039FD0" w14:textId="77777777" w:rsidR="00313A76" w:rsidRDefault="003E5117">
    <w:pPr>
      <w:pStyle w:val="Encabezado"/>
    </w:pPr>
    <w:r>
      <w:rPr>
        <w:noProof/>
      </w:rPr>
      <w:pict w14:anchorId="12CAC7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587406" o:spid="_x0000_s2049" type="#_x0000_t136" style="position:absolute;margin-left:0;margin-top:0;width:465.15pt;height:174.4pt;rotation:315;z-index:-251657216;mso-position-horizontal:center;mso-position-horizontal-relative:margin;mso-position-vertical:center;mso-position-vertical-relative:margin" o:allowincell="f" fillcolor="silver" stroked="f">
          <v:fill opacity=".5"/>
          <v:textpath style="font-family:&quot;Calibri Light&quot;;font-size:1pt" string="BORRADO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D2F"/>
    <w:multiLevelType w:val="hybridMultilevel"/>
    <w:tmpl w:val="FB72FC52"/>
    <w:lvl w:ilvl="0" w:tplc="A79238A8">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D6F0479"/>
    <w:multiLevelType w:val="hybridMultilevel"/>
    <w:tmpl w:val="AB9AD2A0"/>
    <w:lvl w:ilvl="0" w:tplc="8D1E59C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B24A89"/>
    <w:multiLevelType w:val="hybridMultilevel"/>
    <w:tmpl w:val="6C6CE2B2"/>
    <w:lvl w:ilvl="0" w:tplc="8D1E59C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682552"/>
    <w:multiLevelType w:val="hybridMultilevel"/>
    <w:tmpl w:val="75CA31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B8B5851"/>
    <w:multiLevelType w:val="hybridMultilevel"/>
    <w:tmpl w:val="B986F2CA"/>
    <w:lvl w:ilvl="0" w:tplc="8D1E59C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6B7F3A"/>
    <w:multiLevelType w:val="singleLevel"/>
    <w:tmpl w:val="2FDA2E88"/>
    <w:lvl w:ilvl="0">
      <w:start w:val="1"/>
      <w:numFmt w:val="lowerLetter"/>
      <w:lvlText w:val="%1)"/>
      <w:lvlJc w:val="left"/>
      <w:pPr>
        <w:tabs>
          <w:tab w:val="num" w:pos="3542"/>
        </w:tabs>
        <w:ind w:left="3542" w:hanging="990"/>
      </w:pPr>
      <w:rPr>
        <w:rFonts w:hint="default"/>
      </w:rPr>
    </w:lvl>
  </w:abstractNum>
  <w:abstractNum w:abstractNumId="6">
    <w:nsid w:val="24EB1088"/>
    <w:multiLevelType w:val="hybridMultilevel"/>
    <w:tmpl w:val="D9CE3A60"/>
    <w:lvl w:ilvl="0" w:tplc="7C2873E2">
      <w:start w:val="1"/>
      <w:numFmt w:val="lowerRoman"/>
      <w:lvlText w:val="%1)"/>
      <w:lvlJc w:val="left"/>
      <w:pPr>
        <w:ind w:left="765" w:hanging="360"/>
      </w:pPr>
      <w:rPr>
        <w:rFonts w:hint="default"/>
        <w:color w:val="auto"/>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
    <w:nsid w:val="28F61E3B"/>
    <w:multiLevelType w:val="hybridMultilevel"/>
    <w:tmpl w:val="CAC8E5FA"/>
    <w:lvl w:ilvl="0" w:tplc="340A0017">
      <w:start w:val="1"/>
      <w:numFmt w:val="lowerLetter"/>
      <w:lvlText w:val="%1)"/>
      <w:lvlJc w:val="left"/>
      <w:pPr>
        <w:ind w:left="717" w:hanging="360"/>
      </w:p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8">
    <w:nsid w:val="2CEE5AA7"/>
    <w:multiLevelType w:val="hybridMultilevel"/>
    <w:tmpl w:val="15C8094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D94542B"/>
    <w:multiLevelType w:val="hybridMultilevel"/>
    <w:tmpl w:val="6C30017A"/>
    <w:lvl w:ilvl="0" w:tplc="8D1E59C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1E51AC"/>
    <w:multiLevelType w:val="hybridMultilevel"/>
    <w:tmpl w:val="FFEA4CD2"/>
    <w:lvl w:ilvl="0" w:tplc="7C2873E2">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920A19"/>
    <w:multiLevelType w:val="hybridMultilevel"/>
    <w:tmpl w:val="CAC8E5FA"/>
    <w:lvl w:ilvl="0" w:tplc="340A0017">
      <w:start w:val="1"/>
      <w:numFmt w:val="lowerLetter"/>
      <w:lvlText w:val="%1)"/>
      <w:lvlJc w:val="left"/>
      <w:pPr>
        <w:ind w:left="717" w:hanging="360"/>
      </w:p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2">
    <w:nsid w:val="3C8038D3"/>
    <w:multiLevelType w:val="hybridMultilevel"/>
    <w:tmpl w:val="1430F224"/>
    <w:lvl w:ilvl="0" w:tplc="180E0FF2">
      <w:start w:val="1"/>
      <w:numFmt w:val="lowerRoman"/>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AF6980"/>
    <w:multiLevelType w:val="hybridMultilevel"/>
    <w:tmpl w:val="D24EB7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1B67C86"/>
    <w:multiLevelType w:val="hybridMultilevel"/>
    <w:tmpl w:val="FF9ED62A"/>
    <w:lvl w:ilvl="0" w:tplc="8D1E59C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01005A"/>
    <w:multiLevelType w:val="hybridMultilevel"/>
    <w:tmpl w:val="5434C2C0"/>
    <w:lvl w:ilvl="0" w:tplc="617C4AD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nsid w:val="5F691469"/>
    <w:multiLevelType w:val="hybridMultilevel"/>
    <w:tmpl w:val="D1683DDE"/>
    <w:lvl w:ilvl="0" w:tplc="340A0011">
      <w:start w:val="1"/>
      <w:numFmt w:val="decimal"/>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7">
    <w:nsid w:val="61F3023F"/>
    <w:multiLevelType w:val="hybridMultilevel"/>
    <w:tmpl w:val="75CA31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1F95AED"/>
    <w:multiLevelType w:val="hybridMultilevel"/>
    <w:tmpl w:val="23D2B7A8"/>
    <w:lvl w:ilvl="0" w:tplc="8D1E59CE">
      <w:start w:val="1"/>
      <w:numFmt w:val="bullet"/>
      <w:lvlText w:val="-"/>
      <w:lvlJc w:val="left"/>
      <w:pPr>
        <w:ind w:left="720" w:hanging="360"/>
      </w:pPr>
      <w:rPr>
        <w:rFonts w:ascii="Calibri" w:eastAsiaTheme="minorHAnsi" w:hAnsi="Calibri" w:cstheme="minorBidi" w:hint="default"/>
        <w:color w:val="31849B" w:themeColor="accent5"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2396B42"/>
    <w:multiLevelType w:val="hybridMultilevel"/>
    <w:tmpl w:val="37E236F8"/>
    <w:lvl w:ilvl="0" w:tplc="340A000F">
      <w:start w:val="1"/>
      <w:numFmt w:val="decimal"/>
      <w:lvlText w:val="%1."/>
      <w:lvlJc w:val="lef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0">
    <w:nsid w:val="62952814"/>
    <w:multiLevelType w:val="hybridMultilevel"/>
    <w:tmpl w:val="7292CA82"/>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1">
    <w:nsid w:val="697B535F"/>
    <w:multiLevelType w:val="hybridMultilevel"/>
    <w:tmpl w:val="C6EC090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06F17A2"/>
    <w:multiLevelType w:val="hybridMultilevel"/>
    <w:tmpl w:val="97CE1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F00264"/>
    <w:multiLevelType w:val="hybridMultilevel"/>
    <w:tmpl w:val="EACC43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CD84E03"/>
    <w:multiLevelType w:val="hybridMultilevel"/>
    <w:tmpl w:val="4168BD78"/>
    <w:lvl w:ilvl="0" w:tplc="24A677E0">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ED80AE2"/>
    <w:multiLevelType w:val="hybridMultilevel"/>
    <w:tmpl w:val="A2BCB9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3"/>
  </w:num>
  <w:num w:numId="3">
    <w:abstractNumId w:val="7"/>
  </w:num>
  <w:num w:numId="4">
    <w:abstractNumId w:val="16"/>
  </w:num>
  <w:num w:numId="5">
    <w:abstractNumId w:val="5"/>
  </w:num>
  <w:num w:numId="6">
    <w:abstractNumId w:val="17"/>
  </w:num>
  <w:num w:numId="7">
    <w:abstractNumId w:val="15"/>
  </w:num>
  <w:num w:numId="8">
    <w:abstractNumId w:val="23"/>
  </w:num>
  <w:num w:numId="9">
    <w:abstractNumId w:val="0"/>
  </w:num>
  <w:num w:numId="10">
    <w:abstractNumId w:val="13"/>
  </w:num>
  <w:num w:numId="11">
    <w:abstractNumId w:val="8"/>
  </w:num>
  <w:num w:numId="12">
    <w:abstractNumId w:val="21"/>
  </w:num>
  <w:num w:numId="13">
    <w:abstractNumId w:val="11"/>
  </w:num>
  <w:num w:numId="14">
    <w:abstractNumId w:val="1"/>
  </w:num>
  <w:num w:numId="15">
    <w:abstractNumId w:val="14"/>
  </w:num>
  <w:num w:numId="16">
    <w:abstractNumId w:val="2"/>
  </w:num>
  <w:num w:numId="17">
    <w:abstractNumId w:val="4"/>
  </w:num>
  <w:num w:numId="18">
    <w:abstractNumId w:val="9"/>
  </w:num>
  <w:num w:numId="19">
    <w:abstractNumId w:val="18"/>
  </w:num>
  <w:num w:numId="20">
    <w:abstractNumId w:val="12"/>
  </w:num>
  <w:num w:numId="21">
    <w:abstractNumId w:val="10"/>
  </w:num>
  <w:num w:numId="22">
    <w:abstractNumId w:val="22"/>
  </w:num>
  <w:num w:numId="23">
    <w:abstractNumId w:val="24"/>
  </w:num>
  <w:num w:numId="24">
    <w:abstractNumId w:val="20"/>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E3"/>
    <w:rsid w:val="000075BB"/>
    <w:rsid w:val="00014B72"/>
    <w:rsid w:val="00020F34"/>
    <w:rsid w:val="0002249D"/>
    <w:rsid w:val="000308B9"/>
    <w:rsid w:val="0003312E"/>
    <w:rsid w:val="00037C05"/>
    <w:rsid w:val="0004090B"/>
    <w:rsid w:val="00043A55"/>
    <w:rsid w:val="00047AFE"/>
    <w:rsid w:val="00047CD4"/>
    <w:rsid w:val="00050969"/>
    <w:rsid w:val="00063C52"/>
    <w:rsid w:val="00063C64"/>
    <w:rsid w:val="00071475"/>
    <w:rsid w:val="00077A68"/>
    <w:rsid w:val="00077F20"/>
    <w:rsid w:val="00082424"/>
    <w:rsid w:val="00083ADA"/>
    <w:rsid w:val="00094B5E"/>
    <w:rsid w:val="00096D8F"/>
    <w:rsid w:val="00096FB3"/>
    <w:rsid w:val="00097B77"/>
    <w:rsid w:val="000A6A98"/>
    <w:rsid w:val="000A7FD6"/>
    <w:rsid w:val="000B247D"/>
    <w:rsid w:val="000B388E"/>
    <w:rsid w:val="000C25D8"/>
    <w:rsid w:val="000C76C7"/>
    <w:rsid w:val="000D03DD"/>
    <w:rsid w:val="000E091D"/>
    <w:rsid w:val="000E0B04"/>
    <w:rsid w:val="000E39A6"/>
    <w:rsid w:val="000E651F"/>
    <w:rsid w:val="000E76AB"/>
    <w:rsid w:val="000F0C3D"/>
    <w:rsid w:val="000F16E9"/>
    <w:rsid w:val="00100076"/>
    <w:rsid w:val="00115C25"/>
    <w:rsid w:val="00123445"/>
    <w:rsid w:val="00125EBE"/>
    <w:rsid w:val="001303F9"/>
    <w:rsid w:val="00137215"/>
    <w:rsid w:val="00140F32"/>
    <w:rsid w:val="00151C30"/>
    <w:rsid w:val="00152F12"/>
    <w:rsid w:val="00155296"/>
    <w:rsid w:val="00155911"/>
    <w:rsid w:val="001577C6"/>
    <w:rsid w:val="00157BC0"/>
    <w:rsid w:val="00165EF8"/>
    <w:rsid w:val="00170260"/>
    <w:rsid w:val="00170D07"/>
    <w:rsid w:val="00181626"/>
    <w:rsid w:val="00185077"/>
    <w:rsid w:val="001862EE"/>
    <w:rsid w:val="00186BDC"/>
    <w:rsid w:val="00190907"/>
    <w:rsid w:val="00196E2F"/>
    <w:rsid w:val="001B32E2"/>
    <w:rsid w:val="001B3E8C"/>
    <w:rsid w:val="001B6588"/>
    <w:rsid w:val="001D1812"/>
    <w:rsid w:val="001D59FA"/>
    <w:rsid w:val="001E0EAE"/>
    <w:rsid w:val="001E1461"/>
    <w:rsid w:val="001E784A"/>
    <w:rsid w:val="00202E7E"/>
    <w:rsid w:val="00206917"/>
    <w:rsid w:val="00210FC2"/>
    <w:rsid w:val="002129E6"/>
    <w:rsid w:val="00223CE1"/>
    <w:rsid w:val="00226D48"/>
    <w:rsid w:val="00235456"/>
    <w:rsid w:val="0024017D"/>
    <w:rsid w:val="00240EF0"/>
    <w:rsid w:val="00246B8F"/>
    <w:rsid w:val="002502AB"/>
    <w:rsid w:val="002523E3"/>
    <w:rsid w:val="00253A12"/>
    <w:rsid w:val="002645BB"/>
    <w:rsid w:val="00270358"/>
    <w:rsid w:val="00271B2A"/>
    <w:rsid w:val="00272729"/>
    <w:rsid w:val="00283DE7"/>
    <w:rsid w:val="00284100"/>
    <w:rsid w:val="00285B15"/>
    <w:rsid w:val="00290590"/>
    <w:rsid w:val="00295FAE"/>
    <w:rsid w:val="002A3A48"/>
    <w:rsid w:val="002B17FA"/>
    <w:rsid w:val="002C5435"/>
    <w:rsid w:val="002C66F9"/>
    <w:rsid w:val="002D6456"/>
    <w:rsid w:val="002D71DF"/>
    <w:rsid w:val="002D7354"/>
    <w:rsid w:val="002D7B0D"/>
    <w:rsid w:val="002E284A"/>
    <w:rsid w:val="002E4F58"/>
    <w:rsid w:val="002F0775"/>
    <w:rsid w:val="002F7A3D"/>
    <w:rsid w:val="003006F0"/>
    <w:rsid w:val="00304153"/>
    <w:rsid w:val="00313A76"/>
    <w:rsid w:val="003217FB"/>
    <w:rsid w:val="0032332D"/>
    <w:rsid w:val="003243F5"/>
    <w:rsid w:val="0032444E"/>
    <w:rsid w:val="003247D6"/>
    <w:rsid w:val="00325010"/>
    <w:rsid w:val="00326E39"/>
    <w:rsid w:val="003270FB"/>
    <w:rsid w:val="00327797"/>
    <w:rsid w:val="00330764"/>
    <w:rsid w:val="003310C9"/>
    <w:rsid w:val="00332409"/>
    <w:rsid w:val="00334295"/>
    <w:rsid w:val="00334389"/>
    <w:rsid w:val="00337EF1"/>
    <w:rsid w:val="00351575"/>
    <w:rsid w:val="003541FC"/>
    <w:rsid w:val="00362C34"/>
    <w:rsid w:val="003655F8"/>
    <w:rsid w:val="00365FC3"/>
    <w:rsid w:val="003710F5"/>
    <w:rsid w:val="00383E8D"/>
    <w:rsid w:val="003868B6"/>
    <w:rsid w:val="0038740A"/>
    <w:rsid w:val="00390BBD"/>
    <w:rsid w:val="003937AF"/>
    <w:rsid w:val="00393CFB"/>
    <w:rsid w:val="00396688"/>
    <w:rsid w:val="003A2509"/>
    <w:rsid w:val="003B0E44"/>
    <w:rsid w:val="003C3115"/>
    <w:rsid w:val="003D3771"/>
    <w:rsid w:val="003D3815"/>
    <w:rsid w:val="003D3897"/>
    <w:rsid w:val="003D4AF5"/>
    <w:rsid w:val="003D5C8C"/>
    <w:rsid w:val="003D7CC6"/>
    <w:rsid w:val="003E08FB"/>
    <w:rsid w:val="003E15C4"/>
    <w:rsid w:val="003E3380"/>
    <w:rsid w:val="003E5117"/>
    <w:rsid w:val="003E51B8"/>
    <w:rsid w:val="003E6094"/>
    <w:rsid w:val="003F5CE4"/>
    <w:rsid w:val="003F5D7D"/>
    <w:rsid w:val="003F75CB"/>
    <w:rsid w:val="003F774F"/>
    <w:rsid w:val="004000DE"/>
    <w:rsid w:val="004031D5"/>
    <w:rsid w:val="004056D5"/>
    <w:rsid w:val="00411D11"/>
    <w:rsid w:val="00416610"/>
    <w:rsid w:val="00416622"/>
    <w:rsid w:val="00424FDE"/>
    <w:rsid w:val="00425960"/>
    <w:rsid w:val="00425DE8"/>
    <w:rsid w:val="00426646"/>
    <w:rsid w:val="00427DB9"/>
    <w:rsid w:val="00431135"/>
    <w:rsid w:val="00431985"/>
    <w:rsid w:val="00432611"/>
    <w:rsid w:val="00435332"/>
    <w:rsid w:val="00436AFD"/>
    <w:rsid w:val="00440F2D"/>
    <w:rsid w:val="00445173"/>
    <w:rsid w:val="00446C6F"/>
    <w:rsid w:val="0044731F"/>
    <w:rsid w:val="00450387"/>
    <w:rsid w:val="00452573"/>
    <w:rsid w:val="00455831"/>
    <w:rsid w:val="0046113F"/>
    <w:rsid w:val="00462321"/>
    <w:rsid w:val="004633C8"/>
    <w:rsid w:val="00472676"/>
    <w:rsid w:val="004735A7"/>
    <w:rsid w:val="00475EBC"/>
    <w:rsid w:val="00484312"/>
    <w:rsid w:val="00487072"/>
    <w:rsid w:val="00487765"/>
    <w:rsid w:val="00487B94"/>
    <w:rsid w:val="004979A6"/>
    <w:rsid w:val="004A4110"/>
    <w:rsid w:val="004B4C20"/>
    <w:rsid w:val="004B7710"/>
    <w:rsid w:val="004C11A3"/>
    <w:rsid w:val="004D0994"/>
    <w:rsid w:val="004D1029"/>
    <w:rsid w:val="004D2035"/>
    <w:rsid w:val="004D374D"/>
    <w:rsid w:val="004D5EE7"/>
    <w:rsid w:val="004D61C4"/>
    <w:rsid w:val="004E2128"/>
    <w:rsid w:val="004F5727"/>
    <w:rsid w:val="00500C5A"/>
    <w:rsid w:val="00504195"/>
    <w:rsid w:val="005121F0"/>
    <w:rsid w:val="00514A1C"/>
    <w:rsid w:val="00517490"/>
    <w:rsid w:val="00521E94"/>
    <w:rsid w:val="00521F81"/>
    <w:rsid w:val="00523F8D"/>
    <w:rsid w:val="005320DE"/>
    <w:rsid w:val="005333B6"/>
    <w:rsid w:val="00534CB3"/>
    <w:rsid w:val="00543243"/>
    <w:rsid w:val="005433BB"/>
    <w:rsid w:val="00555FF9"/>
    <w:rsid w:val="005611D1"/>
    <w:rsid w:val="005613C9"/>
    <w:rsid w:val="00562D08"/>
    <w:rsid w:val="005657E3"/>
    <w:rsid w:val="0057268D"/>
    <w:rsid w:val="005753BD"/>
    <w:rsid w:val="00577956"/>
    <w:rsid w:val="00580488"/>
    <w:rsid w:val="00590EC0"/>
    <w:rsid w:val="00591A16"/>
    <w:rsid w:val="00594C73"/>
    <w:rsid w:val="00595C7C"/>
    <w:rsid w:val="005A0760"/>
    <w:rsid w:val="005A1156"/>
    <w:rsid w:val="005A5347"/>
    <w:rsid w:val="005B38E7"/>
    <w:rsid w:val="005C0DE1"/>
    <w:rsid w:val="005C22E4"/>
    <w:rsid w:val="005C231C"/>
    <w:rsid w:val="005D42C7"/>
    <w:rsid w:val="005D589D"/>
    <w:rsid w:val="005D7A8D"/>
    <w:rsid w:val="005E1378"/>
    <w:rsid w:val="005E148B"/>
    <w:rsid w:val="005E5D1B"/>
    <w:rsid w:val="005F00F0"/>
    <w:rsid w:val="005F1B16"/>
    <w:rsid w:val="005F2180"/>
    <w:rsid w:val="005F79E5"/>
    <w:rsid w:val="00602271"/>
    <w:rsid w:val="006073FB"/>
    <w:rsid w:val="00611E46"/>
    <w:rsid w:val="006214F5"/>
    <w:rsid w:val="00637F98"/>
    <w:rsid w:val="006411C2"/>
    <w:rsid w:val="006441CD"/>
    <w:rsid w:val="0065684C"/>
    <w:rsid w:val="00662511"/>
    <w:rsid w:val="00662DC5"/>
    <w:rsid w:val="00662ED4"/>
    <w:rsid w:val="00664680"/>
    <w:rsid w:val="00672758"/>
    <w:rsid w:val="006809D2"/>
    <w:rsid w:val="00686BF9"/>
    <w:rsid w:val="00692413"/>
    <w:rsid w:val="006A7017"/>
    <w:rsid w:val="006A7BA7"/>
    <w:rsid w:val="006B2AC1"/>
    <w:rsid w:val="006B53E5"/>
    <w:rsid w:val="006B7995"/>
    <w:rsid w:val="006C393D"/>
    <w:rsid w:val="006C522F"/>
    <w:rsid w:val="006D0D3E"/>
    <w:rsid w:val="006D37C5"/>
    <w:rsid w:val="006D3935"/>
    <w:rsid w:val="006D3CA5"/>
    <w:rsid w:val="006E07DA"/>
    <w:rsid w:val="006E680D"/>
    <w:rsid w:val="00701A1F"/>
    <w:rsid w:val="00710484"/>
    <w:rsid w:val="00712456"/>
    <w:rsid w:val="007135A5"/>
    <w:rsid w:val="00714A62"/>
    <w:rsid w:val="007205A4"/>
    <w:rsid w:val="00723B21"/>
    <w:rsid w:val="007320D5"/>
    <w:rsid w:val="007330D2"/>
    <w:rsid w:val="007425A6"/>
    <w:rsid w:val="0074277C"/>
    <w:rsid w:val="00747C41"/>
    <w:rsid w:val="007530CC"/>
    <w:rsid w:val="00754AB6"/>
    <w:rsid w:val="00757525"/>
    <w:rsid w:val="0075775B"/>
    <w:rsid w:val="0076116A"/>
    <w:rsid w:val="0077113D"/>
    <w:rsid w:val="0077375B"/>
    <w:rsid w:val="00774C67"/>
    <w:rsid w:val="0078056A"/>
    <w:rsid w:val="0078281A"/>
    <w:rsid w:val="007843F4"/>
    <w:rsid w:val="0078477E"/>
    <w:rsid w:val="007871E1"/>
    <w:rsid w:val="00791497"/>
    <w:rsid w:val="00795AD9"/>
    <w:rsid w:val="007A5CEC"/>
    <w:rsid w:val="007A7208"/>
    <w:rsid w:val="007A729B"/>
    <w:rsid w:val="007B4EB6"/>
    <w:rsid w:val="007B66D2"/>
    <w:rsid w:val="007B7CDA"/>
    <w:rsid w:val="007C54A8"/>
    <w:rsid w:val="007C7416"/>
    <w:rsid w:val="007D1322"/>
    <w:rsid w:val="007D1EE9"/>
    <w:rsid w:val="007D468B"/>
    <w:rsid w:val="007F2540"/>
    <w:rsid w:val="00803999"/>
    <w:rsid w:val="00803B84"/>
    <w:rsid w:val="008044DC"/>
    <w:rsid w:val="00804F20"/>
    <w:rsid w:val="00805506"/>
    <w:rsid w:val="008103A9"/>
    <w:rsid w:val="00813729"/>
    <w:rsid w:val="00813C7A"/>
    <w:rsid w:val="00813E99"/>
    <w:rsid w:val="00814BBF"/>
    <w:rsid w:val="00815E14"/>
    <w:rsid w:val="00815FE2"/>
    <w:rsid w:val="00820A3B"/>
    <w:rsid w:val="00820FFE"/>
    <w:rsid w:val="00823EFC"/>
    <w:rsid w:val="0082789B"/>
    <w:rsid w:val="00834DAA"/>
    <w:rsid w:val="0083539E"/>
    <w:rsid w:val="00835D99"/>
    <w:rsid w:val="008442C7"/>
    <w:rsid w:val="00845579"/>
    <w:rsid w:val="00854CD6"/>
    <w:rsid w:val="00855B02"/>
    <w:rsid w:val="00855C71"/>
    <w:rsid w:val="008569B6"/>
    <w:rsid w:val="00867155"/>
    <w:rsid w:val="0087360B"/>
    <w:rsid w:val="00877D3F"/>
    <w:rsid w:val="00880F1A"/>
    <w:rsid w:val="0088437C"/>
    <w:rsid w:val="0088601E"/>
    <w:rsid w:val="00891172"/>
    <w:rsid w:val="00891E42"/>
    <w:rsid w:val="00894971"/>
    <w:rsid w:val="0089498E"/>
    <w:rsid w:val="00895B4F"/>
    <w:rsid w:val="008B1FF6"/>
    <w:rsid w:val="008B2BEB"/>
    <w:rsid w:val="008C1F42"/>
    <w:rsid w:val="008C23C6"/>
    <w:rsid w:val="008C57DD"/>
    <w:rsid w:val="008D3AE6"/>
    <w:rsid w:val="008E3179"/>
    <w:rsid w:val="008E347A"/>
    <w:rsid w:val="008E5F78"/>
    <w:rsid w:val="008F37D5"/>
    <w:rsid w:val="008F7107"/>
    <w:rsid w:val="008F7F27"/>
    <w:rsid w:val="009001DE"/>
    <w:rsid w:val="00904ADC"/>
    <w:rsid w:val="009061D9"/>
    <w:rsid w:val="009070F8"/>
    <w:rsid w:val="00913370"/>
    <w:rsid w:val="009171EC"/>
    <w:rsid w:val="0092011E"/>
    <w:rsid w:val="009229BD"/>
    <w:rsid w:val="00927E21"/>
    <w:rsid w:val="0093006A"/>
    <w:rsid w:val="00932568"/>
    <w:rsid w:val="00933084"/>
    <w:rsid w:val="00933937"/>
    <w:rsid w:val="00944792"/>
    <w:rsid w:val="0094612C"/>
    <w:rsid w:val="00953959"/>
    <w:rsid w:val="0095446F"/>
    <w:rsid w:val="0095785C"/>
    <w:rsid w:val="00960A97"/>
    <w:rsid w:val="0096444D"/>
    <w:rsid w:val="0096456C"/>
    <w:rsid w:val="00965F10"/>
    <w:rsid w:val="009665A4"/>
    <w:rsid w:val="00972C0B"/>
    <w:rsid w:val="00975B0F"/>
    <w:rsid w:val="009808E8"/>
    <w:rsid w:val="00981D3E"/>
    <w:rsid w:val="00984765"/>
    <w:rsid w:val="00992870"/>
    <w:rsid w:val="009947F1"/>
    <w:rsid w:val="00994EEA"/>
    <w:rsid w:val="009A0EF2"/>
    <w:rsid w:val="009A6517"/>
    <w:rsid w:val="009B10B9"/>
    <w:rsid w:val="009C0483"/>
    <w:rsid w:val="009C08F6"/>
    <w:rsid w:val="009C2F1C"/>
    <w:rsid w:val="009C4022"/>
    <w:rsid w:val="009D1E41"/>
    <w:rsid w:val="009D1F40"/>
    <w:rsid w:val="009D25D4"/>
    <w:rsid w:val="009D6074"/>
    <w:rsid w:val="009D6B43"/>
    <w:rsid w:val="009D6BBF"/>
    <w:rsid w:val="009E0923"/>
    <w:rsid w:val="009E159A"/>
    <w:rsid w:val="00A019A4"/>
    <w:rsid w:val="00A054FA"/>
    <w:rsid w:val="00A058D4"/>
    <w:rsid w:val="00A076FA"/>
    <w:rsid w:val="00A10124"/>
    <w:rsid w:val="00A12C87"/>
    <w:rsid w:val="00A1409D"/>
    <w:rsid w:val="00A27195"/>
    <w:rsid w:val="00A360AC"/>
    <w:rsid w:val="00A4018D"/>
    <w:rsid w:val="00A42555"/>
    <w:rsid w:val="00A513BE"/>
    <w:rsid w:val="00A5406D"/>
    <w:rsid w:val="00A550D9"/>
    <w:rsid w:val="00A66145"/>
    <w:rsid w:val="00A71193"/>
    <w:rsid w:val="00A7560A"/>
    <w:rsid w:val="00A82249"/>
    <w:rsid w:val="00A91974"/>
    <w:rsid w:val="00A91AD5"/>
    <w:rsid w:val="00AA4032"/>
    <w:rsid w:val="00AA6438"/>
    <w:rsid w:val="00AB2F6E"/>
    <w:rsid w:val="00AC3CCA"/>
    <w:rsid w:val="00AC5852"/>
    <w:rsid w:val="00AC717C"/>
    <w:rsid w:val="00AD11B4"/>
    <w:rsid w:val="00AE12CA"/>
    <w:rsid w:val="00AF23C0"/>
    <w:rsid w:val="00AF56A2"/>
    <w:rsid w:val="00AF6C50"/>
    <w:rsid w:val="00B01FEE"/>
    <w:rsid w:val="00B048D8"/>
    <w:rsid w:val="00B07BBA"/>
    <w:rsid w:val="00B112AB"/>
    <w:rsid w:val="00B1393C"/>
    <w:rsid w:val="00B15CE7"/>
    <w:rsid w:val="00B34C09"/>
    <w:rsid w:val="00B41207"/>
    <w:rsid w:val="00B454E2"/>
    <w:rsid w:val="00B51632"/>
    <w:rsid w:val="00B544C0"/>
    <w:rsid w:val="00B55986"/>
    <w:rsid w:val="00B569B4"/>
    <w:rsid w:val="00B571FE"/>
    <w:rsid w:val="00B57C92"/>
    <w:rsid w:val="00B60FB5"/>
    <w:rsid w:val="00B661A8"/>
    <w:rsid w:val="00B71AFD"/>
    <w:rsid w:val="00B73B60"/>
    <w:rsid w:val="00B76203"/>
    <w:rsid w:val="00B76896"/>
    <w:rsid w:val="00B85DA9"/>
    <w:rsid w:val="00B953E6"/>
    <w:rsid w:val="00B97671"/>
    <w:rsid w:val="00BA001E"/>
    <w:rsid w:val="00BA1470"/>
    <w:rsid w:val="00BB0B2F"/>
    <w:rsid w:val="00BB12A9"/>
    <w:rsid w:val="00BB1416"/>
    <w:rsid w:val="00BB2B45"/>
    <w:rsid w:val="00BB42E1"/>
    <w:rsid w:val="00BB43FB"/>
    <w:rsid w:val="00BB4CD9"/>
    <w:rsid w:val="00BC69E3"/>
    <w:rsid w:val="00BC722F"/>
    <w:rsid w:val="00BC7B5E"/>
    <w:rsid w:val="00BD07FE"/>
    <w:rsid w:val="00BD3075"/>
    <w:rsid w:val="00BD389A"/>
    <w:rsid w:val="00BD6EBA"/>
    <w:rsid w:val="00BE13B4"/>
    <w:rsid w:val="00BE148D"/>
    <w:rsid w:val="00BE2468"/>
    <w:rsid w:val="00BE295D"/>
    <w:rsid w:val="00BE38C0"/>
    <w:rsid w:val="00BE4A4A"/>
    <w:rsid w:val="00BF0B62"/>
    <w:rsid w:val="00BF2DC6"/>
    <w:rsid w:val="00BF505B"/>
    <w:rsid w:val="00BF5153"/>
    <w:rsid w:val="00C019DE"/>
    <w:rsid w:val="00C03D23"/>
    <w:rsid w:val="00C04639"/>
    <w:rsid w:val="00C061ED"/>
    <w:rsid w:val="00C063FD"/>
    <w:rsid w:val="00C133C5"/>
    <w:rsid w:val="00C256B5"/>
    <w:rsid w:val="00C25E12"/>
    <w:rsid w:val="00C32D96"/>
    <w:rsid w:val="00C354C8"/>
    <w:rsid w:val="00C359B2"/>
    <w:rsid w:val="00C3755F"/>
    <w:rsid w:val="00C4153D"/>
    <w:rsid w:val="00C43C60"/>
    <w:rsid w:val="00C45E02"/>
    <w:rsid w:val="00C51ECA"/>
    <w:rsid w:val="00C60ED9"/>
    <w:rsid w:val="00C7411A"/>
    <w:rsid w:val="00C74433"/>
    <w:rsid w:val="00C837AA"/>
    <w:rsid w:val="00C918F0"/>
    <w:rsid w:val="00CA6624"/>
    <w:rsid w:val="00CB4124"/>
    <w:rsid w:val="00CC0B01"/>
    <w:rsid w:val="00CC2DA5"/>
    <w:rsid w:val="00CD0DE3"/>
    <w:rsid w:val="00CD4585"/>
    <w:rsid w:val="00CD5EAF"/>
    <w:rsid w:val="00CF084E"/>
    <w:rsid w:val="00CF0875"/>
    <w:rsid w:val="00CF1626"/>
    <w:rsid w:val="00CF3F69"/>
    <w:rsid w:val="00CF539E"/>
    <w:rsid w:val="00CF6143"/>
    <w:rsid w:val="00D027EA"/>
    <w:rsid w:val="00D10106"/>
    <w:rsid w:val="00D1202C"/>
    <w:rsid w:val="00D141A0"/>
    <w:rsid w:val="00D14493"/>
    <w:rsid w:val="00D16E0B"/>
    <w:rsid w:val="00D211A5"/>
    <w:rsid w:val="00D21CA4"/>
    <w:rsid w:val="00D3114E"/>
    <w:rsid w:val="00D332F7"/>
    <w:rsid w:val="00D34414"/>
    <w:rsid w:val="00D35120"/>
    <w:rsid w:val="00D40267"/>
    <w:rsid w:val="00D41FF0"/>
    <w:rsid w:val="00D50B40"/>
    <w:rsid w:val="00D5206D"/>
    <w:rsid w:val="00D61CBB"/>
    <w:rsid w:val="00D61F55"/>
    <w:rsid w:val="00D631F6"/>
    <w:rsid w:val="00D6577C"/>
    <w:rsid w:val="00D65C77"/>
    <w:rsid w:val="00D66565"/>
    <w:rsid w:val="00D66C37"/>
    <w:rsid w:val="00D73B07"/>
    <w:rsid w:val="00D751E9"/>
    <w:rsid w:val="00D75885"/>
    <w:rsid w:val="00D75C39"/>
    <w:rsid w:val="00D75E1E"/>
    <w:rsid w:val="00D76CFB"/>
    <w:rsid w:val="00D77D23"/>
    <w:rsid w:val="00D82C73"/>
    <w:rsid w:val="00D948D0"/>
    <w:rsid w:val="00D9526A"/>
    <w:rsid w:val="00DA48CA"/>
    <w:rsid w:val="00DA4E96"/>
    <w:rsid w:val="00DB334E"/>
    <w:rsid w:val="00DB4BD7"/>
    <w:rsid w:val="00DC651A"/>
    <w:rsid w:val="00DD0E7D"/>
    <w:rsid w:val="00DD2A44"/>
    <w:rsid w:val="00DD35E2"/>
    <w:rsid w:val="00DE033B"/>
    <w:rsid w:val="00DE0DD2"/>
    <w:rsid w:val="00DE2B27"/>
    <w:rsid w:val="00DE407E"/>
    <w:rsid w:val="00E0057F"/>
    <w:rsid w:val="00E008B2"/>
    <w:rsid w:val="00E1163E"/>
    <w:rsid w:val="00E14267"/>
    <w:rsid w:val="00E153EC"/>
    <w:rsid w:val="00E2297B"/>
    <w:rsid w:val="00E42092"/>
    <w:rsid w:val="00E467FA"/>
    <w:rsid w:val="00E47092"/>
    <w:rsid w:val="00E476F8"/>
    <w:rsid w:val="00E52510"/>
    <w:rsid w:val="00E52FF5"/>
    <w:rsid w:val="00E53CCC"/>
    <w:rsid w:val="00E5520D"/>
    <w:rsid w:val="00E552C8"/>
    <w:rsid w:val="00E553EA"/>
    <w:rsid w:val="00E638E1"/>
    <w:rsid w:val="00E655C6"/>
    <w:rsid w:val="00E66ED7"/>
    <w:rsid w:val="00E77D67"/>
    <w:rsid w:val="00E85AE8"/>
    <w:rsid w:val="00E912DA"/>
    <w:rsid w:val="00E92DAC"/>
    <w:rsid w:val="00E9640D"/>
    <w:rsid w:val="00E97C95"/>
    <w:rsid w:val="00EA0EDE"/>
    <w:rsid w:val="00EA2B78"/>
    <w:rsid w:val="00EA40AC"/>
    <w:rsid w:val="00EB1587"/>
    <w:rsid w:val="00EB2A2F"/>
    <w:rsid w:val="00ED5EE2"/>
    <w:rsid w:val="00ED7E5F"/>
    <w:rsid w:val="00EE2B95"/>
    <w:rsid w:val="00EE40ED"/>
    <w:rsid w:val="00EE4519"/>
    <w:rsid w:val="00EF5FF0"/>
    <w:rsid w:val="00EF68C0"/>
    <w:rsid w:val="00EF6938"/>
    <w:rsid w:val="00F11D40"/>
    <w:rsid w:val="00F222AB"/>
    <w:rsid w:val="00F22735"/>
    <w:rsid w:val="00F25A73"/>
    <w:rsid w:val="00F32C28"/>
    <w:rsid w:val="00F32E21"/>
    <w:rsid w:val="00F33DDB"/>
    <w:rsid w:val="00F3567C"/>
    <w:rsid w:val="00F43B91"/>
    <w:rsid w:val="00F44616"/>
    <w:rsid w:val="00F45438"/>
    <w:rsid w:val="00F46913"/>
    <w:rsid w:val="00F62C43"/>
    <w:rsid w:val="00F67C37"/>
    <w:rsid w:val="00F86BDA"/>
    <w:rsid w:val="00F9049A"/>
    <w:rsid w:val="00F90E84"/>
    <w:rsid w:val="00FA5407"/>
    <w:rsid w:val="00FA72DA"/>
    <w:rsid w:val="00FB1804"/>
    <w:rsid w:val="00FC32EF"/>
    <w:rsid w:val="00FC347D"/>
    <w:rsid w:val="00FC703B"/>
    <w:rsid w:val="00FD1668"/>
    <w:rsid w:val="00FD3E72"/>
    <w:rsid w:val="00FD5AA8"/>
    <w:rsid w:val="00FD6F49"/>
    <w:rsid w:val="00FE3464"/>
    <w:rsid w:val="00FE36E9"/>
    <w:rsid w:val="00FE79BC"/>
    <w:rsid w:val="00FF0C88"/>
    <w:rsid w:val="00FF3C2F"/>
    <w:rsid w:val="035338AB"/>
    <w:rsid w:val="03E87CBC"/>
    <w:rsid w:val="042001A9"/>
    <w:rsid w:val="05C58566"/>
    <w:rsid w:val="074C5DF3"/>
    <w:rsid w:val="07C3DFBA"/>
    <w:rsid w:val="081047D4"/>
    <w:rsid w:val="082AA9DB"/>
    <w:rsid w:val="08B94DDA"/>
    <w:rsid w:val="09390DC0"/>
    <w:rsid w:val="09776C97"/>
    <w:rsid w:val="09865C95"/>
    <w:rsid w:val="09874D9E"/>
    <w:rsid w:val="0A9DF505"/>
    <w:rsid w:val="0B5D0854"/>
    <w:rsid w:val="0BBFE359"/>
    <w:rsid w:val="0D271FCC"/>
    <w:rsid w:val="100DDA1B"/>
    <w:rsid w:val="102F4578"/>
    <w:rsid w:val="10D2B928"/>
    <w:rsid w:val="14B2A04B"/>
    <w:rsid w:val="17002660"/>
    <w:rsid w:val="17939550"/>
    <w:rsid w:val="17FE8141"/>
    <w:rsid w:val="18EC9D14"/>
    <w:rsid w:val="198C93E6"/>
    <w:rsid w:val="19ECC375"/>
    <w:rsid w:val="1A228A11"/>
    <w:rsid w:val="1A6186A8"/>
    <w:rsid w:val="1AF5329B"/>
    <w:rsid w:val="1D0C4126"/>
    <w:rsid w:val="2009D734"/>
    <w:rsid w:val="20AD44AD"/>
    <w:rsid w:val="2268608C"/>
    <w:rsid w:val="236C98FE"/>
    <w:rsid w:val="2557955A"/>
    <w:rsid w:val="26484D6E"/>
    <w:rsid w:val="2662E2EB"/>
    <w:rsid w:val="268B1F3D"/>
    <w:rsid w:val="26CB1B24"/>
    <w:rsid w:val="27DCF693"/>
    <w:rsid w:val="2928BCDD"/>
    <w:rsid w:val="294853D2"/>
    <w:rsid w:val="29649D4C"/>
    <w:rsid w:val="2A8F95D8"/>
    <w:rsid w:val="2ADB88F6"/>
    <w:rsid w:val="2BC6C0CF"/>
    <w:rsid w:val="2BF2E8FD"/>
    <w:rsid w:val="2FCF446C"/>
    <w:rsid w:val="3046F7A5"/>
    <w:rsid w:val="30957096"/>
    <w:rsid w:val="313CBB89"/>
    <w:rsid w:val="31C4F740"/>
    <w:rsid w:val="325FEC2B"/>
    <w:rsid w:val="337BA5BF"/>
    <w:rsid w:val="348F25BD"/>
    <w:rsid w:val="355C2D68"/>
    <w:rsid w:val="35B587FE"/>
    <w:rsid w:val="35C99DF4"/>
    <w:rsid w:val="37759503"/>
    <w:rsid w:val="37AB4B51"/>
    <w:rsid w:val="38945EA9"/>
    <w:rsid w:val="38B38FFF"/>
    <w:rsid w:val="399C069C"/>
    <w:rsid w:val="3A184E5E"/>
    <w:rsid w:val="3A97257B"/>
    <w:rsid w:val="3ACD137C"/>
    <w:rsid w:val="3B59566E"/>
    <w:rsid w:val="3DBD6265"/>
    <w:rsid w:val="3E1959B2"/>
    <w:rsid w:val="3EF187BB"/>
    <w:rsid w:val="3FA53B1C"/>
    <w:rsid w:val="4025BAED"/>
    <w:rsid w:val="402E5124"/>
    <w:rsid w:val="408EB6F1"/>
    <w:rsid w:val="4128CD72"/>
    <w:rsid w:val="43D9F19D"/>
    <w:rsid w:val="4509B402"/>
    <w:rsid w:val="456B9720"/>
    <w:rsid w:val="4718EF2B"/>
    <w:rsid w:val="47ACC125"/>
    <w:rsid w:val="48BA252E"/>
    <w:rsid w:val="492EC405"/>
    <w:rsid w:val="4A721963"/>
    <w:rsid w:val="4ABE119A"/>
    <w:rsid w:val="4B8BE8C6"/>
    <w:rsid w:val="4BD27AAE"/>
    <w:rsid w:val="4E0A3375"/>
    <w:rsid w:val="4E55E79D"/>
    <w:rsid w:val="4E88C666"/>
    <w:rsid w:val="4ED47E5D"/>
    <w:rsid w:val="4F34A50A"/>
    <w:rsid w:val="5010E815"/>
    <w:rsid w:val="50C44A9A"/>
    <w:rsid w:val="51D67FB1"/>
    <w:rsid w:val="53A2AD6D"/>
    <w:rsid w:val="541D5052"/>
    <w:rsid w:val="54C54191"/>
    <w:rsid w:val="54D86A36"/>
    <w:rsid w:val="550E93DC"/>
    <w:rsid w:val="5596585F"/>
    <w:rsid w:val="5700E907"/>
    <w:rsid w:val="57225D8F"/>
    <w:rsid w:val="5722A99F"/>
    <w:rsid w:val="586045BD"/>
    <w:rsid w:val="59154F60"/>
    <w:rsid w:val="593567A9"/>
    <w:rsid w:val="5A46F31F"/>
    <w:rsid w:val="5B08BE93"/>
    <w:rsid w:val="5B1FB338"/>
    <w:rsid w:val="5B2C87A1"/>
    <w:rsid w:val="5CE69812"/>
    <w:rsid w:val="5F648F3C"/>
    <w:rsid w:val="62638C78"/>
    <w:rsid w:val="628823A9"/>
    <w:rsid w:val="62FCDAF4"/>
    <w:rsid w:val="639B6EBB"/>
    <w:rsid w:val="652E30DD"/>
    <w:rsid w:val="664A98D6"/>
    <w:rsid w:val="66A3958D"/>
    <w:rsid w:val="67485DED"/>
    <w:rsid w:val="6769162A"/>
    <w:rsid w:val="68A2BF53"/>
    <w:rsid w:val="6AAC163D"/>
    <w:rsid w:val="6AAFF563"/>
    <w:rsid w:val="6B39C20C"/>
    <w:rsid w:val="6B3F7312"/>
    <w:rsid w:val="6D5146C7"/>
    <w:rsid w:val="6DF7569F"/>
    <w:rsid w:val="6DFF50D6"/>
    <w:rsid w:val="6E27AE05"/>
    <w:rsid w:val="6E28982A"/>
    <w:rsid w:val="6ED7C762"/>
    <w:rsid w:val="6F266BD5"/>
    <w:rsid w:val="7172C30F"/>
    <w:rsid w:val="71B5C1BA"/>
    <w:rsid w:val="727053E5"/>
    <w:rsid w:val="732901AC"/>
    <w:rsid w:val="7575617C"/>
    <w:rsid w:val="75854DDE"/>
    <w:rsid w:val="75C86C42"/>
    <w:rsid w:val="76A2D053"/>
    <w:rsid w:val="77E2B697"/>
    <w:rsid w:val="77EA5F1F"/>
    <w:rsid w:val="790E580C"/>
    <w:rsid w:val="792FE9C8"/>
    <w:rsid w:val="7A2A1B97"/>
    <w:rsid w:val="7A9A67F9"/>
    <w:rsid w:val="7B7A12A2"/>
    <w:rsid w:val="7F645262"/>
    <w:rsid w:val="7F6CAB6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6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5657E3"/>
    <w:pPr>
      <w:jc w:val="both"/>
    </w:pPr>
    <w:rPr>
      <w:rFonts w:ascii="Arial" w:hAnsi="Arial"/>
      <w:color w:val="000000"/>
      <w:szCs w:val="20"/>
      <w:lang w:val="es-CL"/>
    </w:rPr>
  </w:style>
  <w:style w:type="character" w:customStyle="1" w:styleId="TextodecuerpoCar">
    <w:name w:val="Texto de cuerpo Car"/>
    <w:basedOn w:val="Fuentedeprrafopredeter"/>
    <w:link w:val="Textodecuerpo"/>
    <w:rsid w:val="005657E3"/>
    <w:rPr>
      <w:rFonts w:ascii="Arial" w:eastAsia="Times New Roman" w:hAnsi="Arial" w:cs="Times New Roman"/>
      <w:color w:val="000000"/>
      <w:sz w:val="24"/>
      <w:szCs w:val="20"/>
      <w:lang w:eastAsia="es-ES"/>
    </w:rPr>
  </w:style>
  <w:style w:type="paragraph" w:styleId="Prrafodelista">
    <w:name w:val="List Paragraph"/>
    <w:basedOn w:val="Normal"/>
    <w:uiPriority w:val="34"/>
    <w:qFormat/>
    <w:rsid w:val="005657E3"/>
    <w:pPr>
      <w:ind w:left="720"/>
      <w:contextualSpacing/>
    </w:pPr>
  </w:style>
  <w:style w:type="paragraph" w:styleId="Ttulo">
    <w:name w:val="Title"/>
    <w:basedOn w:val="Normal"/>
    <w:link w:val="TtuloCar"/>
    <w:qFormat/>
    <w:rsid w:val="005657E3"/>
    <w:pPr>
      <w:jc w:val="center"/>
    </w:pPr>
    <w:rPr>
      <w:b/>
      <w:bCs/>
      <w:sz w:val="28"/>
      <w:lang w:val="es-CL"/>
    </w:rPr>
  </w:style>
  <w:style w:type="character" w:customStyle="1" w:styleId="TtuloCar">
    <w:name w:val="Título Car"/>
    <w:basedOn w:val="Fuentedeprrafopredeter"/>
    <w:link w:val="Ttulo"/>
    <w:rsid w:val="005657E3"/>
    <w:rPr>
      <w:rFonts w:ascii="Times New Roman" w:eastAsia="Times New Roman" w:hAnsi="Times New Roman" w:cs="Times New Roman"/>
      <w:b/>
      <w:bCs/>
      <w:sz w:val="28"/>
      <w:szCs w:val="24"/>
      <w:lang w:eastAsia="es-ES"/>
    </w:rPr>
  </w:style>
  <w:style w:type="character" w:styleId="Refdecomentario">
    <w:name w:val="annotation reference"/>
    <w:basedOn w:val="Fuentedeprrafopredeter"/>
    <w:uiPriority w:val="99"/>
    <w:semiHidden/>
    <w:unhideWhenUsed/>
    <w:rsid w:val="0094612C"/>
    <w:rPr>
      <w:sz w:val="16"/>
      <w:szCs w:val="16"/>
    </w:rPr>
  </w:style>
  <w:style w:type="paragraph" w:styleId="Textocomentario">
    <w:name w:val="annotation text"/>
    <w:basedOn w:val="Normal"/>
    <w:link w:val="TextocomentarioCar"/>
    <w:uiPriority w:val="99"/>
    <w:unhideWhenUsed/>
    <w:rsid w:val="0094612C"/>
    <w:rPr>
      <w:sz w:val="20"/>
      <w:szCs w:val="20"/>
    </w:rPr>
  </w:style>
  <w:style w:type="character" w:customStyle="1" w:styleId="TextocomentarioCar">
    <w:name w:val="Texto comentario Car"/>
    <w:basedOn w:val="Fuentedeprrafopredeter"/>
    <w:link w:val="Textocomentario"/>
    <w:uiPriority w:val="99"/>
    <w:rsid w:val="0094612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4612C"/>
    <w:rPr>
      <w:b/>
      <w:bCs/>
    </w:rPr>
  </w:style>
  <w:style w:type="character" w:customStyle="1" w:styleId="AsuntodelcomentarioCar">
    <w:name w:val="Asunto del comentario Car"/>
    <w:basedOn w:val="TextocomentarioCar"/>
    <w:link w:val="Asuntodelcomentario"/>
    <w:uiPriority w:val="99"/>
    <w:semiHidden/>
    <w:rsid w:val="0094612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4612C"/>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12C"/>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9061D9"/>
    <w:rPr>
      <w:color w:val="808080"/>
    </w:rPr>
  </w:style>
  <w:style w:type="table" w:styleId="Tablaconcuadrcula">
    <w:name w:val="Table Grid"/>
    <w:basedOn w:val="Tablanormal"/>
    <w:uiPriority w:val="59"/>
    <w:rsid w:val="0004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31135"/>
    <w:pPr>
      <w:tabs>
        <w:tab w:val="center" w:pos="4419"/>
        <w:tab w:val="right" w:pos="8838"/>
      </w:tabs>
    </w:pPr>
  </w:style>
  <w:style w:type="character" w:customStyle="1" w:styleId="EncabezadoCar">
    <w:name w:val="Encabezado Car"/>
    <w:basedOn w:val="Fuentedeprrafopredeter"/>
    <w:link w:val="Encabezado"/>
    <w:uiPriority w:val="99"/>
    <w:rsid w:val="004311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1135"/>
    <w:pPr>
      <w:tabs>
        <w:tab w:val="center" w:pos="4419"/>
        <w:tab w:val="right" w:pos="8838"/>
      </w:tabs>
    </w:pPr>
  </w:style>
  <w:style w:type="character" w:customStyle="1" w:styleId="PiedepginaCar">
    <w:name w:val="Pie de página Car"/>
    <w:basedOn w:val="Fuentedeprrafopredeter"/>
    <w:link w:val="Piedepgina"/>
    <w:uiPriority w:val="99"/>
    <w:rsid w:val="00431135"/>
    <w:rPr>
      <w:rFonts w:ascii="Times New Roman" w:eastAsia="Times New Roman" w:hAnsi="Times New Roman" w:cs="Times New Roman"/>
      <w:sz w:val="24"/>
      <w:szCs w:val="24"/>
      <w:lang w:val="es-ES" w:eastAsia="es-ES"/>
    </w:rPr>
  </w:style>
  <w:style w:type="paragraph" w:styleId="Revisin">
    <w:name w:val="Revision"/>
    <w:hidden/>
    <w:uiPriority w:val="99"/>
    <w:semiHidden/>
    <w:rsid w:val="004B7710"/>
    <w:pPr>
      <w:spacing w:after="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C43C60"/>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semiHidden/>
    <w:rsid w:val="00C43C60"/>
    <w:rPr>
      <w:rFonts w:ascii="Calibri" w:hAnsi="Calibri"/>
      <w:szCs w:val="21"/>
    </w:rPr>
  </w:style>
  <w:style w:type="character" w:styleId="Hipervnculo">
    <w:name w:val="Hyperlink"/>
    <w:basedOn w:val="Fuentedeprrafopredeter"/>
    <w:uiPriority w:val="99"/>
    <w:semiHidden/>
    <w:unhideWhenUsed/>
    <w:rsid w:val="00D61C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5657E3"/>
    <w:pPr>
      <w:jc w:val="both"/>
    </w:pPr>
    <w:rPr>
      <w:rFonts w:ascii="Arial" w:hAnsi="Arial"/>
      <w:color w:val="000000"/>
      <w:szCs w:val="20"/>
      <w:lang w:val="es-CL"/>
    </w:rPr>
  </w:style>
  <w:style w:type="character" w:customStyle="1" w:styleId="TextodecuerpoCar">
    <w:name w:val="Texto de cuerpo Car"/>
    <w:basedOn w:val="Fuentedeprrafopredeter"/>
    <w:link w:val="Textodecuerpo"/>
    <w:rsid w:val="005657E3"/>
    <w:rPr>
      <w:rFonts w:ascii="Arial" w:eastAsia="Times New Roman" w:hAnsi="Arial" w:cs="Times New Roman"/>
      <w:color w:val="000000"/>
      <w:sz w:val="24"/>
      <w:szCs w:val="20"/>
      <w:lang w:eastAsia="es-ES"/>
    </w:rPr>
  </w:style>
  <w:style w:type="paragraph" w:styleId="Prrafodelista">
    <w:name w:val="List Paragraph"/>
    <w:basedOn w:val="Normal"/>
    <w:uiPriority w:val="34"/>
    <w:qFormat/>
    <w:rsid w:val="005657E3"/>
    <w:pPr>
      <w:ind w:left="720"/>
      <w:contextualSpacing/>
    </w:pPr>
  </w:style>
  <w:style w:type="paragraph" w:styleId="Ttulo">
    <w:name w:val="Title"/>
    <w:basedOn w:val="Normal"/>
    <w:link w:val="TtuloCar"/>
    <w:qFormat/>
    <w:rsid w:val="005657E3"/>
    <w:pPr>
      <w:jc w:val="center"/>
    </w:pPr>
    <w:rPr>
      <w:b/>
      <w:bCs/>
      <w:sz w:val="28"/>
      <w:lang w:val="es-CL"/>
    </w:rPr>
  </w:style>
  <w:style w:type="character" w:customStyle="1" w:styleId="TtuloCar">
    <w:name w:val="Título Car"/>
    <w:basedOn w:val="Fuentedeprrafopredeter"/>
    <w:link w:val="Ttulo"/>
    <w:rsid w:val="005657E3"/>
    <w:rPr>
      <w:rFonts w:ascii="Times New Roman" w:eastAsia="Times New Roman" w:hAnsi="Times New Roman" w:cs="Times New Roman"/>
      <w:b/>
      <w:bCs/>
      <w:sz w:val="28"/>
      <w:szCs w:val="24"/>
      <w:lang w:eastAsia="es-ES"/>
    </w:rPr>
  </w:style>
  <w:style w:type="character" w:styleId="Refdecomentario">
    <w:name w:val="annotation reference"/>
    <w:basedOn w:val="Fuentedeprrafopredeter"/>
    <w:uiPriority w:val="99"/>
    <w:semiHidden/>
    <w:unhideWhenUsed/>
    <w:rsid w:val="0094612C"/>
    <w:rPr>
      <w:sz w:val="16"/>
      <w:szCs w:val="16"/>
    </w:rPr>
  </w:style>
  <w:style w:type="paragraph" w:styleId="Textocomentario">
    <w:name w:val="annotation text"/>
    <w:basedOn w:val="Normal"/>
    <w:link w:val="TextocomentarioCar"/>
    <w:uiPriority w:val="99"/>
    <w:unhideWhenUsed/>
    <w:rsid w:val="0094612C"/>
    <w:rPr>
      <w:sz w:val="20"/>
      <w:szCs w:val="20"/>
    </w:rPr>
  </w:style>
  <w:style w:type="character" w:customStyle="1" w:styleId="TextocomentarioCar">
    <w:name w:val="Texto comentario Car"/>
    <w:basedOn w:val="Fuentedeprrafopredeter"/>
    <w:link w:val="Textocomentario"/>
    <w:uiPriority w:val="99"/>
    <w:rsid w:val="0094612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4612C"/>
    <w:rPr>
      <w:b/>
      <w:bCs/>
    </w:rPr>
  </w:style>
  <w:style w:type="character" w:customStyle="1" w:styleId="AsuntodelcomentarioCar">
    <w:name w:val="Asunto del comentario Car"/>
    <w:basedOn w:val="TextocomentarioCar"/>
    <w:link w:val="Asuntodelcomentario"/>
    <w:uiPriority w:val="99"/>
    <w:semiHidden/>
    <w:rsid w:val="0094612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4612C"/>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12C"/>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9061D9"/>
    <w:rPr>
      <w:color w:val="808080"/>
    </w:rPr>
  </w:style>
  <w:style w:type="table" w:styleId="Tablaconcuadrcula">
    <w:name w:val="Table Grid"/>
    <w:basedOn w:val="Tablanormal"/>
    <w:uiPriority w:val="59"/>
    <w:rsid w:val="0004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31135"/>
    <w:pPr>
      <w:tabs>
        <w:tab w:val="center" w:pos="4419"/>
        <w:tab w:val="right" w:pos="8838"/>
      </w:tabs>
    </w:pPr>
  </w:style>
  <w:style w:type="character" w:customStyle="1" w:styleId="EncabezadoCar">
    <w:name w:val="Encabezado Car"/>
    <w:basedOn w:val="Fuentedeprrafopredeter"/>
    <w:link w:val="Encabezado"/>
    <w:uiPriority w:val="99"/>
    <w:rsid w:val="004311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1135"/>
    <w:pPr>
      <w:tabs>
        <w:tab w:val="center" w:pos="4419"/>
        <w:tab w:val="right" w:pos="8838"/>
      </w:tabs>
    </w:pPr>
  </w:style>
  <w:style w:type="character" w:customStyle="1" w:styleId="PiedepginaCar">
    <w:name w:val="Pie de página Car"/>
    <w:basedOn w:val="Fuentedeprrafopredeter"/>
    <w:link w:val="Piedepgina"/>
    <w:uiPriority w:val="99"/>
    <w:rsid w:val="00431135"/>
    <w:rPr>
      <w:rFonts w:ascii="Times New Roman" w:eastAsia="Times New Roman" w:hAnsi="Times New Roman" w:cs="Times New Roman"/>
      <w:sz w:val="24"/>
      <w:szCs w:val="24"/>
      <w:lang w:val="es-ES" w:eastAsia="es-ES"/>
    </w:rPr>
  </w:style>
  <w:style w:type="paragraph" w:styleId="Revisin">
    <w:name w:val="Revision"/>
    <w:hidden/>
    <w:uiPriority w:val="99"/>
    <w:semiHidden/>
    <w:rsid w:val="004B7710"/>
    <w:pPr>
      <w:spacing w:after="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C43C60"/>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semiHidden/>
    <w:rsid w:val="00C43C60"/>
    <w:rPr>
      <w:rFonts w:ascii="Calibri" w:hAnsi="Calibri"/>
      <w:szCs w:val="21"/>
    </w:rPr>
  </w:style>
  <w:style w:type="character" w:styleId="Hipervnculo">
    <w:name w:val="Hyperlink"/>
    <w:basedOn w:val="Fuentedeprrafopredeter"/>
    <w:uiPriority w:val="99"/>
    <w:semiHidden/>
    <w:unhideWhenUsed/>
    <w:rsid w:val="00D61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2983">
      <w:bodyDiv w:val="1"/>
      <w:marLeft w:val="0"/>
      <w:marRight w:val="0"/>
      <w:marTop w:val="0"/>
      <w:marBottom w:val="0"/>
      <w:divBdr>
        <w:top w:val="none" w:sz="0" w:space="0" w:color="auto"/>
        <w:left w:val="none" w:sz="0" w:space="0" w:color="auto"/>
        <w:bottom w:val="none" w:sz="0" w:space="0" w:color="auto"/>
        <w:right w:val="none" w:sz="0" w:space="0" w:color="auto"/>
      </w:divBdr>
      <w:divsChild>
        <w:div w:id="2004161971">
          <w:marLeft w:val="0"/>
          <w:marRight w:val="0"/>
          <w:marTop w:val="0"/>
          <w:marBottom w:val="0"/>
          <w:divBdr>
            <w:top w:val="none" w:sz="0" w:space="0" w:color="auto"/>
            <w:left w:val="none" w:sz="0" w:space="0" w:color="auto"/>
            <w:bottom w:val="none" w:sz="0" w:space="0" w:color="auto"/>
            <w:right w:val="none" w:sz="0" w:space="0" w:color="auto"/>
          </w:divBdr>
          <w:divsChild>
            <w:div w:id="1113791259">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389157778">
      <w:bodyDiv w:val="1"/>
      <w:marLeft w:val="0"/>
      <w:marRight w:val="0"/>
      <w:marTop w:val="0"/>
      <w:marBottom w:val="0"/>
      <w:divBdr>
        <w:top w:val="none" w:sz="0" w:space="0" w:color="auto"/>
        <w:left w:val="none" w:sz="0" w:space="0" w:color="auto"/>
        <w:bottom w:val="none" w:sz="0" w:space="0" w:color="auto"/>
        <w:right w:val="none" w:sz="0" w:space="0" w:color="auto"/>
      </w:divBdr>
    </w:div>
    <w:div w:id="813133897">
      <w:bodyDiv w:val="1"/>
      <w:marLeft w:val="0"/>
      <w:marRight w:val="0"/>
      <w:marTop w:val="0"/>
      <w:marBottom w:val="0"/>
      <w:divBdr>
        <w:top w:val="none" w:sz="0" w:space="0" w:color="auto"/>
        <w:left w:val="none" w:sz="0" w:space="0" w:color="auto"/>
        <w:bottom w:val="none" w:sz="0" w:space="0" w:color="auto"/>
        <w:right w:val="none" w:sz="0" w:space="0" w:color="auto"/>
      </w:divBdr>
    </w:div>
    <w:div w:id="855969714">
      <w:bodyDiv w:val="1"/>
      <w:marLeft w:val="0"/>
      <w:marRight w:val="0"/>
      <w:marTop w:val="0"/>
      <w:marBottom w:val="0"/>
      <w:divBdr>
        <w:top w:val="none" w:sz="0" w:space="0" w:color="auto"/>
        <w:left w:val="none" w:sz="0" w:space="0" w:color="auto"/>
        <w:bottom w:val="none" w:sz="0" w:space="0" w:color="auto"/>
        <w:right w:val="none" w:sz="0" w:space="0" w:color="auto"/>
      </w:divBdr>
    </w:div>
    <w:div w:id="1473215248">
      <w:bodyDiv w:val="1"/>
      <w:marLeft w:val="0"/>
      <w:marRight w:val="0"/>
      <w:marTop w:val="0"/>
      <w:marBottom w:val="0"/>
      <w:divBdr>
        <w:top w:val="none" w:sz="0" w:space="0" w:color="auto"/>
        <w:left w:val="none" w:sz="0" w:space="0" w:color="auto"/>
        <w:bottom w:val="none" w:sz="0" w:space="0" w:color="auto"/>
        <w:right w:val="none" w:sz="0" w:space="0" w:color="auto"/>
      </w:divBdr>
    </w:div>
    <w:div w:id="1520506133">
      <w:bodyDiv w:val="1"/>
      <w:marLeft w:val="0"/>
      <w:marRight w:val="0"/>
      <w:marTop w:val="0"/>
      <w:marBottom w:val="0"/>
      <w:divBdr>
        <w:top w:val="none" w:sz="0" w:space="0" w:color="auto"/>
        <w:left w:val="none" w:sz="0" w:space="0" w:color="auto"/>
        <w:bottom w:val="none" w:sz="0" w:space="0" w:color="auto"/>
        <w:right w:val="none" w:sz="0" w:space="0" w:color="auto"/>
      </w:divBdr>
    </w:div>
    <w:div w:id="1610165695">
      <w:bodyDiv w:val="1"/>
      <w:marLeft w:val="0"/>
      <w:marRight w:val="0"/>
      <w:marTop w:val="0"/>
      <w:marBottom w:val="0"/>
      <w:divBdr>
        <w:top w:val="none" w:sz="0" w:space="0" w:color="auto"/>
        <w:left w:val="none" w:sz="0" w:space="0" w:color="auto"/>
        <w:bottom w:val="none" w:sz="0" w:space="0" w:color="auto"/>
        <w:right w:val="none" w:sz="0" w:space="0" w:color="auto"/>
      </w:divBdr>
    </w:div>
    <w:div w:id="1743330677">
      <w:bodyDiv w:val="1"/>
      <w:marLeft w:val="0"/>
      <w:marRight w:val="0"/>
      <w:marTop w:val="0"/>
      <w:marBottom w:val="0"/>
      <w:divBdr>
        <w:top w:val="none" w:sz="0" w:space="0" w:color="auto"/>
        <w:left w:val="none" w:sz="0" w:space="0" w:color="auto"/>
        <w:bottom w:val="none" w:sz="0" w:space="0" w:color="auto"/>
        <w:right w:val="none" w:sz="0" w:space="0" w:color="auto"/>
      </w:divBdr>
    </w:div>
    <w:div w:id="1905022473">
      <w:bodyDiv w:val="1"/>
      <w:marLeft w:val="0"/>
      <w:marRight w:val="0"/>
      <w:marTop w:val="0"/>
      <w:marBottom w:val="0"/>
      <w:divBdr>
        <w:top w:val="none" w:sz="0" w:space="0" w:color="auto"/>
        <w:left w:val="none" w:sz="0" w:space="0" w:color="auto"/>
        <w:bottom w:val="none" w:sz="0" w:space="0" w:color="auto"/>
        <w:right w:val="none" w:sz="0" w:space="0" w:color="auto"/>
      </w:divBdr>
    </w:div>
    <w:div w:id="1906261926">
      <w:bodyDiv w:val="1"/>
      <w:marLeft w:val="0"/>
      <w:marRight w:val="0"/>
      <w:marTop w:val="0"/>
      <w:marBottom w:val="0"/>
      <w:divBdr>
        <w:top w:val="none" w:sz="0" w:space="0" w:color="auto"/>
        <w:left w:val="none" w:sz="0" w:space="0" w:color="auto"/>
        <w:bottom w:val="none" w:sz="0" w:space="0" w:color="auto"/>
        <w:right w:val="none" w:sz="0" w:space="0" w:color="auto"/>
      </w:divBdr>
    </w:div>
    <w:div w:id="1938560160">
      <w:bodyDiv w:val="1"/>
      <w:marLeft w:val="0"/>
      <w:marRight w:val="0"/>
      <w:marTop w:val="0"/>
      <w:marBottom w:val="0"/>
      <w:divBdr>
        <w:top w:val="none" w:sz="0" w:space="0" w:color="auto"/>
        <w:left w:val="none" w:sz="0" w:space="0" w:color="auto"/>
        <w:bottom w:val="none" w:sz="0" w:space="0" w:color="auto"/>
        <w:right w:val="none" w:sz="0" w:space="0" w:color="auto"/>
      </w:divBdr>
    </w:div>
    <w:div w:id="21255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FA67-BCD2-9740-83E8-07815D2D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4274</Words>
  <Characters>23508</Characters>
  <Application>Microsoft Macintosh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Ignacia Garcia</dc:creator>
  <cp:lastModifiedBy>Gabriela</cp:lastModifiedBy>
  <cp:revision>13</cp:revision>
  <cp:lastPrinted>2020-03-17T19:00:00Z</cp:lastPrinted>
  <dcterms:created xsi:type="dcterms:W3CDTF">2020-06-01T20:34:00Z</dcterms:created>
  <dcterms:modified xsi:type="dcterms:W3CDTF">2020-06-01T23:11:00Z</dcterms:modified>
</cp:coreProperties>
</file>