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A094" w14:textId="77777777" w:rsidR="005845CC" w:rsidRPr="00EE2F47" w:rsidRDefault="00C636E3">
      <w:bookmarkStart w:id="0" w:name="_GoBack"/>
      <w:bookmarkEnd w:id="0"/>
      <w:r w:rsidRPr="004B3AB3">
        <w:rPr>
          <w:noProof/>
          <w:lang w:val="es-AR" w:eastAsia="es-AR"/>
        </w:rPr>
        <w:drawing>
          <wp:inline distT="0" distB="0" distL="0" distR="0" wp14:anchorId="60981F09" wp14:editId="46EB9461">
            <wp:extent cx="5971540" cy="9461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1540" cy="946150"/>
                    </a:xfrm>
                    <a:prstGeom prst="rect">
                      <a:avLst/>
                    </a:prstGeom>
                    <a:noFill/>
                    <a:ln>
                      <a:noFill/>
                    </a:ln>
                  </pic:spPr>
                </pic:pic>
              </a:graphicData>
            </a:graphic>
          </wp:inline>
        </w:drawing>
      </w:r>
    </w:p>
    <w:p w14:paraId="54A326B4" w14:textId="77777777" w:rsidR="00FE3577" w:rsidRPr="00EE2F47" w:rsidRDefault="00FE3577" w:rsidP="00FE3577">
      <w:pPr>
        <w:ind w:firstLine="708"/>
      </w:pPr>
    </w:p>
    <w:p w14:paraId="1210B889" w14:textId="77777777" w:rsidR="00FE3577" w:rsidRPr="004C2EFB" w:rsidRDefault="00FE3577" w:rsidP="00FE3577">
      <w:pPr>
        <w:jc w:val="center"/>
        <w:rPr>
          <w:b/>
          <w:bCs/>
          <w:sz w:val="36"/>
          <w:szCs w:val="36"/>
        </w:rPr>
      </w:pPr>
      <w:bookmarkStart w:id="1" w:name="_Hlk20751187"/>
      <w:r w:rsidRPr="004C2EFB">
        <w:rPr>
          <w:b/>
          <w:bCs/>
          <w:sz w:val="36"/>
          <w:szCs w:val="36"/>
        </w:rPr>
        <w:t>CONSORCIO</w:t>
      </w:r>
    </w:p>
    <w:p w14:paraId="26841DE3" w14:textId="77777777" w:rsidR="00FE3577" w:rsidRPr="004C2EFB" w:rsidRDefault="00FE3577" w:rsidP="00FE3577">
      <w:pPr>
        <w:jc w:val="center"/>
        <w:rPr>
          <w:b/>
          <w:bCs/>
          <w:sz w:val="36"/>
          <w:szCs w:val="36"/>
        </w:rPr>
      </w:pPr>
      <w:r w:rsidRPr="004C2EFB">
        <w:rPr>
          <w:b/>
          <w:bCs/>
          <w:sz w:val="36"/>
          <w:szCs w:val="36"/>
        </w:rPr>
        <w:t>SYNEX - ESTUDIOS ENERGÉTICOS - ELEQUIPOS</w:t>
      </w:r>
    </w:p>
    <w:p w14:paraId="357B5732" w14:textId="77777777" w:rsidR="00FE3577" w:rsidRPr="00EE2F47" w:rsidRDefault="00FE3577" w:rsidP="00FE3577">
      <w:pPr>
        <w:jc w:val="center"/>
      </w:pPr>
    </w:p>
    <w:p w14:paraId="57CCE8D0" w14:textId="77777777" w:rsidR="00FE3577" w:rsidRPr="00EE2F47" w:rsidRDefault="00FE3577" w:rsidP="00FE3577">
      <w:pPr>
        <w:jc w:val="center"/>
      </w:pPr>
    </w:p>
    <w:p w14:paraId="6B0C509F" w14:textId="77777777" w:rsidR="00FE3577" w:rsidRPr="00CF0B91" w:rsidRDefault="00FE3577" w:rsidP="00FE3577">
      <w:pPr>
        <w:jc w:val="center"/>
        <w:rPr>
          <w:b/>
          <w:bCs/>
          <w:sz w:val="44"/>
          <w:szCs w:val="44"/>
        </w:rPr>
      </w:pPr>
      <w:r w:rsidRPr="00CF0B91">
        <w:rPr>
          <w:b/>
          <w:bCs/>
          <w:sz w:val="44"/>
          <w:szCs w:val="44"/>
        </w:rPr>
        <w:t>ESTUDIO DE VALORIZACIÓN DE LAS INSTALACIONES DEL SISTEMA DE TRANSMISIÓN NACIONAL</w:t>
      </w:r>
      <w:bookmarkEnd w:id="1"/>
    </w:p>
    <w:p w14:paraId="527DD487" w14:textId="77777777" w:rsidR="00FE3577" w:rsidRPr="00EE2F47" w:rsidRDefault="00FE3577" w:rsidP="00FE3577">
      <w:pPr>
        <w:ind w:firstLine="708"/>
      </w:pPr>
    </w:p>
    <w:p w14:paraId="404F271E" w14:textId="77777777" w:rsidR="00FE3577" w:rsidRPr="00CF0B91" w:rsidRDefault="00FE3577" w:rsidP="00FE3577">
      <w:pPr>
        <w:jc w:val="center"/>
        <w:rPr>
          <w:b/>
          <w:bCs/>
          <w:sz w:val="36"/>
          <w:szCs w:val="36"/>
        </w:rPr>
      </w:pPr>
      <w:r w:rsidRPr="00CF0B91">
        <w:rPr>
          <w:b/>
          <w:bCs/>
          <w:sz w:val="36"/>
          <w:szCs w:val="36"/>
        </w:rPr>
        <w:t>COMISIÓN NACIONAL DE ENERGÍA</w:t>
      </w:r>
    </w:p>
    <w:p w14:paraId="379C8F34" w14:textId="77777777" w:rsidR="00FE3577" w:rsidRPr="00EE2F47" w:rsidRDefault="00C636E3" w:rsidP="00FE3577">
      <w:pPr>
        <w:jc w:val="center"/>
      </w:pPr>
      <w:r w:rsidRPr="004B3AB3">
        <w:rPr>
          <w:noProof/>
          <w:lang w:val="es-AR" w:eastAsia="es-AR"/>
        </w:rPr>
        <w:drawing>
          <wp:inline distT="0" distB="0" distL="0" distR="0" wp14:anchorId="56A82D98" wp14:editId="0CEA10B1">
            <wp:extent cx="1605915" cy="707390"/>
            <wp:effectExtent l="0" t="0" r="0" b="0"/>
            <wp:docPr id="2" name="Imagen 4" descr="Logo-CNE-final-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NE-final-C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5915" cy="707390"/>
                    </a:xfrm>
                    <a:prstGeom prst="rect">
                      <a:avLst/>
                    </a:prstGeom>
                    <a:noFill/>
                    <a:ln>
                      <a:noFill/>
                    </a:ln>
                  </pic:spPr>
                </pic:pic>
              </a:graphicData>
            </a:graphic>
          </wp:inline>
        </w:drawing>
      </w:r>
    </w:p>
    <w:p w14:paraId="0C2E878C" w14:textId="77777777" w:rsidR="00FE3577" w:rsidRPr="00EE2F47" w:rsidRDefault="00FE3577" w:rsidP="00FE3577"/>
    <w:p w14:paraId="7012CE8A" w14:textId="77777777" w:rsidR="00FE3577" w:rsidRPr="00EE2F47" w:rsidRDefault="00FE3577" w:rsidP="00FE3577"/>
    <w:p w14:paraId="1C8A6551" w14:textId="77777777" w:rsidR="009E2753" w:rsidRPr="00CF0B91" w:rsidRDefault="00FE3577" w:rsidP="00FE3577">
      <w:pPr>
        <w:jc w:val="center"/>
        <w:rPr>
          <w:b/>
          <w:bCs/>
          <w:sz w:val="40"/>
          <w:szCs w:val="40"/>
        </w:rPr>
      </w:pPr>
      <w:r w:rsidRPr="00CF0B91">
        <w:rPr>
          <w:b/>
          <w:bCs/>
          <w:sz w:val="40"/>
          <w:szCs w:val="40"/>
        </w:rPr>
        <w:t>INFORME DE AVANCE N°</w:t>
      </w:r>
      <w:r w:rsidR="005F38A2">
        <w:rPr>
          <w:b/>
          <w:bCs/>
          <w:sz w:val="40"/>
          <w:szCs w:val="40"/>
        </w:rPr>
        <w:t>2</w:t>
      </w:r>
    </w:p>
    <w:p w14:paraId="045D9E89" w14:textId="77777777" w:rsidR="00FE3577" w:rsidRPr="00EE2F47" w:rsidRDefault="00FE3577" w:rsidP="00FE3577"/>
    <w:p w14:paraId="16979389" w14:textId="77777777" w:rsidR="00FE3577" w:rsidRPr="00EE2F47" w:rsidRDefault="00FE3577" w:rsidP="00FE3577"/>
    <w:p w14:paraId="5003B739" w14:textId="77777777" w:rsidR="00FE3577" w:rsidRPr="00CF0B91" w:rsidRDefault="005F38A2" w:rsidP="00FE3577">
      <w:pPr>
        <w:jc w:val="center"/>
        <w:rPr>
          <w:b/>
          <w:bCs/>
          <w:sz w:val="28"/>
          <w:szCs w:val="28"/>
        </w:rPr>
      </w:pPr>
      <w:r>
        <w:rPr>
          <w:b/>
          <w:bCs/>
          <w:sz w:val="28"/>
          <w:szCs w:val="28"/>
        </w:rPr>
        <w:t>MARZO</w:t>
      </w:r>
      <w:r w:rsidR="00FE3577" w:rsidRPr="00CF0B91">
        <w:rPr>
          <w:b/>
          <w:bCs/>
          <w:sz w:val="28"/>
          <w:szCs w:val="28"/>
        </w:rPr>
        <w:t xml:space="preserve"> DE 20</w:t>
      </w:r>
      <w:r>
        <w:rPr>
          <w:b/>
          <w:bCs/>
          <w:sz w:val="28"/>
          <w:szCs w:val="28"/>
        </w:rPr>
        <w:t>20</w:t>
      </w:r>
    </w:p>
    <w:p w14:paraId="3998F859" w14:textId="77777777" w:rsidR="00FE3577" w:rsidRPr="002C2818" w:rsidRDefault="00FE3577" w:rsidP="0079135A">
      <w:pPr>
        <w:spacing w:after="160" w:line="259" w:lineRule="auto"/>
        <w:jc w:val="left"/>
        <w:rPr>
          <w:b/>
          <w:bCs/>
          <w:color w:val="4472C4"/>
          <w:sz w:val="48"/>
          <w:szCs w:val="48"/>
        </w:rPr>
      </w:pPr>
      <w:r w:rsidRPr="00EE2F47">
        <w:br w:type="page"/>
      </w:r>
      <w:r w:rsidRPr="002C2818">
        <w:rPr>
          <w:b/>
          <w:bCs/>
          <w:color w:val="4472C4"/>
          <w:sz w:val="48"/>
          <w:szCs w:val="48"/>
        </w:rPr>
        <w:t>ÍNDICE</w:t>
      </w:r>
    </w:p>
    <w:p w14:paraId="68E8EF09" w14:textId="68CC7C4F" w:rsidR="00EF72E6" w:rsidRDefault="00EA1674">
      <w:pPr>
        <w:pStyle w:val="TDC1"/>
        <w:rPr>
          <w:rFonts w:asciiTheme="minorHAnsi" w:eastAsiaTheme="minorEastAsia" w:hAnsiTheme="minorHAnsi" w:cstheme="minorBidi"/>
          <w:b w:val="0"/>
          <w:caps w:val="0"/>
          <w:noProof/>
          <w:spacing w:val="0"/>
          <w:szCs w:val="22"/>
          <w:lang w:val="es-CL" w:eastAsia="es-CL"/>
        </w:rPr>
      </w:pPr>
      <w:r>
        <w:rPr>
          <w:lang w:val="es-CL"/>
        </w:rPr>
        <w:fldChar w:fldCharType="begin"/>
      </w:r>
      <w:r>
        <w:rPr>
          <w:lang w:val="es-CL"/>
        </w:rPr>
        <w:instrText xml:space="preserve"> TOC \o "1-4" \h \z \u </w:instrText>
      </w:r>
      <w:r>
        <w:rPr>
          <w:lang w:val="es-CL"/>
        </w:rPr>
        <w:fldChar w:fldCharType="separate"/>
      </w:r>
      <w:hyperlink w:anchor="_Toc34687157" w:history="1">
        <w:r w:rsidR="00EF72E6" w:rsidRPr="00193896">
          <w:rPr>
            <w:rStyle w:val="Hipervnculo"/>
            <w:noProof/>
          </w:rPr>
          <w:t>1.</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Introducción</w:t>
        </w:r>
        <w:r w:rsidR="00EF72E6">
          <w:rPr>
            <w:noProof/>
            <w:webHidden/>
          </w:rPr>
          <w:tab/>
        </w:r>
        <w:r w:rsidR="00EF72E6">
          <w:rPr>
            <w:noProof/>
            <w:webHidden/>
          </w:rPr>
          <w:fldChar w:fldCharType="begin"/>
        </w:r>
        <w:r w:rsidR="00EF72E6">
          <w:rPr>
            <w:noProof/>
            <w:webHidden/>
          </w:rPr>
          <w:instrText xml:space="preserve"> PAGEREF _Toc34687157 \h </w:instrText>
        </w:r>
        <w:r w:rsidR="00EF72E6">
          <w:rPr>
            <w:noProof/>
            <w:webHidden/>
          </w:rPr>
        </w:r>
        <w:r w:rsidR="00EF72E6">
          <w:rPr>
            <w:noProof/>
            <w:webHidden/>
          </w:rPr>
          <w:fldChar w:fldCharType="separate"/>
        </w:r>
        <w:r w:rsidR="00F14BED">
          <w:rPr>
            <w:noProof/>
            <w:webHidden/>
          </w:rPr>
          <w:t>6</w:t>
        </w:r>
        <w:r w:rsidR="00EF72E6">
          <w:rPr>
            <w:noProof/>
            <w:webHidden/>
          </w:rPr>
          <w:fldChar w:fldCharType="end"/>
        </w:r>
      </w:hyperlink>
    </w:p>
    <w:p w14:paraId="4B271F6F" w14:textId="650D20DE"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158" w:history="1">
        <w:r w:rsidR="00EF72E6" w:rsidRPr="00193896">
          <w:rPr>
            <w:rStyle w:val="Hipervnculo"/>
            <w:noProof/>
          </w:rPr>
          <w:t>2.</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DEFINICIONES Y ABREVIATURAS</w:t>
        </w:r>
        <w:r w:rsidR="00EF72E6">
          <w:rPr>
            <w:noProof/>
            <w:webHidden/>
          </w:rPr>
          <w:tab/>
        </w:r>
        <w:r w:rsidR="00EF72E6">
          <w:rPr>
            <w:noProof/>
            <w:webHidden/>
          </w:rPr>
          <w:fldChar w:fldCharType="begin"/>
        </w:r>
        <w:r w:rsidR="00EF72E6">
          <w:rPr>
            <w:noProof/>
            <w:webHidden/>
          </w:rPr>
          <w:instrText xml:space="preserve"> PAGEREF _Toc34687158 \h </w:instrText>
        </w:r>
        <w:r w:rsidR="00EF72E6">
          <w:rPr>
            <w:noProof/>
            <w:webHidden/>
          </w:rPr>
        </w:r>
        <w:r w:rsidR="00EF72E6">
          <w:rPr>
            <w:noProof/>
            <w:webHidden/>
          </w:rPr>
          <w:fldChar w:fldCharType="separate"/>
        </w:r>
        <w:r w:rsidR="00F14BED">
          <w:rPr>
            <w:noProof/>
            <w:webHidden/>
          </w:rPr>
          <w:t>9</w:t>
        </w:r>
        <w:r w:rsidR="00EF72E6">
          <w:rPr>
            <w:noProof/>
            <w:webHidden/>
          </w:rPr>
          <w:fldChar w:fldCharType="end"/>
        </w:r>
      </w:hyperlink>
    </w:p>
    <w:p w14:paraId="36EDC622" w14:textId="3D1FBD9D" w:rsidR="00EF72E6" w:rsidRDefault="00F5226B">
      <w:pPr>
        <w:pStyle w:val="TDC2"/>
        <w:rPr>
          <w:rFonts w:asciiTheme="minorHAnsi" w:eastAsiaTheme="minorEastAsia" w:hAnsiTheme="minorHAnsi" w:cstheme="minorBidi"/>
          <w:b w:val="0"/>
          <w:smallCaps w:val="0"/>
          <w:noProof/>
          <w:szCs w:val="22"/>
          <w:lang w:val="es-CL" w:eastAsia="es-CL"/>
        </w:rPr>
      </w:pPr>
      <w:hyperlink w:anchor="_Toc34687159" w:history="1">
        <w:r w:rsidR="00EF72E6" w:rsidRPr="00193896">
          <w:rPr>
            <w:rStyle w:val="Hipervnculo"/>
            <w:noProof/>
          </w:rPr>
          <w:t>2.1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Definiciones</w:t>
        </w:r>
        <w:r w:rsidR="00EF72E6">
          <w:rPr>
            <w:noProof/>
            <w:webHidden/>
          </w:rPr>
          <w:tab/>
        </w:r>
        <w:r w:rsidR="00EF72E6">
          <w:rPr>
            <w:noProof/>
            <w:webHidden/>
          </w:rPr>
          <w:fldChar w:fldCharType="begin"/>
        </w:r>
        <w:r w:rsidR="00EF72E6">
          <w:rPr>
            <w:noProof/>
            <w:webHidden/>
          </w:rPr>
          <w:instrText xml:space="preserve"> PAGEREF _Toc34687159 \h </w:instrText>
        </w:r>
        <w:r w:rsidR="00EF72E6">
          <w:rPr>
            <w:noProof/>
            <w:webHidden/>
          </w:rPr>
        </w:r>
        <w:r w:rsidR="00EF72E6">
          <w:rPr>
            <w:noProof/>
            <w:webHidden/>
          </w:rPr>
          <w:fldChar w:fldCharType="separate"/>
        </w:r>
        <w:r w:rsidR="00F14BED">
          <w:rPr>
            <w:noProof/>
            <w:webHidden/>
          </w:rPr>
          <w:t>9</w:t>
        </w:r>
        <w:r w:rsidR="00EF72E6">
          <w:rPr>
            <w:noProof/>
            <w:webHidden/>
          </w:rPr>
          <w:fldChar w:fldCharType="end"/>
        </w:r>
      </w:hyperlink>
    </w:p>
    <w:p w14:paraId="5AD6D3E7" w14:textId="4DFF9DB3" w:rsidR="00EF72E6" w:rsidRDefault="00F5226B">
      <w:pPr>
        <w:pStyle w:val="TDC2"/>
        <w:rPr>
          <w:rFonts w:asciiTheme="minorHAnsi" w:eastAsiaTheme="minorEastAsia" w:hAnsiTheme="minorHAnsi" w:cstheme="minorBidi"/>
          <w:b w:val="0"/>
          <w:smallCaps w:val="0"/>
          <w:noProof/>
          <w:szCs w:val="22"/>
          <w:lang w:val="es-CL" w:eastAsia="es-CL"/>
        </w:rPr>
      </w:pPr>
      <w:hyperlink w:anchor="_Toc34687160" w:history="1">
        <w:r w:rsidR="00EF72E6" w:rsidRPr="00193896">
          <w:rPr>
            <w:rStyle w:val="Hipervnculo"/>
            <w:noProof/>
          </w:rPr>
          <w:t>2.2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Abreviaturas</w:t>
        </w:r>
        <w:r w:rsidR="00EF72E6">
          <w:rPr>
            <w:noProof/>
            <w:webHidden/>
          </w:rPr>
          <w:tab/>
        </w:r>
        <w:r w:rsidR="00EF72E6">
          <w:rPr>
            <w:noProof/>
            <w:webHidden/>
          </w:rPr>
          <w:fldChar w:fldCharType="begin"/>
        </w:r>
        <w:r w:rsidR="00EF72E6">
          <w:rPr>
            <w:noProof/>
            <w:webHidden/>
          </w:rPr>
          <w:instrText xml:space="preserve"> PAGEREF _Toc34687160 \h </w:instrText>
        </w:r>
        <w:r w:rsidR="00EF72E6">
          <w:rPr>
            <w:noProof/>
            <w:webHidden/>
          </w:rPr>
        </w:r>
        <w:r w:rsidR="00EF72E6">
          <w:rPr>
            <w:noProof/>
            <w:webHidden/>
          </w:rPr>
          <w:fldChar w:fldCharType="separate"/>
        </w:r>
        <w:r w:rsidR="00F14BED">
          <w:rPr>
            <w:noProof/>
            <w:webHidden/>
          </w:rPr>
          <w:t>10</w:t>
        </w:r>
        <w:r w:rsidR="00EF72E6">
          <w:rPr>
            <w:noProof/>
            <w:webHidden/>
          </w:rPr>
          <w:fldChar w:fldCharType="end"/>
        </w:r>
      </w:hyperlink>
    </w:p>
    <w:p w14:paraId="7E8C1EAE" w14:textId="75FF7D32"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161" w:history="1">
        <w:r w:rsidR="00EF72E6" w:rsidRPr="00193896">
          <w:rPr>
            <w:rStyle w:val="Hipervnculo"/>
            <w:noProof/>
          </w:rPr>
          <w:t>3.</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OBJETIVOS DEL ESTUDIO</w:t>
        </w:r>
        <w:r w:rsidR="00EF72E6">
          <w:rPr>
            <w:noProof/>
            <w:webHidden/>
          </w:rPr>
          <w:tab/>
        </w:r>
        <w:r w:rsidR="00EF72E6">
          <w:rPr>
            <w:noProof/>
            <w:webHidden/>
          </w:rPr>
          <w:fldChar w:fldCharType="begin"/>
        </w:r>
        <w:r w:rsidR="00EF72E6">
          <w:rPr>
            <w:noProof/>
            <w:webHidden/>
          </w:rPr>
          <w:instrText xml:space="preserve"> PAGEREF _Toc34687161 \h </w:instrText>
        </w:r>
        <w:r w:rsidR="00EF72E6">
          <w:rPr>
            <w:noProof/>
            <w:webHidden/>
          </w:rPr>
        </w:r>
        <w:r w:rsidR="00EF72E6">
          <w:rPr>
            <w:noProof/>
            <w:webHidden/>
          </w:rPr>
          <w:fldChar w:fldCharType="separate"/>
        </w:r>
        <w:r w:rsidR="00F14BED">
          <w:rPr>
            <w:noProof/>
            <w:webHidden/>
          </w:rPr>
          <w:t>11</w:t>
        </w:r>
        <w:r w:rsidR="00EF72E6">
          <w:rPr>
            <w:noProof/>
            <w:webHidden/>
          </w:rPr>
          <w:fldChar w:fldCharType="end"/>
        </w:r>
      </w:hyperlink>
    </w:p>
    <w:p w14:paraId="6081EA47" w14:textId="000C81F9" w:rsidR="00EF72E6" w:rsidRDefault="00F5226B">
      <w:pPr>
        <w:pStyle w:val="TDC2"/>
        <w:rPr>
          <w:rFonts w:asciiTheme="minorHAnsi" w:eastAsiaTheme="minorEastAsia" w:hAnsiTheme="minorHAnsi" w:cstheme="minorBidi"/>
          <w:b w:val="0"/>
          <w:smallCaps w:val="0"/>
          <w:noProof/>
          <w:szCs w:val="22"/>
          <w:lang w:val="es-CL" w:eastAsia="es-CL"/>
        </w:rPr>
      </w:pPr>
      <w:hyperlink w:anchor="_Toc34687162" w:history="1">
        <w:r w:rsidR="00EF72E6" w:rsidRPr="00193896">
          <w:rPr>
            <w:rStyle w:val="Hipervnculo"/>
            <w:noProof/>
          </w:rPr>
          <w:t>3.1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Objetivo General</w:t>
        </w:r>
        <w:r w:rsidR="00EF72E6">
          <w:rPr>
            <w:noProof/>
            <w:webHidden/>
          </w:rPr>
          <w:tab/>
        </w:r>
        <w:r w:rsidR="00EF72E6">
          <w:rPr>
            <w:noProof/>
            <w:webHidden/>
          </w:rPr>
          <w:fldChar w:fldCharType="begin"/>
        </w:r>
        <w:r w:rsidR="00EF72E6">
          <w:rPr>
            <w:noProof/>
            <w:webHidden/>
          </w:rPr>
          <w:instrText xml:space="preserve"> PAGEREF _Toc34687162 \h </w:instrText>
        </w:r>
        <w:r w:rsidR="00EF72E6">
          <w:rPr>
            <w:noProof/>
            <w:webHidden/>
          </w:rPr>
        </w:r>
        <w:r w:rsidR="00EF72E6">
          <w:rPr>
            <w:noProof/>
            <w:webHidden/>
          </w:rPr>
          <w:fldChar w:fldCharType="separate"/>
        </w:r>
        <w:r w:rsidR="00F14BED">
          <w:rPr>
            <w:noProof/>
            <w:webHidden/>
          </w:rPr>
          <w:t>11</w:t>
        </w:r>
        <w:r w:rsidR="00EF72E6">
          <w:rPr>
            <w:noProof/>
            <w:webHidden/>
          </w:rPr>
          <w:fldChar w:fldCharType="end"/>
        </w:r>
      </w:hyperlink>
    </w:p>
    <w:p w14:paraId="73058360" w14:textId="6E6B9085" w:rsidR="00EF72E6" w:rsidRDefault="00F5226B">
      <w:pPr>
        <w:pStyle w:val="TDC2"/>
        <w:rPr>
          <w:rFonts w:asciiTheme="minorHAnsi" w:eastAsiaTheme="minorEastAsia" w:hAnsiTheme="minorHAnsi" w:cstheme="minorBidi"/>
          <w:b w:val="0"/>
          <w:smallCaps w:val="0"/>
          <w:noProof/>
          <w:szCs w:val="22"/>
          <w:lang w:val="es-CL" w:eastAsia="es-CL"/>
        </w:rPr>
      </w:pPr>
      <w:hyperlink w:anchor="_Toc34687163" w:history="1">
        <w:r w:rsidR="00EF72E6" w:rsidRPr="00193896">
          <w:rPr>
            <w:rStyle w:val="Hipervnculo"/>
            <w:noProof/>
          </w:rPr>
          <w:t>3.2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Objetivos Específicos</w:t>
        </w:r>
        <w:r w:rsidR="00EF72E6">
          <w:rPr>
            <w:noProof/>
            <w:webHidden/>
          </w:rPr>
          <w:tab/>
        </w:r>
        <w:r w:rsidR="00EF72E6">
          <w:rPr>
            <w:noProof/>
            <w:webHidden/>
          </w:rPr>
          <w:fldChar w:fldCharType="begin"/>
        </w:r>
        <w:r w:rsidR="00EF72E6">
          <w:rPr>
            <w:noProof/>
            <w:webHidden/>
          </w:rPr>
          <w:instrText xml:space="preserve"> PAGEREF _Toc34687163 \h </w:instrText>
        </w:r>
        <w:r w:rsidR="00EF72E6">
          <w:rPr>
            <w:noProof/>
            <w:webHidden/>
          </w:rPr>
        </w:r>
        <w:r w:rsidR="00EF72E6">
          <w:rPr>
            <w:noProof/>
            <w:webHidden/>
          </w:rPr>
          <w:fldChar w:fldCharType="separate"/>
        </w:r>
        <w:r w:rsidR="00F14BED">
          <w:rPr>
            <w:noProof/>
            <w:webHidden/>
          </w:rPr>
          <w:t>11</w:t>
        </w:r>
        <w:r w:rsidR="00EF72E6">
          <w:rPr>
            <w:noProof/>
            <w:webHidden/>
          </w:rPr>
          <w:fldChar w:fldCharType="end"/>
        </w:r>
      </w:hyperlink>
    </w:p>
    <w:p w14:paraId="358DF50F" w14:textId="61D0ECDC"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164" w:history="1">
        <w:r w:rsidR="00EF72E6" w:rsidRPr="00193896">
          <w:rPr>
            <w:rStyle w:val="Hipervnculo"/>
            <w:noProof/>
          </w:rPr>
          <w:t>4.</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MARCO NORMATIVO</w:t>
        </w:r>
        <w:r w:rsidR="00EF72E6">
          <w:rPr>
            <w:noProof/>
            <w:webHidden/>
          </w:rPr>
          <w:tab/>
        </w:r>
        <w:r w:rsidR="00EF72E6">
          <w:rPr>
            <w:noProof/>
            <w:webHidden/>
          </w:rPr>
          <w:fldChar w:fldCharType="begin"/>
        </w:r>
        <w:r w:rsidR="00EF72E6">
          <w:rPr>
            <w:noProof/>
            <w:webHidden/>
          </w:rPr>
          <w:instrText xml:space="preserve"> PAGEREF _Toc34687164 \h </w:instrText>
        </w:r>
        <w:r w:rsidR="00EF72E6">
          <w:rPr>
            <w:noProof/>
            <w:webHidden/>
          </w:rPr>
        </w:r>
        <w:r w:rsidR="00EF72E6">
          <w:rPr>
            <w:noProof/>
            <w:webHidden/>
          </w:rPr>
          <w:fldChar w:fldCharType="separate"/>
        </w:r>
        <w:r w:rsidR="00F14BED">
          <w:rPr>
            <w:noProof/>
            <w:webHidden/>
          </w:rPr>
          <w:t>12</w:t>
        </w:r>
        <w:r w:rsidR="00EF72E6">
          <w:rPr>
            <w:noProof/>
            <w:webHidden/>
          </w:rPr>
          <w:fldChar w:fldCharType="end"/>
        </w:r>
      </w:hyperlink>
    </w:p>
    <w:p w14:paraId="21FF0B9B" w14:textId="6961C942"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165" w:history="1">
        <w:r w:rsidR="00EF72E6" w:rsidRPr="00193896">
          <w:rPr>
            <w:rStyle w:val="Hipervnculo"/>
            <w:noProof/>
          </w:rPr>
          <w:t>5.</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DESCRIPCIÓN DEL V.A.T.T. Y REFERENCIAS GENERALES A LAS BASES</w:t>
        </w:r>
        <w:r w:rsidR="00EF72E6">
          <w:rPr>
            <w:noProof/>
            <w:webHidden/>
          </w:rPr>
          <w:tab/>
        </w:r>
        <w:r w:rsidR="00EF72E6">
          <w:rPr>
            <w:noProof/>
            <w:webHidden/>
          </w:rPr>
          <w:fldChar w:fldCharType="begin"/>
        </w:r>
        <w:r w:rsidR="00EF72E6">
          <w:rPr>
            <w:noProof/>
            <w:webHidden/>
          </w:rPr>
          <w:instrText xml:space="preserve"> PAGEREF _Toc34687165 \h </w:instrText>
        </w:r>
        <w:r w:rsidR="00EF72E6">
          <w:rPr>
            <w:noProof/>
            <w:webHidden/>
          </w:rPr>
        </w:r>
        <w:r w:rsidR="00EF72E6">
          <w:rPr>
            <w:noProof/>
            <w:webHidden/>
          </w:rPr>
          <w:fldChar w:fldCharType="separate"/>
        </w:r>
        <w:r w:rsidR="00F14BED">
          <w:rPr>
            <w:noProof/>
            <w:webHidden/>
          </w:rPr>
          <w:t>13</w:t>
        </w:r>
        <w:r w:rsidR="00EF72E6">
          <w:rPr>
            <w:noProof/>
            <w:webHidden/>
          </w:rPr>
          <w:fldChar w:fldCharType="end"/>
        </w:r>
      </w:hyperlink>
    </w:p>
    <w:p w14:paraId="506CF3E7" w14:textId="39B3F192" w:rsidR="00EF72E6" w:rsidRDefault="00F5226B">
      <w:pPr>
        <w:pStyle w:val="TDC2"/>
        <w:rPr>
          <w:rFonts w:asciiTheme="minorHAnsi" w:eastAsiaTheme="minorEastAsia" w:hAnsiTheme="minorHAnsi" w:cstheme="minorBidi"/>
          <w:b w:val="0"/>
          <w:smallCaps w:val="0"/>
          <w:noProof/>
          <w:szCs w:val="22"/>
          <w:lang w:val="es-CL" w:eastAsia="es-CL"/>
        </w:rPr>
      </w:pPr>
      <w:hyperlink w:anchor="_Toc34687166" w:history="1">
        <w:r w:rsidR="00EF72E6" w:rsidRPr="00193896">
          <w:rPr>
            <w:rStyle w:val="Hipervnculo"/>
            <w:rFonts w:cs="Calibri"/>
            <w:noProof/>
            <w:lang w:val="es-CL"/>
          </w:rPr>
          <w:t>5.1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rFonts w:cs="Calibri"/>
            <w:noProof/>
            <w:lang w:val="es-CL"/>
          </w:rPr>
          <w:t>Determinación del V.A.T.T.</w:t>
        </w:r>
        <w:r w:rsidR="00EF72E6">
          <w:rPr>
            <w:noProof/>
            <w:webHidden/>
          </w:rPr>
          <w:tab/>
        </w:r>
        <w:r w:rsidR="00EF72E6">
          <w:rPr>
            <w:noProof/>
            <w:webHidden/>
          </w:rPr>
          <w:fldChar w:fldCharType="begin"/>
        </w:r>
        <w:r w:rsidR="00EF72E6">
          <w:rPr>
            <w:noProof/>
            <w:webHidden/>
          </w:rPr>
          <w:instrText xml:space="preserve"> PAGEREF _Toc34687166 \h </w:instrText>
        </w:r>
        <w:r w:rsidR="00EF72E6">
          <w:rPr>
            <w:noProof/>
            <w:webHidden/>
          </w:rPr>
        </w:r>
        <w:r w:rsidR="00EF72E6">
          <w:rPr>
            <w:noProof/>
            <w:webHidden/>
          </w:rPr>
          <w:fldChar w:fldCharType="separate"/>
        </w:r>
        <w:r w:rsidR="00F14BED">
          <w:rPr>
            <w:noProof/>
            <w:webHidden/>
          </w:rPr>
          <w:t>13</w:t>
        </w:r>
        <w:r w:rsidR="00EF72E6">
          <w:rPr>
            <w:noProof/>
            <w:webHidden/>
          </w:rPr>
          <w:fldChar w:fldCharType="end"/>
        </w:r>
      </w:hyperlink>
    </w:p>
    <w:p w14:paraId="7ED5C067" w14:textId="149A748B" w:rsidR="00EF72E6" w:rsidRDefault="00F5226B">
      <w:pPr>
        <w:pStyle w:val="TDC2"/>
        <w:rPr>
          <w:rFonts w:asciiTheme="minorHAnsi" w:eastAsiaTheme="minorEastAsia" w:hAnsiTheme="minorHAnsi" w:cstheme="minorBidi"/>
          <w:b w:val="0"/>
          <w:smallCaps w:val="0"/>
          <w:noProof/>
          <w:szCs w:val="22"/>
          <w:lang w:val="es-CL" w:eastAsia="es-CL"/>
        </w:rPr>
      </w:pPr>
      <w:hyperlink w:anchor="_Toc34687167" w:history="1">
        <w:r w:rsidR="00EF72E6" w:rsidRPr="00193896">
          <w:rPr>
            <w:rStyle w:val="Hipervnculo"/>
            <w:rFonts w:cs="Calibri"/>
            <w:noProof/>
            <w:lang w:val="es-CL"/>
          </w:rPr>
          <w:t>5.2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rFonts w:cs="Calibri"/>
            <w:noProof/>
            <w:lang w:val="es-CL"/>
          </w:rPr>
          <w:t>Moneda, Nivel de Precios y Año Base</w:t>
        </w:r>
        <w:r w:rsidR="00EF72E6">
          <w:rPr>
            <w:noProof/>
            <w:webHidden/>
          </w:rPr>
          <w:tab/>
        </w:r>
        <w:r w:rsidR="00EF72E6">
          <w:rPr>
            <w:noProof/>
            <w:webHidden/>
          </w:rPr>
          <w:fldChar w:fldCharType="begin"/>
        </w:r>
        <w:r w:rsidR="00EF72E6">
          <w:rPr>
            <w:noProof/>
            <w:webHidden/>
          </w:rPr>
          <w:instrText xml:space="preserve"> PAGEREF _Toc34687167 \h </w:instrText>
        </w:r>
        <w:r w:rsidR="00EF72E6">
          <w:rPr>
            <w:noProof/>
            <w:webHidden/>
          </w:rPr>
        </w:r>
        <w:r w:rsidR="00EF72E6">
          <w:rPr>
            <w:noProof/>
            <w:webHidden/>
          </w:rPr>
          <w:fldChar w:fldCharType="separate"/>
        </w:r>
        <w:r w:rsidR="00F14BED">
          <w:rPr>
            <w:noProof/>
            <w:webHidden/>
          </w:rPr>
          <w:t>15</w:t>
        </w:r>
        <w:r w:rsidR="00EF72E6">
          <w:rPr>
            <w:noProof/>
            <w:webHidden/>
          </w:rPr>
          <w:fldChar w:fldCharType="end"/>
        </w:r>
      </w:hyperlink>
    </w:p>
    <w:p w14:paraId="6943274D" w14:textId="31E01ACB"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168" w:history="1">
        <w:r w:rsidR="00EF72E6" w:rsidRPr="00193896">
          <w:rPr>
            <w:rStyle w:val="Hipervnculo"/>
            <w:noProof/>
          </w:rPr>
          <w:t>6.</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METODOLOGÍA APLICADA</w:t>
        </w:r>
        <w:r w:rsidR="00EF72E6">
          <w:rPr>
            <w:noProof/>
            <w:webHidden/>
          </w:rPr>
          <w:tab/>
        </w:r>
        <w:r w:rsidR="00EF72E6">
          <w:rPr>
            <w:noProof/>
            <w:webHidden/>
          </w:rPr>
          <w:fldChar w:fldCharType="begin"/>
        </w:r>
        <w:r w:rsidR="00EF72E6">
          <w:rPr>
            <w:noProof/>
            <w:webHidden/>
          </w:rPr>
          <w:instrText xml:space="preserve"> PAGEREF _Toc34687168 \h </w:instrText>
        </w:r>
        <w:r w:rsidR="00EF72E6">
          <w:rPr>
            <w:noProof/>
            <w:webHidden/>
          </w:rPr>
        </w:r>
        <w:r w:rsidR="00EF72E6">
          <w:rPr>
            <w:noProof/>
            <w:webHidden/>
          </w:rPr>
          <w:fldChar w:fldCharType="separate"/>
        </w:r>
        <w:r w:rsidR="00F14BED">
          <w:rPr>
            <w:noProof/>
            <w:webHidden/>
          </w:rPr>
          <w:t>16</w:t>
        </w:r>
        <w:r w:rsidR="00EF72E6">
          <w:rPr>
            <w:noProof/>
            <w:webHidden/>
          </w:rPr>
          <w:fldChar w:fldCharType="end"/>
        </w:r>
      </w:hyperlink>
    </w:p>
    <w:p w14:paraId="5047A6CA" w14:textId="66AA7966" w:rsidR="00EF72E6" w:rsidRDefault="00F5226B">
      <w:pPr>
        <w:pStyle w:val="TDC2"/>
        <w:rPr>
          <w:rFonts w:asciiTheme="minorHAnsi" w:eastAsiaTheme="minorEastAsia" w:hAnsiTheme="minorHAnsi" w:cstheme="minorBidi"/>
          <w:b w:val="0"/>
          <w:smallCaps w:val="0"/>
          <w:noProof/>
          <w:szCs w:val="22"/>
          <w:lang w:val="es-CL" w:eastAsia="es-CL"/>
        </w:rPr>
      </w:pPr>
      <w:hyperlink w:anchor="_Toc34687169" w:history="1">
        <w:r w:rsidR="00EF72E6" w:rsidRPr="00193896">
          <w:rPr>
            <w:rStyle w:val="Hipervnculo"/>
            <w:noProof/>
          </w:rPr>
          <w:t>6.1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Metodología aplicada a la determinación del V.I.</w:t>
        </w:r>
        <w:r w:rsidR="00EF72E6">
          <w:rPr>
            <w:noProof/>
            <w:webHidden/>
          </w:rPr>
          <w:tab/>
        </w:r>
        <w:r w:rsidR="00EF72E6">
          <w:rPr>
            <w:noProof/>
            <w:webHidden/>
          </w:rPr>
          <w:fldChar w:fldCharType="begin"/>
        </w:r>
        <w:r w:rsidR="00EF72E6">
          <w:rPr>
            <w:noProof/>
            <w:webHidden/>
          </w:rPr>
          <w:instrText xml:space="preserve"> PAGEREF _Toc34687169 \h </w:instrText>
        </w:r>
        <w:r w:rsidR="00EF72E6">
          <w:rPr>
            <w:noProof/>
            <w:webHidden/>
          </w:rPr>
        </w:r>
        <w:r w:rsidR="00EF72E6">
          <w:rPr>
            <w:noProof/>
            <w:webHidden/>
          </w:rPr>
          <w:fldChar w:fldCharType="separate"/>
        </w:r>
        <w:r w:rsidR="00F14BED">
          <w:rPr>
            <w:noProof/>
            <w:webHidden/>
          </w:rPr>
          <w:t>16</w:t>
        </w:r>
        <w:r w:rsidR="00EF72E6">
          <w:rPr>
            <w:noProof/>
            <w:webHidden/>
          </w:rPr>
          <w:fldChar w:fldCharType="end"/>
        </w:r>
      </w:hyperlink>
    </w:p>
    <w:p w14:paraId="67D669D9" w14:textId="606AB4CF"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70" w:history="1">
        <w:r w:rsidR="00EF72E6" w:rsidRPr="00193896">
          <w:rPr>
            <w:rStyle w:val="Hipervnculo"/>
          </w:rPr>
          <w:t>6.1.1</w:t>
        </w:r>
        <w:r w:rsidR="00EF72E6">
          <w:rPr>
            <w:rFonts w:asciiTheme="minorHAnsi" w:eastAsiaTheme="minorEastAsia" w:hAnsiTheme="minorHAnsi" w:cstheme="minorBidi"/>
            <w:sz w:val="22"/>
            <w:szCs w:val="22"/>
            <w:lang w:val="es-CL" w:eastAsia="es-CL"/>
          </w:rPr>
          <w:tab/>
        </w:r>
        <w:r w:rsidR="00EF72E6" w:rsidRPr="00193896">
          <w:rPr>
            <w:rStyle w:val="Hipervnculo"/>
          </w:rPr>
          <w:t>Análisis de información recibida</w:t>
        </w:r>
        <w:r w:rsidR="00EF72E6">
          <w:rPr>
            <w:webHidden/>
          </w:rPr>
          <w:tab/>
        </w:r>
        <w:r w:rsidR="00EF72E6">
          <w:rPr>
            <w:webHidden/>
          </w:rPr>
          <w:fldChar w:fldCharType="begin"/>
        </w:r>
        <w:r w:rsidR="00EF72E6">
          <w:rPr>
            <w:webHidden/>
          </w:rPr>
          <w:instrText xml:space="preserve"> PAGEREF _Toc34687170 \h </w:instrText>
        </w:r>
        <w:r w:rsidR="00EF72E6">
          <w:rPr>
            <w:webHidden/>
          </w:rPr>
        </w:r>
        <w:r w:rsidR="00EF72E6">
          <w:rPr>
            <w:webHidden/>
          </w:rPr>
          <w:fldChar w:fldCharType="separate"/>
        </w:r>
        <w:r w:rsidR="00F14BED">
          <w:rPr>
            <w:webHidden/>
          </w:rPr>
          <w:t>17</w:t>
        </w:r>
        <w:r w:rsidR="00EF72E6">
          <w:rPr>
            <w:webHidden/>
          </w:rPr>
          <w:fldChar w:fldCharType="end"/>
        </w:r>
      </w:hyperlink>
    </w:p>
    <w:p w14:paraId="27A79B33" w14:textId="46758944" w:rsidR="00EF72E6" w:rsidRDefault="00F5226B">
      <w:pPr>
        <w:pStyle w:val="TDC4"/>
        <w:rPr>
          <w:rFonts w:asciiTheme="minorHAnsi" w:eastAsiaTheme="minorEastAsia" w:hAnsiTheme="minorHAnsi" w:cstheme="minorBidi"/>
          <w:spacing w:val="0"/>
          <w:sz w:val="22"/>
          <w:szCs w:val="22"/>
          <w:lang w:val="es-CL" w:eastAsia="es-CL"/>
        </w:rPr>
      </w:pPr>
      <w:hyperlink w:anchor="_Toc34687171" w:history="1">
        <w:r w:rsidR="00EF72E6" w:rsidRPr="00193896">
          <w:rPr>
            <w:rStyle w:val="Hipervnculo"/>
          </w:rPr>
          <w:t>6.1.1.1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Base de Datos de instalaciones</w:t>
        </w:r>
        <w:r w:rsidR="00EF72E6">
          <w:rPr>
            <w:webHidden/>
          </w:rPr>
          <w:tab/>
        </w:r>
        <w:r w:rsidR="00EF72E6">
          <w:rPr>
            <w:webHidden/>
          </w:rPr>
          <w:fldChar w:fldCharType="begin"/>
        </w:r>
        <w:r w:rsidR="00EF72E6">
          <w:rPr>
            <w:webHidden/>
          </w:rPr>
          <w:instrText xml:space="preserve"> PAGEREF _Toc34687171 \h </w:instrText>
        </w:r>
        <w:r w:rsidR="00EF72E6">
          <w:rPr>
            <w:webHidden/>
          </w:rPr>
        </w:r>
        <w:r w:rsidR="00EF72E6">
          <w:rPr>
            <w:webHidden/>
          </w:rPr>
          <w:fldChar w:fldCharType="separate"/>
        </w:r>
        <w:r w:rsidR="00F14BED">
          <w:rPr>
            <w:webHidden/>
          </w:rPr>
          <w:t>17</w:t>
        </w:r>
        <w:r w:rsidR="00EF72E6">
          <w:rPr>
            <w:webHidden/>
          </w:rPr>
          <w:fldChar w:fldCharType="end"/>
        </w:r>
      </w:hyperlink>
    </w:p>
    <w:p w14:paraId="63F9C68C" w14:textId="2EA04B34" w:rsidR="00EF72E6" w:rsidRDefault="00F5226B">
      <w:pPr>
        <w:pStyle w:val="TDC4"/>
        <w:rPr>
          <w:rFonts w:asciiTheme="minorHAnsi" w:eastAsiaTheme="minorEastAsia" w:hAnsiTheme="minorHAnsi" w:cstheme="minorBidi"/>
          <w:spacing w:val="0"/>
          <w:sz w:val="22"/>
          <w:szCs w:val="22"/>
          <w:lang w:val="es-CL" w:eastAsia="es-CL"/>
        </w:rPr>
      </w:pPr>
      <w:hyperlink w:anchor="_Toc34687172" w:history="1">
        <w:r w:rsidR="00EF72E6" w:rsidRPr="00193896">
          <w:rPr>
            <w:rStyle w:val="Hipervnculo"/>
          </w:rPr>
          <w:t>6.1.1.2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Análisis general de la Base de Datos</w:t>
        </w:r>
        <w:r w:rsidR="00EF72E6">
          <w:rPr>
            <w:webHidden/>
          </w:rPr>
          <w:tab/>
        </w:r>
        <w:r w:rsidR="00EF72E6">
          <w:rPr>
            <w:webHidden/>
          </w:rPr>
          <w:fldChar w:fldCharType="begin"/>
        </w:r>
        <w:r w:rsidR="00EF72E6">
          <w:rPr>
            <w:webHidden/>
          </w:rPr>
          <w:instrText xml:space="preserve"> PAGEREF _Toc34687172 \h </w:instrText>
        </w:r>
        <w:r w:rsidR="00EF72E6">
          <w:rPr>
            <w:webHidden/>
          </w:rPr>
        </w:r>
        <w:r w:rsidR="00EF72E6">
          <w:rPr>
            <w:webHidden/>
          </w:rPr>
          <w:fldChar w:fldCharType="separate"/>
        </w:r>
        <w:r w:rsidR="00F14BED">
          <w:rPr>
            <w:webHidden/>
          </w:rPr>
          <w:t>17</w:t>
        </w:r>
        <w:r w:rsidR="00EF72E6">
          <w:rPr>
            <w:webHidden/>
          </w:rPr>
          <w:fldChar w:fldCharType="end"/>
        </w:r>
      </w:hyperlink>
    </w:p>
    <w:p w14:paraId="0042CC98" w14:textId="66B3B736" w:rsidR="00EF72E6" w:rsidRDefault="00F5226B">
      <w:pPr>
        <w:pStyle w:val="TDC4"/>
        <w:rPr>
          <w:rFonts w:asciiTheme="minorHAnsi" w:eastAsiaTheme="minorEastAsia" w:hAnsiTheme="minorHAnsi" w:cstheme="minorBidi"/>
          <w:spacing w:val="0"/>
          <w:sz w:val="22"/>
          <w:szCs w:val="22"/>
          <w:lang w:val="es-CL" w:eastAsia="es-CL"/>
        </w:rPr>
      </w:pPr>
      <w:hyperlink w:anchor="_Toc34687173" w:history="1">
        <w:r w:rsidR="00EF72E6" w:rsidRPr="00193896">
          <w:rPr>
            <w:rStyle w:val="Hipervnculo"/>
          </w:rPr>
          <w:t>6.1.1.3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Adecuación de información de la Base de Datos</w:t>
        </w:r>
        <w:r w:rsidR="00EF72E6">
          <w:rPr>
            <w:webHidden/>
          </w:rPr>
          <w:tab/>
        </w:r>
        <w:r w:rsidR="00EF72E6">
          <w:rPr>
            <w:webHidden/>
          </w:rPr>
          <w:fldChar w:fldCharType="begin"/>
        </w:r>
        <w:r w:rsidR="00EF72E6">
          <w:rPr>
            <w:webHidden/>
          </w:rPr>
          <w:instrText xml:space="preserve"> PAGEREF _Toc34687173 \h </w:instrText>
        </w:r>
        <w:r w:rsidR="00EF72E6">
          <w:rPr>
            <w:webHidden/>
          </w:rPr>
        </w:r>
        <w:r w:rsidR="00EF72E6">
          <w:rPr>
            <w:webHidden/>
          </w:rPr>
          <w:fldChar w:fldCharType="separate"/>
        </w:r>
        <w:r w:rsidR="00F14BED">
          <w:rPr>
            <w:webHidden/>
          </w:rPr>
          <w:t>20</w:t>
        </w:r>
        <w:r w:rsidR="00EF72E6">
          <w:rPr>
            <w:webHidden/>
          </w:rPr>
          <w:fldChar w:fldCharType="end"/>
        </w:r>
      </w:hyperlink>
    </w:p>
    <w:p w14:paraId="1DAF8DA1" w14:textId="6BD76695" w:rsidR="00EF72E6" w:rsidRDefault="00F5226B">
      <w:pPr>
        <w:pStyle w:val="TDC4"/>
        <w:rPr>
          <w:rFonts w:asciiTheme="minorHAnsi" w:eastAsiaTheme="minorEastAsia" w:hAnsiTheme="minorHAnsi" w:cstheme="minorBidi"/>
          <w:spacing w:val="0"/>
          <w:sz w:val="22"/>
          <w:szCs w:val="22"/>
          <w:lang w:val="es-CL" w:eastAsia="es-CL"/>
        </w:rPr>
      </w:pPr>
      <w:hyperlink w:anchor="_Toc34687174" w:history="1">
        <w:r w:rsidR="00EF72E6" w:rsidRPr="00193896">
          <w:rPr>
            <w:rStyle w:val="Hipervnculo"/>
          </w:rPr>
          <w:t>6.1.1.4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Revisión de inventario</w:t>
        </w:r>
        <w:r w:rsidR="00EF72E6">
          <w:rPr>
            <w:webHidden/>
          </w:rPr>
          <w:tab/>
        </w:r>
        <w:r w:rsidR="00EF72E6">
          <w:rPr>
            <w:webHidden/>
          </w:rPr>
          <w:fldChar w:fldCharType="begin"/>
        </w:r>
        <w:r w:rsidR="00EF72E6">
          <w:rPr>
            <w:webHidden/>
          </w:rPr>
          <w:instrText xml:space="preserve"> PAGEREF _Toc34687174 \h </w:instrText>
        </w:r>
        <w:r w:rsidR="00EF72E6">
          <w:rPr>
            <w:webHidden/>
          </w:rPr>
        </w:r>
        <w:r w:rsidR="00EF72E6">
          <w:rPr>
            <w:webHidden/>
          </w:rPr>
          <w:fldChar w:fldCharType="separate"/>
        </w:r>
        <w:r w:rsidR="00F14BED">
          <w:rPr>
            <w:webHidden/>
          </w:rPr>
          <w:t>21</w:t>
        </w:r>
        <w:r w:rsidR="00EF72E6">
          <w:rPr>
            <w:webHidden/>
          </w:rPr>
          <w:fldChar w:fldCharType="end"/>
        </w:r>
      </w:hyperlink>
    </w:p>
    <w:p w14:paraId="72D92BFC" w14:textId="7EB50C93"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75" w:history="1">
        <w:r w:rsidR="00EF72E6" w:rsidRPr="00193896">
          <w:rPr>
            <w:rStyle w:val="Hipervnculo"/>
          </w:rPr>
          <w:t>6.1.2</w:t>
        </w:r>
        <w:r w:rsidR="00EF72E6">
          <w:rPr>
            <w:rFonts w:asciiTheme="minorHAnsi" w:eastAsiaTheme="minorEastAsia" w:hAnsiTheme="minorHAnsi" w:cstheme="minorBidi"/>
            <w:sz w:val="22"/>
            <w:szCs w:val="22"/>
            <w:lang w:val="es-CL" w:eastAsia="es-CL"/>
          </w:rPr>
          <w:tab/>
        </w:r>
        <w:r w:rsidR="00EF72E6" w:rsidRPr="00193896">
          <w:rPr>
            <w:rStyle w:val="Hipervnculo"/>
          </w:rPr>
          <w:t>Caracterización de los tramos del STN</w:t>
        </w:r>
        <w:r w:rsidR="00EF72E6">
          <w:rPr>
            <w:webHidden/>
          </w:rPr>
          <w:tab/>
        </w:r>
        <w:r w:rsidR="00EF72E6">
          <w:rPr>
            <w:webHidden/>
          </w:rPr>
          <w:fldChar w:fldCharType="begin"/>
        </w:r>
        <w:r w:rsidR="00EF72E6">
          <w:rPr>
            <w:webHidden/>
          </w:rPr>
          <w:instrText xml:space="preserve"> PAGEREF _Toc34687175 \h </w:instrText>
        </w:r>
        <w:r w:rsidR="00EF72E6">
          <w:rPr>
            <w:webHidden/>
          </w:rPr>
        </w:r>
        <w:r w:rsidR="00EF72E6">
          <w:rPr>
            <w:webHidden/>
          </w:rPr>
          <w:fldChar w:fldCharType="separate"/>
        </w:r>
        <w:r w:rsidR="00F14BED">
          <w:rPr>
            <w:webHidden/>
          </w:rPr>
          <w:t>24</w:t>
        </w:r>
        <w:r w:rsidR="00EF72E6">
          <w:rPr>
            <w:webHidden/>
          </w:rPr>
          <w:fldChar w:fldCharType="end"/>
        </w:r>
      </w:hyperlink>
    </w:p>
    <w:p w14:paraId="10794A40" w14:textId="441AE0C8"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76" w:history="1">
        <w:r w:rsidR="00EF72E6" w:rsidRPr="00193896">
          <w:rPr>
            <w:rStyle w:val="Hipervnculo"/>
          </w:rPr>
          <w:t>6.1.3</w:t>
        </w:r>
        <w:r w:rsidR="00EF72E6">
          <w:rPr>
            <w:rFonts w:asciiTheme="minorHAnsi" w:eastAsiaTheme="minorEastAsia" w:hAnsiTheme="minorHAnsi" w:cstheme="minorBidi"/>
            <w:sz w:val="22"/>
            <w:szCs w:val="22"/>
            <w:lang w:val="es-CL" w:eastAsia="es-CL"/>
          </w:rPr>
          <w:tab/>
        </w:r>
        <w:r w:rsidR="00EF72E6" w:rsidRPr="00193896">
          <w:rPr>
            <w:rStyle w:val="Hipervnculo"/>
          </w:rPr>
          <w:t>Estudio de precios</w:t>
        </w:r>
        <w:r w:rsidR="00EF72E6">
          <w:rPr>
            <w:webHidden/>
          </w:rPr>
          <w:tab/>
        </w:r>
        <w:r w:rsidR="00EF72E6">
          <w:rPr>
            <w:webHidden/>
          </w:rPr>
          <w:fldChar w:fldCharType="begin"/>
        </w:r>
        <w:r w:rsidR="00EF72E6">
          <w:rPr>
            <w:webHidden/>
          </w:rPr>
          <w:instrText xml:space="preserve"> PAGEREF _Toc34687176 \h </w:instrText>
        </w:r>
        <w:r w:rsidR="00EF72E6">
          <w:rPr>
            <w:webHidden/>
          </w:rPr>
        </w:r>
        <w:r w:rsidR="00EF72E6">
          <w:rPr>
            <w:webHidden/>
          </w:rPr>
          <w:fldChar w:fldCharType="separate"/>
        </w:r>
        <w:r w:rsidR="00F14BED">
          <w:rPr>
            <w:webHidden/>
          </w:rPr>
          <w:t>25</w:t>
        </w:r>
        <w:r w:rsidR="00EF72E6">
          <w:rPr>
            <w:webHidden/>
          </w:rPr>
          <w:fldChar w:fldCharType="end"/>
        </w:r>
      </w:hyperlink>
    </w:p>
    <w:p w14:paraId="18223BB7" w14:textId="4642B014"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77" w:history="1">
        <w:r w:rsidR="00EF72E6" w:rsidRPr="00193896">
          <w:rPr>
            <w:rStyle w:val="Hipervnculo"/>
          </w:rPr>
          <w:t>6.1.4</w:t>
        </w:r>
        <w:r w:rsidR="00EF72E6">
          <w:rPr>
            <w:rFonts w:asciiTheme="minorHAnsi" w:eastAsiaTheme="minorEastAsia" w:hAnsiTheme="minorHAnsi" w:cstheme="minorBidi"/>
            <w:sz w:val="22"/>
            <w:szCs w:val="22"/>
            <w:lang w:val="es-CL" w:eastAsia="es-CL"/>
          </w:rPr>
          <w:tab/>
        </w:r>
        <w:r w:rsidR="00EF72E6" w:rsidRPr="00193896">
          <w:rPr>
            <w:rStyle w:val="Hipervnculo"/>
          </w:rPr>
          <w:t>Costos de Montaje</w:t>
        </w:r>
        <w:r w:rsidR="00EF72E6">
          <w:rPr>
            <w:webHidden/>
          </w:rPr>
          <w:tab/>
        </w:r>
        <w:r w:rsidR="00EF72E6">
          <w:rPr>
            <w:webHidden/>
          </w:rPr>
          <w:fldChar w:fldCharType="begin"/>
        </w:r>
        <w:r w:rsidR="00EF72E6">
          <w:rPr>
            <w:webHidden/>
          </w:rPr>
          <w:instrText xml:space="preserve"> PAGEREF _Toc34687177 \h </w:instrText>
        </w:r>
        <w:r w:rsidR="00EF72E6">
          <w:rPr>
            <w:webHidden/>
          </w:rPr>
        </w:r>
        <w:r w:rsidR="00EF72E6">
          <w:rPr>
            <w:webHidden/>
          </w:rPr>
          <w:fldChar w:fldCharType="separate"/>
        </w:r>
        <w:r w:rsidR="00F14BED">
          <w:rPr>
            <w:webHidden/>
          </w:rPr>
          <w:t>28</w:t>
        </w:r>
        <w:r w:rsidR="00EF72E6">
          <w:rPr>
            <w:webHidden/>
          </w:rPr>
          <w:fldChar w:fldCharType="end"/>
        </w:r>
      </w:hyperlink>
    </w:p>
    <w:p w14:paraId="74599360" w14:textId="7F636D57"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78" w:history="1">
        <w:r w:rsidR="00EF72E6" w:rsidRPr="00193896">
          <w:rPr>
            <w:rStyle w:val="Hipervnculo"/>
          </w:rPr>
          <w:t>6.1.5</w:t>
        </w:r>
        <w:r w:rsidR="00EF72E6">
          <w:rPr>
            <w:rFonts w:asciiTheme="minorHAnsi" w:eastAsiaTheme="minorEastAsia" w:hAnsiTheme="minorHAnsi" w:cstheme="minorBidi"/>
            <w:sz w:val="22"/>
            <w:szCs w:val="22"/>
            <w:lang w:val="es-CL" w:eastAsia="es-CL"/>
          </w:rPr>
          <w:tab/>
        </w:r>
        <w:r w:rsidR="00EF72E6" w:rsidRPr="00193896">
          <w:rPr>
            <w:rStyle w:val="Hipervnculo"/>
          </w:rPr>
          <w:t>Determinación de los recargos porcentuales</w:t>
        </w:r>
        <w:r w:rsidR="00EF72E6">
          <w:rPr>
            <w:webHidden/>
          </w:rPr>
          <w:tab/>
        </w:r>
        <w:r w:rsidR="00EF72E6">
          <w:rPr>
            <w:webHidden/>
          </w:rPr>
          <w:fldChar w:fldCharType="begin"/>
        </w:r>
        <w:r w:rsidR="00EF72E6">
          <w:rPr>
            <w:webHidden/>
          </w:rPr>
          <w:instrText xml:space="preserve"> PAGEREF _Toc34687178 \h </w:instrText>
        </w:r>
        <w:r w:rsidR="00EF72E6">
          <w:rPr>
            <w:webHidden/>
          </w:rPr>
        </w:r>
        <w:r w:rsidR="00EF72E6">
          <w:rPr>
            <w:webHidden/>
          </w:rPr>
          <w:fldChar w:fldCharType="separate"/>
        </w:r>
        <w:r w:rsidR="00F14BED">
          <w:rPr>
            <w:webHidden/>
          </w:rPr>
          <w:t>32</w:t>
        </w:r>
        <w:r w:rsidR="00EF72E6">
          <w:rPr>
            <w:webHidden/>
          </w:rPr>
          <w:fldChar w:fldCharType="end"/>
        </w:r>
      </w:hyperlink>
    </w:p>
    <w:p w14:paraId="2B77B70C" w14:textId="1091F02C" w:rsidR="00EF72E6" w:rsidRDefault="00F5226B">
      <w:pPr>
        <w:pStyle w:val="TDC4"/>
        <w:rPr>
          <w:rFonts w:asciiTheme="minorHAnsi" w:eastAsiaTheme="minorEastAsia" w:hAnsiTheme="minorHAnsi" w:cstheme="minorBidi"/>
          <w:spacing w:val="0"/>
          <w:sz w:val="22"/>
          <w:szCs w:val="22"/>
          <w:lang w:val="es-CL" w:eastAsia="es-CL"/>
        </w:rPr>
      </w:pPr>
      <w:hyperlink w:anchor="_Toc34687179" w:history="1">
        <w:r w:rsidR="00EF72E6" w:rsidRPr="00193896">
          <w:rPr>
            <w:rStyle w:val="Hipervnculo"/>
          </w:rPr>
          <w:t>6.1.5.1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Recargo por Flete</w:t>
        </w:r>
        <w:r w:rsidR="00EF72E6">
          <w:rPr>
            <w:webHidden/>
          </w:rPr>
          <w:tab/>
        </w:r>
        <w:r w:rsidR="00EF72E6">
          <w:rPr>
            <w:webHidden/>
          </w:rPr>
          <w:fldChar w:fldCharType="begin"/>
        </w:r>
        <w:r w:rsidR="00EF72E6">
          <w:rPr>
            <w:webHidden/>
          </w:rPr>
          <w:instrText xml:space="preserve"> PAGEREF _Toc34687179 \h </w:instrText>
        </w:r>
        <w:r w:rsidR="00EF72E6">
          <w:rPr>
            <w:webHidden/>
          </w:rPr>
        </w:r>
        <w:r w:rsidR="00EF72E6">
          <w:rPr>
            <w:webHidden/>
          </w:rPr>
          <w:fldChar w:fldCharType="separate"/>
        </w:r>
        <w:r w:rsidR="00F14BED">
          <w:rPr>
            <w:webHidden/>
          </w:rPr>
          <w:t>33</w:t>
        </w:r>
        <w:r w:rsidR="00EF72E6">
          <w:rPr>
            <w:webHidden/>
          </w:rPr>
          <w:fldChar w:fldCharType="end"/>
        </w:r>
      </w:hyperlink>
    </w:p>
    <w:p w14:paraId="2AB613DD" w14:textId="220D6CC1" w:rsidR="00EF72E6" w:rsidRDefault="00F5226B">
      <w:pPr>
        <w:pStyle w:val="TDC4"/>
        <w:rPr>
          <w:rFonts w:asciiTheme="minorHAnsi" w:eastAsiaTheme="minorEastAsia" w:hAnsiTheme="minorHAnsi" w:cstheme="minorBidi"/>
          <w:spacing w:val="0"/>
          <w:sz w:val="22"/>
          <w:szCs w:val="22"/>
          <w:lang w:val="es-CL" w:eastAsia="es-CL"/>
        </w:rPr>
      </w:pPr>
      <w:hyperlink w:anchor="_Toc34687180" w:history="1">
        <w:r w:rsidR="00EF72E6" w:rsidRPr="00193896">
          <w:rPr>
            <w:rStyle w:val="Hipervnculo"/>
          </w:rPr>
          <w:t>6.1.5.2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Recargo por bodegaje (B)</w:t>
        </w:r>
        <w:r w:rsidR="00EF72E6">
          <w:rPr>
            <w:webHidden/>
          </w:rPr>
          <w:tab/>
        </w:r>
        <w:r w:rsidR="00EF72E6">
          <w:rPr>
            <w:webHidden/>
          </w:rPr>
          <w:fldChar w:fldCharType="begin"/>
        </w:r>
        <w:r w:rsidR="00EF72E6">
          <w:rPr>
            <w:webHidden/>
          </w:rPr>
          <w:instrText xml:space="preserve"> PAGEREF _Toc34687180 \h </w:instrText>
        </w:r>
        <w:r w:rsidR="00EF72E6">
          <w:rPr>
            <w:webHidden/>
          </w:rPr>
        </w:r>
        <w:r w:rsidR="00EF72E6">
          <w:rPr>
            <w:webHidden/>
          </w:rPr>
          <w:fldChar w:fldCharType="separate"/>
        </w:r>
        <w:r w:rsidR="00F14BED">
          <w:rPr>
            <w:webHidden/>
          </w:rPr>
          <w:t>34</w:t>
        </w:r>
        <w:r w:rsidR="00EF72E6">
          <w:rPr>
            <w:webHidden/>
          </w:rPr>
          <w:fldChar w:fldCharType="end"/>
        </w:r>
      </w:hyperlink>
    </w:p>
    <w:p w14:paraId="2624CA39" w14:textId="60A91B73" w:rsidR="00EF72E6" w:rsidRDefault="00F5226B">
      <w:pPr>
        <w:pStyle w:val="TDC4"/>
        <w:rPr>
          <w:rFonts w:asciiTheme="minorHAnsi" w:eastAsiaTheme="minorEastAsia" w:hAnsiTheme="minorHAnsi" w:cstheme="minorBidi"/>
          <w:spacing w:val="0"/>
          <w:sz w:val="22"/>
          <w:szCs w:val="22"/>
          <w:lang w:val="es-CL" w:eastAsia="es-CL"/>
        </w:rPr>
      </w:pPr>
      <w:hyperlink w:anchor="_Toc34687181" w:history="1">
        <w:r w:rsidR="00EF72E6" w:rsidRPr="00193896">
          <w:rPr>
            <w:rStyle w:val="Hipervnculo"/>
          </w:rPr>
          <w:t>6.1.5.3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Recargo por ingeniería (Ing)</w:t>
        </w:r>
        <w:r w:rsidR="00EF72E6">
          <w:rPr>
            <w:webHidden/>
          </w:rPr>
          <w:tab/>
        </w:r>
        <w:r w:rsidR="00EF72E6">
          <w:rPr>
            <w:webHidden/>
          </w:rPr>
          <w:fldChar w:fldCharType="begin"/>
        </w:r>
        <w:r w:rsidR="00EF72E6">
          <w:rPr>
            <w:webHidden/>
          </w:rPr>
          <w:instrText xml:space="preserve"> PAGEREF _Toc34687181 \h </w:instrText>
        </w:r>
        <w:r w:rsidR="00EF72E6">
          <w:rPr>
            <w:webHidden/>
          </w:rPr>
        </w:r>
        <w:r w:rsidR="00EF72E6">
          <w:rPr>
            <w:webHidden/>
          </w:rPr>
          <w:fldChar w:fldCharType="separate"/>
        </w:r>
        <w:r w:rsidR="00F14BED">
          <w:rPr>
            <w:webHidden/>
          </w:rPr>
          <w:t>34</w:t>
        </w:r>
        <w:r w:rsidR="00EF72E6">
          <w:rPr>
            <w:webHidden/>
          </w:rPr>
          <w:fldChar w:fldCharType="end"/>
        </w:r>
      </w:hyperlink>
    </w:p>
    <w:p w14:paraId="6C6EA460" w14:textId="4E8F16F3" w:rsidR="00EF72E6" w:rsidRDefault="00F5226B">
      <w:pPr>
        <w:pStyle w:val="TDC4"/>
        <w:rPr>
          <w:rFonts w:asciiTheme="minorHAnsi" w:eastAsiaTheme="minorEastAsia" w:hAnsiTheme="minorHAnsi" w:cstheme="minorBidi"/>
          <w:spacing w:val="0"/>
          <w:sz w:val="22"/>
          <w:szCs w:val="22"/>
          <w:lang w:val="es-CL" w:eastAsia="es-CL"/>
        </w:rPr>
      </w:pPr>
      <w:hyperlink w:anchor="_Toc34687182" w:history="1">
        <w:r w:rsidR="00EF72E6" w:rsidRPr="00193896">
          <w:rPr>
            <w:rStyle w:val="Hipervnculo"/>
          </w:rPr>
          <w:t>6.1.5.4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Recargo por gastos generales (Gg)</w:t>
        </w:r>
        <w:r w:rsidR="00EF72E6">
          <w:rPr>
            <w:webHidden/>
          </w:rPr>
          <w:tab/>
        </w:r>
        <w:r w:rsidR="00EF72E6">
          <w:rPr>
            <w:webHidden/>
          </w:rPr>
          <w:fldChar w:fldCharType="begin"/>
        </w:r>
        <w:r w:rsidR="00EF72E6">
          <w:rPr>
            <w:webHidden/>
          </w:rPr>
          <w:instrText xml:space="preserve"> PAGEREF _Toc34687182 \h </w:instrText>
        </w:r>
        <w:r w:rsidR="00EF72E6">
          <w:rPr>
            <w:webHidden/>
          </w:rPr>
        </w:r>
        <w:r w:rsidR="00EF72E6">
          <w:rPr>
            <w:webHidden/>
          </w:rPr>
          <w:fldChar w:fldCharType="separate"/>
        </w:r>
        <w:r w:rsidR="00F14BED">
          <w:rPr>
            <w:webHidden/>
          </w:rPr>
          <w:t>35</w:t>
        </w:r>
        <w:r w:rsidR="00EF72E6">
          <w:rPr>
            <w:webHidden/>
          </w:rPr>
          <w:fldChar w:fldCharType="end"/>
        </w:r>
      </w:hyperlink>
    </w:p>
    <w:p w14:paraId="6BA4F580" w14:textId="08DBBC9B" w:rsidR="00EF72E6" w:rsidRDefault="00F5226B">
      <w:pPr>
        <w:pStyle w:val="TDC4"/>
        <w:rPr>
          <w:rFonts w:asciiTheme="minorHAnsi" w:eastAsiaTheme="minorEastAsia" w:hAnsiTheme="minorHAnsi" w:cstheme="minorBidi"/>
          <w:spacing w:val="0"/>
          <w:sz w:val="22"/>
          <w:szCs w:val="22"/>
          <w:lang w:val="es-CL" w:eastAsia="es-CL"/>
        </w:rPr>
      </w:pPr>
      <w:hyperlink w:anchor="_Toc34687183" w:history="1">
        <w:r w:rsidR="00EF72E6" w:rsidRPr="00193896">
          <w:rPr>
            <w:rStyle w:val="Hipervnculo"/>
          </w:rPr>
          <w:t>6.1.5.5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Intereses intercalarios</w:t>
        </w:r>
        <w:r w:rsidR="00EF72E6">
          <w:rPr>
            <w:webHidden/>
          </w:rPr>
          <w:tab/>
        </w:r>
        <w:r w:rsidR="00EF72E6">
          <w:rPr>
            <w:webHidden/>
          </w:rPr>
          <w:fldChar w:fldCharType="begin"/>
        </w:r>
        <w:r w:rsidR="00EF72E6">
          <w:rPr>
            <w:webHidden/>
          </w:rPr>
          <w:instrText xml:space="preserve"> PAGEREF _Toc34687183 \h </w:instrText>
        </w:r>
        <w:r w:rsidR="00EF72E6">
          <w:rPr>
            <w:webHidden/>
          </w:rPr>
        </w:r>
        <w:r w:rsidR="00EF72E6">
          <w:rPr>
            <w:webHidden/>
          </w:rPr>
          <w:fldChar w:fldCharType="separate"/>
        </w:r>
        <w:r w:rsidR="00F14BED">
          <w:rPr>
            <w:webHidden/>
          </w:rPr>
          <w:t>36</w:t>
        </w:r>
        <w:r w:rsidR="00EF72E6">
          <w:rPr>
            <w:webHidden/>
          </w:rPr>
          <w:fldChar w:fldCharType="end"/>
        </w:r>
      </w:hyperlink>
    </w:p>
    <w:p w14:paraId="326B2ECE" w14:textId="40F1CC16" w:rsidR="00EF72E6" w:rsidRDefault="00F5226B">
      <w:pPr>
        <w:pStyle w:val="TDC2"/>
        <w:rPr>
          <w:rFonts w:asciiTheme="minorHAnsi" w:eastAsiaTheme="minorEastAsia" w:hAnsiTheme="minorHAnsi" w:cstheme="minorBidi"/>
          <w:b w:val="0"/>
          <w:smallCaps w:val="0"/>
          <w:noProof/>
          <w:szCs w:val="22"/>
          <w:lang w:val="es-CL" w:eastAsia="es-CL"/>
        </w:rPr>
      </w:pPr>
      <w:hyperlink w:anchor="_Toc34687184" w:history="1">
        <w:r w:rsidR="00EF72E6" w:rsidRPr="00193896">
          <w:rPr>
            <w:rStyle w:val="Hipervnculo"/>
            <w:noProof/>
          </w:rPr>
          <w:t>6.2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Metodología aplicada a la determinación del C.O.M.A.</w:t>
        </w:r>
        <w:r w:rsidR="00EF72E6">
          <w:rPr>
            <w:noProof/>
            <w:webHidden/>
          </w:rPr>
          <w:tab/>
        </w:r>
        <w:r w:rsidR="00EF72E6">
          <w:rPr>
            <w:noProof/>
            <w:webHidden/>
          </w:rPr>
          <w:fldChar w:fldCharType="begin"/>
        </w:r>
        <w:r w:rsidR="00EF72E6">
          <w:rPr>
            <w:noProof/>
            <w:webHidden/>
          </w:rPr>
          <w:instrText xml:space="preserve"> PAGEREF _Toc34687184 \h </w:instrText>
        </w:r>
        <w:r w:rsidR="00EF72E6">
          <w:rPr>
            <w:noProof/>
            <w:webHidden/>
          </w:rPr>
        </w:r>
        <w:r w:rsidR="00EF72E6">
          <w:rPr>
            <w:noProof/>
            <w:webHidden/>
          </w:rPr>
          <w:fldChar w:fldCharType="separate"/>
        </w:r>
        <w:r w:rsidR="00F14BED">
          <w:rPr>
            <w:noProof/>
            <w:webHidden/>
          </w:rPr>
          <w:t>37</w:t>
        </w:r>
        <w:r w:rsidR="00EF72E6">
          <w:rPr>
            <w:noProof/>
            <w:webHidden/>
          </w:rPr>
          <w:fldChar w:fldCharType="end"/>
        </w:r>
      </w:hyperlink>
    </w:p>
    <w:p w14:paraId="54EF5FB0" w14:textId="095F6CAD"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85" w:history="1">
        <w:r w:rsidR="00EF72E6" w:rsidRPr="00193896">
          <w:rPr>
            <w:rStyle w:val="Hipervnculo"/>
          </w:rPr>
          <w:t>6.2.1</w:t>
        </w:r>
        <w:r w:rsidR="00EF72E6">
          <w:rPr>
            <w:rFonts w:asciiTheme="minorHAnsi" w:eastAsiaTheme="minorEastAsia" w:hAnsiTheme="minorHAnsi" w:cstheme="minorBidi"/>
            <w:sz w:val="22"/>
            <w:szCs w:val="22"/>
            <w:lang w:val="es-CL" w:eastAsia="es-CL"/>
          </w:rPr>
          <w:tab/>
        </w:r>
        <w:r w:rsidR="00EF72E6" w:rsidRPr="00193896">
          <w:rPr>
            <w:rStyle w:val="Hipervnculo"/>
          </w:rPr>
          <w:t>Introducción</w:t>
        </w:r>
        <w:r w:rsidR="00EF72E6">
          <w:rPr>
            <w:webHidden/>
          </w:rPr>
          <w:tab/>
        </w:r>
        <w:r w:rsidR="00EF72E6">
          <w:rPr>
            <w:webHidden/>
          </w:rPr>
          <w:fldChar w:fldCharType="begin"/>
        </w:r>
        <w:r w:rsidR="00EF72E6">
          <w:rPr>
            <w:webHidden/>
          </w:rPr>
          <w:instrText xml:space="preserve"> PAGEREF _Toc34687185 \h </w:instrText>
        </w:r>
        <w:r w:rsidR="00EF72E6">
          <w:rPr>
            <w:webHidden/>
          </w:rPr>
        </w:r>
        <w:r w:rsidR="00EF72E6">
          <w:rPr>
            <w:webHidden/>
          </w:rPr>
          <w:fldChar w:fldCharType="separate"/>
        </w:r>
        <w:r w:rsidR="00F14BED">
          <w:rPr>
            <w:webHidden/>
          </w:rPr>
          <w:t>37</w:t>
        </w:r>
        <w:r w:rsidR="00EF72E6">
          <w:rPr>
            <w:webHidden/>
          </w:rPr>
          <w:fldChar w:fldCharType="end"/>
        </w:r>
      </w:hyperlink>
    </w:p>
    <w:p w14:paraId="7E36CE62" w14:textId="1929CF91"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86" w:history="1">
        <w:r w:rsidR="00EF72E6" w:rsidRPr="00193896">
          <w:rPr>
            <w:rStyle w:val="Hipervnculo"/>
          </w:rPr>
          <w:t>6.2.2</w:t>
        </w:r>
        <w:r w:rsidR="00EF72E6">
          <w:rPr>
            <w:rFonts w:asciiTheme="minorHAnsi" w:eastAsiaTheme="minorEastAsia" w:hAnsiTheme="minorHAnsi" w:cstheme="minorBidi"/>
            <w:sz w:val="22"/>
            <w:szCs w:val="22"/>
            <w:lang w:val="es-CL" w:eastAsia="es-CL"/>
          </w:rPr>
          <w:tab/>
        </w:r>
        <w:r w:rsidR="00EF72E6" w:rsidRPr="00193896">
          <w:rPr>
            <w:rStyle w:val="Hipervnculo"/>
          </w:rPr>
          <w:t>Etapas de la Metodología para el cálculo del COMA</w:t>
        </w:r>
        <w:r w:rsidR="00EF72E6">
          <w:rPr>
            <w:webHidden/>
          </w:rPr>
          <w:tab/>
        </w:r>
        <w:r w:rsidR="00EF72E6">
          <w:rPr>
            <w:webHidden/>
          </w:rPr>
          <w:fldChar w:fldCharType="begin"/>
        </w:r>
        <w:r w:rsidR="00EF72E6">
          <w:rPr>
            <w:webHidden/>
          </w:rPr>
          <w:instrText xml:space="preserve"> PAGEREF _Toc34687186 \h </w:instrText>
        </w:r>
        <w:r w:rsidR="00EF72E6">
          <w:rPr>
            <w:webHidden/>
          </w:rPr>
        </w:r>
        <w:r w:rsidR="00EF72E6">
          <w:rPr>
            <w:webHidden/>
          </w:rPr>
          <w:fldChar w:fldCharType="separate"/>
        </w:r>
        <w:r w:rsidR="00F14BED">
          <w:rPr>
            <w:webHidden/>
          </w:rPr>
          <w:t>40</w:t>
        </w:r>
        <w:r w:rsidR="00EF72E6">
          <w:rPr>
            <w:webHidden/>
          </w:rPr>
          <w:fldChar w:fldCharType="end"/>
        </w:r>
      </w:hyperlink>
    </w:p>
    <w:p w14:paraId="17987193" w14:textId="22B4B0AC"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87" w:history="1">
        <w:r w:rsidR="00EF72E6" w:rsidRPr="00193896">
          <w:rPr>
            <w:rStyle w:val="Hipervnculo"/>
          </w:rPr>
          <w:t>6.2.3</w:t>
        </w:r>
        <w:r w:rsidR="00EF72E6">
          <w:rPr>
            <w:rFonts w:asciiTheme="minorHAnsi" w:eastAsiaTheme="minorEastAsia" w:hAnsiTheme="minorHAnsi" w:cstheme="minorBidi"/>
            <w:sz w:val="22"/>
            <w:szCs w:val="22"/>
            <w:lang w:val="es-CL" w:eastAsia="es-CL"/>
          </w:rPr>
          <w:tab/>
        </w:r>
        <w:r w:rsidR="00EF72E6" w:rsidRPr="00193896">
          <w:rPr>
            <w:rStyle w:val="Hipervnculo"/>
          </w:rPr>
          <w:t>Diseño y dimensionamiento de la organización de la empresa modelo eficiente</w:t>
        </w:r>
        <w:r w:rsidR="00EF72E6">
          <w:rPr>
            <w:webHidden/>
          </w:rPr>
          <w:tab/>
        </w:r>
        <w:r w:rsidR="00EF72E6">
          <w:rPr>
            <w:webHidden/>
          </w:rPr>
          <w:fldChar w:fldCharType="begin"/>
        </w:r>
        <w:r w:rsidR="00EF72E6">
          <w:rPr>
            <w:webHidden/>
          </w:rPr>
          <w:instrText xml:space="preserve"> PAGEREF _Toc34687187 \h </w:instrText>
        </w:r>
        <w:r w:rsidR="00EF72E6">
          <w:rPr>
            <w:webHidden/>
          </w:rPr>
        </w:r>
        <w:r w:rsidR="00EF72E6">
          <w:rPr>
            <w:webHidden/>
          </w:rPr>
          <w:fldChar w:fldCharType="separate"/>
        </w:r>
        <w:r w:rsidR="00F14BED">
          <w:rPr>
            <w:webHidden/>
          </w:rPr>
          <w:t>41</w:t>
        </w:r>
        <w:r w:rsidR="00EF72E6">
          <w:rPr>
            <w:webHidden/>
          </w:rPr>
          <w:fldChar w:fldCharType="end"/>
        </w:r>
      </w:hyperlink>
    </w:p>
    <w:p w14:paraId="4E49E480" w14:textId="24D5C9B2" w:rsidR="00EF72E6" w:rsidRDefault="00F5226B">
      <w:pPr>
        <w:pStyle w:val="TDC4"/>
        <w:rPr>
          <w:rFonts w:asciiTheme="minorHAnsi" w:eastAsiaTheme="minorEastAsia" w:hAnsiTheme="minorHAnsi" w:cstheme="minorBidi"/>
          <w:spacing w:val="0"/>
          <w:sz w:val="22"/>
          <w:szCs w:val="22"/>
          <w:lang w:val="es-CL" w:eastAsia="es-CL"/>
        </w:rPr>
      </w:pPr>
      <w:hyperlink w:anchor="_Toc34687188" w:history="1">
        <w:r w:rsidR="00EF72E6" w:rsidRPr="00193896">
          <w:rPr>
            <w:rStyle w:val="Hipervnculo"/>
          </w:rPr>
          <w:t>6.2.3.1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Proceso: dirección, estrategia y control</w:t>
        </w:r>
        <w:r w:rsidR="00EF72E6">
          <w:rPr>
            <w:webHidden/>
          </w:rPr>
          <w:tab/>
        </w:r>
        <w:r w:rsidR="00EF72E6">
          <w:rPr>
            <w:webHidden/>
          </w:rPr>
          <w:fldChar w:fldCharType="begin"/>
        </w:r>
        <w:r w:rsidR="00EF72E6">
          <w:rPr>
            <w:webHidden/>
          </w:rPr>
          <w:instrText xml:space="preserve"> PAGEREF _Toc34687188 \h </w:instrText>
        </w:r>
        <w:r w:rsidR="00EF72E6">
          <w:rPr>
            <w:webHidden/>
          </w:rPr>
        </w:r>
        <w:r w:rsidR="00EF72E6">
          <w:rPr>
            <w:webHidden/>
          </w:rPr>
          <w:fldChar w:fldCharType="separate"/>
        </w:r>
        <w:r w:rsidR="00F14BED">
          <w:rPr>
            <w:webHidden/>
          </w:rPr>
          <w:t>42</w:t>
        </w:r>
        <w:r w:rsidR="00EF72E6">
          <w:rPr>
            <w:webHidden/>
          </w:rPr>
          <w:fldChar w:fldCharType="end"/>
        </w:r>
      </w:hyperlink>
    </w:p>
    <w:p w14:paraId="03CFE303" w14:textId="0B248DA1" w:rsidR="00EF72E6" w:rsidRDefault="00F5226B">
      <w:pPr>
        <w:pStyle w:val="TDC4"/>
        <w:rPr>
          <w:rFonts w:asciiTheme="minorHAnsi" w:eastAsiaTheme="minorEastAsia" w:hAnsiTheme="minorHAnsi" w:cstheme="minorBidi"/>
          <w:spacing w:val="0"/>
          <w:sz w:val="22"/>
          <w:szCs w:val="22"/>
          <w:lang w:val="es-CL" w:eastAsia="es-CL"/>
        </w:rPr>
      </w:pPr>
      <w:hyperlink w:anchor="_Toc34687189" w:history="1">
        <w:r w:rsidR="00EF72E6" w:rsidRPr="00193896">
          <w:rPr>
            <w:rStyle w:val="Hipervnculo"/>
          </w:rPr>
          <w:t>6.2.3.2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Proceso: administración y finanzas</w:t>
        </w:r>
        <w:r w:rsidR="00EF72E6">
          <w:rPr>
            <w:webHidden/>
          </w:rPr>
          <w:tab/>
        </w:r>
        <w:r w:rsidR="00EF72E6">
          <w:rPr>
            <w:webHidden/>
          </w:rPr>
          <w:fldChar w:fldCharType="begin"/>
        </w:r>
        <w:r w:rsidR="00EF72E6">
          <w:rPr>
            <w:webHidden/>
          </w:rPr>
          <w:instrText xml:space="preserve"> PAGEREF _Toc34687189 \h </w:instrText>
        </w:r>
        <w:r w:rsidR="00EF72E6">
          <w:rPr>
            <w:webHidden/>
          </w:rPr>
        </w:r>
        <w:r w:rsidR="00EF72E6">
          <w:rPr>
            <w:webHidden/>
          </w:rPr>
          <w:fldChar w:fldCharType="separate"/>
        </w:r>
        <w:r w:rsidR="00F14BED">
          <w:rPr>
            <w:webHidden/>
          </w:rPr>
          <w:t>42</w:t>
        </w:r>
        <w:r w:rsidR="00EF72E6">
          <w:rPr>
            <w:webHidden/>
          </w:rPr>
          <w:fldChar w:fldCharType="end"/>
        </w:r>
      </w:hyperlink>
    </w:p>
    <w:p w14:paraId="59449BC4" w14:textId="5F599E43" w:rsidR="00EF72E6" w:rsidRDefault="00F5226B">
      <w:pPr>
        <w:pStyle w:val="TDC4"/>
        <w:rPr>
          <w:rFonts w:asciiTheme="minorHAnsi" w:eastAsiaTheme="minorEastAsia" w:hAnsiTheme="minorHAnsi" w:cstheme="minorBidi"/>
          <w:spacing w:val="0"/>
          <w:sz w:val="22"/>
          <w:szCs w:val="22"/>
          <w:lang w:val="es-CL" w:eastAsia="es-CL"/>
        </w:rPr>
      </w:pPr>
      <w:hyperlink w:anchor="_Toc34687190" w:history="1">
        <w:r w:rsidR="00EF72E6" w:rsidRPr="00193896">
          <w:rPr>
            <w:rStyle w:val="Hipervnculo"/>
          </w:rPr>
          <w:t>6.2.3.3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Proceso: comercial y regulación</w:t>
        </w:r>
        <w:r w:rsidR="00EF72E6">
          <w:rPr>
            <w:webHidden/>
          </w:rPr>
          <w:tab/>
        </w:r>
        <w:r w:rsidR="00EF72E6">
          <w:rPr>
            <w:webHidden/>
          </w:rPr>
          <w:fldChar w:fldCharType="begin"/>
        </w:r>
        <w:r w:rsidR="00EF72E6">
          <w:rPr>
            <w:webHidden/>
          </w:rPr>
          <w:instrText xml:space="preserve"> PAGEREF _Toc34687190 \h </w:instrText>
        </w:r>
        <w:r w:rsidR="00EF72E6">
          <w:rPr>
            <w:webHidden/>
          </w:rPr>
        </w:r>
        <w:r w:rsidR="00EF72E6">
          <w:rPr>
            <w:webHidden/>
          </w:rPr>
          <w:fldChar w:fldCharType="separate"/>
        </w:r>
        <w:r w:rsidR="00F14BED">
          <w:rPr>
            <w:webHidden/>
          </w:rPr>
          <w:t>43</w:t>
        </w:r>
        <w:r w:rsidR="00EF72E6">
          <w:rPr>
            <w:webHidden/>
          </w:rPr>
          <w:fldChar w:fldCharType="end"/>
        </w:r>
      </w:hyperlink>
    </w:p>
    <w:p w14:paraId="38189874" w14:textId="41C3D26F" w:rsidR="00EF72E6" w:rsidRDefault="00F5226B">
      <w:pPr>
        <w:pStyle w:val="TDC4"/>
        <w:rPr>
          <w:rFonts w:asciiTheme="minorHAnsi" w:eastAsiaTheme="minorEastAsia" w:hAnsiTheme="minorHAnsi" w:cstheme="minorBidi"/>
          <w:spacing w:val="0"/>
          <w:sz w:val="22"/>
          <w:szCs w:val="22"/>
          <w:lang w:val="es-CL" w:eastAsia="es-CL"/>
        </w:rPr>
      </w:pPr>
      <w:hyperlink w:anchor="_Toc34687191" w:history="1">
        <w:r w:rsidR="00EF72E6" w:rsidRPr="00193896">
          <w:rPr>
            <w:rStyle w:val="Hipervnculo"/>
          </w:rPr>
          <w:t>6.2.3.4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Proceso: planificación técnica y normas</w:t>
        </w:r>
        <w:r w:rsidR="00EF72E6">
          <w:rPr>
            <w:webHidden/>
          </w:rPr>
          <w:tab/>
        </w:r>
        <w:r w:rsidR="00EF72E6">
          <w:rPr>
            <w:webHidden/>
          </w:rPr>
          <w:fldChar w:fldCharType="begin"/>
        </w:r>
        <w:r w:rsidR="00EF72E6">
          <w:rPr>
            <w:webHidden/>
          </w:rPr>
          <w:instrText xml:space="preserve"> PAGEREF _Toc34687191 \h </w:instrText>
        </w:r>
        <w:r w:rsidR="00EF72E6">
          <w:rPr>
            <w:webHidden/>
          </w:rPr>
        </w:r>
        <w:r w:rsidR="00EF72E6">
          <w:rPr>
            <w:webHidden/>
          </w:rPr>
          <w:fldChar w:fldCharType="separate"/>
        </w:r>
        <w:r w:rsidR="00F14BED">
          <w:rPr>
            <w:webHidden/>
          </w:rPr>
          <w:t>43</w:t>
        </w:r>
        <w:r w:rsidR="00EF72E6">
          <w:rPr>
            <w:webHidden/>
          </w:rPr>
          <w:fldChar w:fldCharType="end"/>
        </w:r>
      </w:hyperlink>
    </w:p>
    <w:p w14:paraId="229D6359" w14:textId="384007D4" w:rsidR="00EF72E6" w:rsidRDefault="00F5226B">
      <w:pPr>
        <w:pStyle w:val="TDC4"/>
        <w:rPr>
          <w:rFonts w:asciiTheme="minorHAnsi" w:eastAsiaTheme="minorEastAsia" w:hAnsiTheme="minorHAnsi" w:cstheme="minorBidi"/>
          <w:spacing w:val="0"/>
          <w:sz w:val="22"/>
          <w:szCs w:val="22"/>
          <w:lang w:val="es-CL" w:eastAsia="es-CL"/>
        </w:rPr>
      </w:pPr>
      <w:hyperlink w:anchor="_Toc34687192" w:history="1">
        <w:r w:rsidR="00EF72E6" w:rsidRPr="00193896">
          <w:rPr>
            <w:rStyle w:val="Hipervnculo"/>
          </w:rPr>
          <w:t>6.2.3.5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Proceso: explotación</w:t>
        </w:r>
        <w:r w:rsidR="00EF72E6">
          <w:rPr>
            <w:webHidden/>
          </w:rPr>
          <w:tab/>
        </w:r>
        <w:r w:rsidR="00EF72E6">
          <w:rPr>
            <w:webHidden/>
          </w:rPr>
          <w:fldChar w:fldCharType="begin"/>
        </w:r>
        <w:r w:rsidR="00EF72E6">
          <w:rPr>
            <w:webHidden/>
          </w:rPr>
          <w:instrText xml:space="preserve"> PAGEREF _Toc34687192 \h </w:instrText>
        </w:r>
        <w:r w:rsidR="00EF72E6">
          <w:rPr>
            <w:webHidden/>
          </w:rPr>
        </w:r>
        <w:r w:rsidR="00EF72E6">
          <w:rPr>
            <w:webHidden/>
          </w:rPr>
          <w:fldChar w:fldCharType="separate"/>
        </w:r>
        <w:r w:rsidR="00F14BED">
          <w:rPr>
            <w:webHidden/>
          </w:rPr>
          <w:t>43</w:t>
        </w:r>
        <w:r w:rsidR="00EF72E6">
          <w:rPr>
            <w:webHidden/>
          </w:rPr>
          <w:fldChar w:fldCharType="end"/>
        </w:r>
      </w:hyperlink>
    </w:p>
    <w:p w14:paraId="0AF91292" w14:textId="3EE36F4A"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93" w:history="1">
        <w:r w:rsidR="00EF72E6" w:rsidRPr="00193896">
          <w:rPr>
            <w:rStyle w:val="Hipervnculo"/>
          </w:rPr>
          <w:t>6.2.4</w:t>
        </w:r>
        <w:r w:rsidR="00EF72E6">
          <w:rPr>
            <w:rFonts w:asciiTheme="minorHAnsi" w:eastAsiaTheme="minorEastAsia" w:hAnsiTheme="minorHAnsi" w:cstheme="minorBidi"/>
            <w:sz w:val="22"/>
            <w:szCs w:val="22"/>
            <w:lang w:val="es-CL" w:eastAsia="es-CL"/>
          </w:rPr>
          <w:tab/>
        </w:r>
        <w:r w:rsidR="00EF72E6" w:rsidRPr="00193896">
          <w:rPr>
            <w:rStyle w:val="Hipervnculo"/>
          </w:rPr>
          <w:t>Diseño y dimensionamiento de las actividades de operación y mantenimiento en terreno</w:t>
        </w:r>
        <w:r w:rsidR="00EF72E6">
          <w:rPr>
            <w:webHidden/>
          </w:rPr>
          <w:tab/>
        </w:r>
        <w:r w:rsidR="00EF72E6">
          <w:rPr>
            <w:webHidden/>
          </w:rPr>
          <w:fldChar w:fldCharType="begin"/>
        </w:r>
        <w:r w:rsidR="00EF72E6">
          <w:rPr>
            <w:webHidden/>
          </w:rPr>
          <w:instrText xml:space="preserve"> PAGEREF _Toc34687193 \h </w:instrText>
        </w:r>
        <w:r w:rsidR="00EF72E6">
          <w:rPr>
            <w:webHidden/>
          </w:rPr>
        </w:r>
        <w:r w:rsidR="00EF72E6">
          <w:rPr>
            <w:webHidden/>
          </w:rPr>
          <w:fldChar w:fldCharType="separate"/>
        </w:r>
        <w:r w:rsidR="00F14BED">
          <w:rPr>
            <w:webHidden/>
          </w:rPr>
          <w:t>45</w:t>
        </w:r>
        <w:r w:rsidR="00EF72E6">
          <w:rPr>
            <w:webHidden/>
          </w:rPr>
          <w:fldChar w:fldCharType="end"/>
        </w:r>
      </w:hyperlink>
    </w:p>
    <w:p w14:paraId="104A1839" w14:textId="17B887A5" w:rsidR="00EF72E6" w:rsidRDefault="00F5226B">
      <w:pPr>
        <w:pStyle w:val="TDC4"/>
        <w:rPr>
          <w:rFonts w:asciiTheme="minorHAnsi" w:eastAsiaTheme="minorEastAsia" w:hAnsiTheme="minorHAnsi" w:cstheme="minorBidi"/>
          <w:spacing w:val="0"/>
          <w:sz w:val="22"/>
          <w:szCs w:val="22"/>
          <w:lang w:val="es-CL" w:eastAsia="es-CL"/>
        </w:rPr>
      </w:pPr>
      <w:hyperlink w:anchor="_Toc34687194" w:history="1">
        <w:r w:rsidR="00EF72E6" w:rsidRPr="00193896">
          <w:rPr>
            <w:rStyle w:val="Hipervnculo"/>
          </w:rPr>
          <w:t>6.2.4.1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Definición de las cuadrillas de terreno</w:t>
        </w:r>
        <w:r w:rsidR="00EF72E6">
          <w:rPr>
            <w:webHidden/>
          </w:rPr>
          <w:tab/>
        </w:r>
        <w:r w:rsidR="00EF72E6">
          <w:rPr>
            <w:webHidden/>
          </w:rPr>
          <w:fldChar w:fldCharType="begin"/>
        </w:r>
        <w:r w:rsidR="00EF72E6">
          <w:rPr>
            <w:webHidden/>
          </w:rPr>
          <w:instrText xml:space="preserve"> PAGEREF _Toc34687194 \h </w:instrText>
        </w:r>
        <w:r w:rsidR="00EF72E6">
          <w:rPr>
            <w:webHidden/>
          </w:rPr>
        </w:r>
        <w:r w:rsidR="00EF72E6">
          <w:rPr>
            <w:webHidden/>
          </w:rPr>
          <w:fldChar w:fldCharType="separate"/>
        </w:r>
        <w:r w:rsidR="00F14BED">
          <w:rPr>
            <w:webHidden/>
          </w:rPr>
          <w:t>49</w:t>
        </w:r>
        <w:r w:rsidR="00EF72E6">
          <w:rPr>
            <w:webHidden/>
          </w:rPr>
          <w:fldChar w:fldCharType="end"/>
        </w:r>
      </w:hyperlink>
    </w:p>
    <w:p w14:paraId="05900A7E" w14:textId="1C7B9B02" w:rsidR="00EF72E6" w:rsidRDefault="00F5226B">
      <w:pPr>
        <w:pStyle w:val="TDC4"/>
        <w:rPr>
          <w:rFonts w:asciiTheme="minorHAnsi" w:eastAsiaTheme="minorEastAsia" w:hAnsiTheme="minorHAnsi" w:cstheme="minorBidi"/>
          <w:spacing w:val="0"/>
          <w:sz w:val="22"/>
          <w:szCs w:val="22"/>
          <w:lang w:val="es-CL" w:eastAsia="es-CL"/>
        </w:rPr>
      </w:pPr>
      <w:hyperlink w:anchor="_Toc34687195" w:history="1">
        <w:r w:rsidR="00EF72E6" w:rsidRPr="00193896">
          <w:rPr>
            <w:rStyle w:val="Hipervnculo"/>
          </w:rPr>
          <w:t>6.2.4.2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Tratamiento de las distancias recorridas para las faenas de OyM</w:t>
        </w:r>
        <w:r w:rsidR="00EF72E6">
          <w:rPr>
            <w:webHidden/>
          </w:rPr>
          <w:tab/>
        </w:r>
        <w:r w:rsidR="00EF72E6">
          <w:rPr>
            <w:webHidden/>
          </w:rPr>
          <w:fldChar w:fldCharType="begin"/>
        </w:r>
        <w:r w:rsidR="00EF72E6">
          <w:rPr>
            <w:webHidden/>
          </w:rPr>
          <w:instrText xml:space="preserve"> PAGEREF _Toc34687195 \h </w:instrText>
        </w:r>
        <w:r w:rsidR="00EF72E6">
          <w:rPr>
            <w:webHidden/>
          </w:rPr>
        </w:r>
        <w:r w:rsidR="00EF72E6">
          <w:rPr>
            <w:webHidden/>
          </w:rPr>
          <w:fldChar w:fldCharType="separate"/>
        </w:r>
        <w:r w:rsidR="00F14BED">
          <w:rPr>
            <w:webHidden/>
          </w:rPr>
          <w:t>51</w:t>
        </w:r>
        <w:r w:rsidR="00EF72E6">
          <w:rPr>
            <w:webHidden/>
          </w:rPr>
          <w:fldChar w:fldCharType="end"/>
        </w:r>
      </w:hyperlink>
    </w:p>
    <w:p w14:paraId="01EF37B4" w14:textId="22CD3298"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196" w:history="1">
        <w:r w:rsidR="00EF72E6" w:rsidRPr="00193896">
          <w:rPr>
            <w:rStyle w:val="Hipervnculo"/>
          </w:rPr>
          <w:t>6.2.5</w:t>
        </w:r>
        <w:r w:rsidR="00EF72E6">
          <w:rPr>
            <w:rFonts w:asciiTheme="minorHAnsi" w:eastAsiaTheme="minorEastAsia" w:hAnsiTheme="minorHAnsi" w:cstheme="minorBidi"/>
            <w:sz w:val="22"/>
            <w:szCs w:val="22"/>
            <w:lang w:val="es-CL" w:eastAsia="es-CL"/>
          </w:rPr>
          <w:tab/>
        </w:r>
        <w:r w:rsidR="00EF72E6" w:rsidRPr="00193896">
          <w:rPr>
            <w:rStyle w:val="Hipervnculo"/>
          </w:rPr>
          <w:t>Remuneraciones</w:t>
        </w:r>
        <w:r w:rsidR="00EF72E6">
          <w:rPr>
            <w:webHidden/>
          </w:rPr>
          <w:tab/>
        </w:r>
        <w:r w:rsidR="00EF72E6">
          <w:rPr>
            <w:webHidden/>
          </w:rPr>
          <w:fldChar w:fldCharType="begin"/>
        </w:r>
        <w:r w:rsidR="00EF72E6">
          <w:rPr>
            <w:webHidden/>
          </w:rPr>
          <w:instrText xml:space="preserve"> PAGEREF _Toc34687196 \h </w:instrText>
        </w:r>
        <w:r w:rsidR="00EF72E6">
          <w:rPr>
            <w:webHidden/>
          </w:rPr>
        </w:r>
        <w:r w:rsidR="00EF72E6">
          <w:rPr>
            <w:webHidden/>
          </w:rPr>
          <w:fldChar w:fldCharType="separate"/>
        </w:r>
        <w:r w:rsidR="00F14BED">
          <w:rPr>
            <w:webHidden/>
          </w:rPr>
          <w:t>54</w:t>
        </w:r>
        <w:r w:rsidR="00EF72E6">
          <w:rPr>
            <w:webHidden/>
          </w:rPr>
          <w:fldChar w:fldCharType="end"/>
        </w:r>
      </w:hyperlink>
    </w:p>
    <w:p w14:paraId="5138A325" w14:textId="5F7F9509" w:rsidR="00EF72E6" w:rsidRDefault="00F5226B">
      <w:pPr>
        <w:pStyle w:val="TDC4"/>
        <w:rPr>
          <w:rFonts w:asciiTheme="minorHAnsi" w:eastAsiaTheme="minorEastAsia" w:hAnsiTheme="minorHAnsi" w:cstheme="minorBidi"/>
          <w:spacing w:val="0"/>
          <w:sz w:val="22"/>
          <w:szCs w:val="22"/>
          <w:lang w:val="es-CL" w:eastAsia="es-CL"/>
        </w:rPr>
      </w:pPr>
      <w:hyperlink w:anchor="_Toc34687197" w:history="1">
        <w:r w:rsidR="00EF72E6" w:rsidRPr="00193896">
          <w:rPr>
            <w:rStyle w:val="Hipervnculo"/>
          </w:rPr>
          <w:t>6.2.5.1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Introducción</w:t>
        </w:r>
        <w:r w:rsidR="00EF72E6">
          <w:rPr>
            <w:webHidden/>
          </w:rPr>
          <w:tab/>
        </w:r>
        <w:r w:rsidR="00EF72E6">
          <w:rPr>
            <w:webHidden/>
          </w:rPr>
          <w:fldChar w:fldCharType="begin"/>
        </w:r>
        <w:r w:rsidR="00EF72E6">
          <w:rPr>
            <w:webHidden/>
          </w:rPr>
          <w:instrText xml:space="preserve"> PAGEREF _Toc34687197 \h </w:instrText>
        </w:r>
        <w:r w:rsidR="00EF72E6">
          <w:rPr>
            <w:webHidden/>
          </w:rPr>
        </w:r>
        <w:r w:rsidR="00EF72E6">
          <w:rPr>
            <w:webHidden/>
          </w:rPr>
          <w:fldChar w:fldCharType="separate"/>
        </w:r>
        <w:r w:rsidR="00F14BED">
          <w:rPr>
            <w:webHidden/>
          </w:rPr>
          <w:t>54</w:t>
        </w:r>
        <w:r w:rsidR="00EF72E6">
          <w:rPr>
            <w:webHidden/>
          </w:rPr>
          <w:fldChar w:fldCharType="end"/>
        </w:r>
      </w:hyperlink>
    </w:p>
    <w:p w14:paraId="04D7A979" w14:textId="62600330" w:rsidR="00EF72E6" w:rsidRDefault="00F5226B">
      <w:pPr>
        <w:pStyle w:val="TDC4"/>
        <w:rPr>
          <w:rFonts w:asciiTheme="minorHAnsi" w:eastAsiaTheme="minorEastAsia" w:hAnsiTheme="minorHAnsi" w:cstheme="minorBidi"/>
          <w:spacing w:val="0"/>
          <w:sz w:val="22"/>
          <w:szCs w:val="22"/>
          <w:lang w:val="es-CL" w:eastAsia="es-CL"/>
        </w:rPr>
      </w:pPr>
      <w:hyperlink w:anchor="_Toc34687198" w:history="1">
        <w:r w:rsidR="00EF72E6" w:rsidRPr="00193896">
          <w:rPr>
            <w:rStyle w:val="Hipervnculo"/>
          </w:rPr>
          <w:t>6.2.5.2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Metodología y Fuentes de Información</w:t>
        </w:r>
        <w:r w:rsidR="00EF72E6">
          <w:rPr>
            <w:webHidden/>
          </w:rPr>
          <w:tab/>
        </w:r>
        <w:r w:rsidR="00EF72E6">
          <w:rPr>
            <w:webHidden/>
          </w:rPr>
          <w:fldChar w:fldCharType="begin"/>
        </w:r>
        <w:r w:rsidR="00EF72E6">
          <w:rPr>
            <w:webHidden/>
          </w:rPr>
          <w:instrText xml:space="preserve"> PAGEREF _Toc34687198 \h </w:instrText>
        </w:r>
        <w:r w:rsidR="00EF72E6">
          <w:rPr>
            <w:webHidden/>
          </w:rPr>
        </w:r>
        <w:r w:rsidR="00EF72E6">
          <w:rPr>
            <w:webHidden/>
          </w:rPr>
          <w:fldChar w:fldCharType="separate"/>
        </w:r>
        <w:r w:rsidR="00F14BED">
          <w:rPr>
            <w:webHidden/>
          </w:rPr>
          <w:t>54</w:t>
        </w:r>
        <w:r w:rsidR="00EF72E6">
          <w:rPr>
            <w:webHidden/>
          </w:rPr>
          <w:fldChar w:fldCharType="end"/>
        </w:r>
      </w:hyperlink>
    </w:p>
    <w:p w14:paraId="608D4811" w14:textId="484D0772" w:rsidR="00EF72E6" w:rsidRDefault="00F5226B">
      <w:pPr>
        <w:pStyle w:val="TDC4"/>
        <w:rPr>
          <w:rFonts w:asciiTheme="minorHAnsi" w:eastAsiaTheme="minorEastAsia" w:hAnsiTheme="minorHAnsi" w:cstheme="minorBidi"/>
          <w:spacing w:val="0"/>
          <w:sz w:val="22"/>
          <w:szCs w:val="22"/>
          <w:lang w:val="es-CL" w:eastAsia="es-CL"/>
        </w:rPr>
      </w:pPr>
      <w:hyperlink w:anchor="_Toc34687199" w:history="1">
        <w:r w:rsidR="00EF72E6" w:rsidRPr="00193896">
          <w:rPr>
            <w:rStyle w:val="Hipervnculo"/>
          </w:rPr>
          <w:t>6.2.5.3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Fundamentación de la Muestra Propuesta</w:t>
        </w:r>
        <w:r w:rsidR="00EF72E6">
          <w:rPr>
            <w:webHidden/>
          </w:rPr>
          <w:tab/>
        </w:r>
        <w:r w:rsidR="00EF72E6">
          <w:rPr>
            <w:webHidden/>
          </w:rPr>
          <w:fldChar w:fldCharType="begin"/>
        </w:r>
        <w:r w:rsidR="00EF72E6">
          <w:rPr>
            <w:webHidden/>
          </w:rPr>
          <w:instrText xml:space="preserve"> PAGEREF _Toc34687199 \h </w:instrText>
        </w:r>
        <w:r w:rsidR="00EF72E6">
          <w:rPr>
            <w:webHidden/>
          </w:rPr>
        </w:r>
        <w:r w:rsidR="00EF72E6">
          <w:rPr>
            <w:webHidden/>
          </w:rPr>
          <w:fldChar w:fldCharType="separate"/>
        </w:r>
        <w:r w:rsidR="00F14BED">
          <w:rPr>
            <w:webHidden/>
          </w:rPr>
          <w:t>56</w:t>
        </w:r>
        <w:r w:rsidR="00EF72E6">
          <w:rPr>
            <w:webHidden/>
          </w:rPr>
          <w:fldChar w:fldCharType="end"/>
        </w:r>
      </w:hyperlink>
    </w:p>
    <w:p w14:paraId="2712AE76" w14:textId="43F8CB8F" w:rsidR="00EF72E6" w:rsidRDefault="00F5226B">
      <w:pPr>
        <w:pStyle w:val="TDC4"/>
        <w:rPr>
          <w:rFonts w:asciiTheme="minorHAnsi" w:eastAsiaTheme="minorEastAsia" w:hAnsiTheme="minorHAnsi" w:cstheme="minorBidi"/>
          <w:spacing w:val="0"/>
          <w:sz w:val="22"/>
          <w:szCs w:val="22"/>
          <w:lang w:val="es-CL" w:eastAsia="es-CL"/>
        </w:rPr>
      </w:pPr>
      <w:hyperlink w:anchor="_Toc34687200" w:history="1">
        <w:r w:rsidR="00EF72E6" w:rsidRPr="00193896">
          <w:rPr>
            <w:rStyle w:val="Hipervnculo"/>
          </w:rPr>
          <w:t>6.2.5.4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Costos de personal empresa modelo</w:t>
        </w:r>
        <w:r w:rsidR="00EF72E6">
          <w:rPr>
            <w:webHidden/>
          </w:rPr>
          <w:tab/>
        </w:r>
        <w:r w:rsidR="00EF72E6">
          <w:rPr>
            <w:webHidden/>
          </w:rPr>
          <w:fldChar w:fldCharType="begin"/>
        </w:r>
        <w:r w:rsidR="00EF72E6">
          <w:rPr>
            <w:webHidden/>
          </w:rPr>
          <w:instrText xml:space="preserve"> PAGEREF _Toc34687200 \h </w:instrText>
        </w:r>
        <w:r w:rsidR="00EF72E6">
          <w:rPr>
            <w:webHidden/>
          </w:rPr>
        </w:r>
        <w:r w:rsidR="00EF72E6">
          <w:rPr>
            <w:webHidden/>
          </w:rPr>
          <w:fldChar w:fldCharType="separate"/>
        </w:r>
        <w:r w:rsidR="00F14BED">
          <w:rPr>
            <w:webHidden/>
          </w:rPr>
          <w:t>57</w:t>
        </w:r>
        <w:r w:rsidR="00EF72E6">
          <w:rPr>
            <w:webHidden/>
          </w:rPr>
          <w:fldChar w:fldCharType="end"/>
        </w:r>
      </w:hyperlink>
    </w:p>
    <w:p w14:paraId="12BBA921" w14:textId="0E0908F0" w:rsidR="00EF72E6" w:rsidRDefault="00F5226B">
      <w:pPr>
        <w:pStyle w:val="TDC4"/>
        <w:rPr>
          <w:rFonts w:asciiTheme="minorHAnsi" w:eastAsiaTheme="minorEastAsia" w:hAnsiTheme="minorHAnsi" w:cstheme="minorBidi"/>
          <w:spacing w:val="0"/>
          <w:sz w:val="22"/>
          <w:szCs w:val="22"/>
          <w:lang w:val="es-CL" w:eastAsia="es-CL"/>
        </w:rPr>
      </w:pPr>
      <w:hyperlink w:anchor="_Toc34687201" w:history="1">
        <w:r w:rsidR="00EF72E6" w:rsidRPr="00193896">
          <w:rPr>
            <w:rStyle w:val="Hipervnculo"/>
          </w:rPr>
          <w:t>6.2.5.5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Homologación de cargos</w:t>
        </w:r>
        <w:r w:rsidR="00EF72E6">
          <w:rPr>
            <w:webHidden/>
          </w:rPr>
          <w:tab/>
        </w:r>
        <w:r w:rsidR="00EF72E6">
          <w:rPr>
            <w:webHidden/>
          </w:rPr>
          <w:fldChar w:fldCharType="begin"/>
        </w:r>
        <w:r w:rsidR="00EF72E6">
          <w:rPr>
            <w:webHidden/>
          </w:rPr>
          <w:instrText xml:space="preserve"> PAGEREF _Toc34687201 \h </w:instrText>
        </w:r>
        <w:r w:rsidR="00EF72E6">
          <w:rPr>
            <w:webHidden/>
          </w:rPr>
        </w:r>
        <w:r w:rsidR="00EF72E6">
          <w:rPr>
            <w:webHidden/>
          </w:rPr>
          <w:fldChar w:fldCharType="separate"/>
        </w:r>
        <w:r w:rsidR="00F14BED">
          <w:rPr>
            <w:webHidden/>
          </w:rPr>
          <w:t>60</w:t>
        </w:r>
        <w:r w:rsidR="00EF72E6">
          <w:rPr>
            <w:webHidden/>
          </w:rPr>
          <w:fldChar w:fldCharType="end"/>
        </w:r>
      </w:hyperlink>
    </w:p>
    <w:p w14:paraId="44541CAC" w14:textId="5E45C776" w:rsidR="00EF72E6" w:rsidRDefault="00F5226B">
      <w:pPr>
        <w:pStyle w:val="TDC4"/>
        <w:rPr>
          <w:rFonts w:asciiTheme="minorHAnsi" w:eastAsiaTheme="minorEastAsia" w:hAnsiTheme="minorHAnsi" w:cstheme="minorBidi"/>
          <w:spacing w:val="0"/>
          <w:sz w:val="22"/>
          <w:szCs w:val="22"/>
          <w:lang w:val="es-CL" w:eastAsia="es-CL"/>
        </w:rPr>
      </w:pPr>
      <w:hyperlink w:anchor="_Toc34687202" w:history="1">
        <w:r w:rsidR="00EF72E6" w:rsidRPr="00193896">
          <w:rPr>
            <w:rStyle w:val="Hipervnculo"/>
          </w:rPr>
          <w:t>6.2.5.6</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Régimen de horas extras y guardias pasiva</w:t>
        </w:r>
        <w:r w:rsidR="00EF72E6">
          <w:rPr>
            <w:webHidden/>
          </w:rPr>
          <w:tab/>
        </w:r>
        <w:r w:rsidR="00EF72E6">
          <w:rPr>
            <w:webHidden/>
          </w:rPr>
          <w:fldChar w:fldCharType="begin"/>
        </w:r>
        <w:r w:rsidR="00EF72E6">
          <w:rPr>
            <w:webHidden/>
          </w:rPr>
          <w:instrText xml:space="preserve"> PAGEREF _Toc34687202 \h </w:instrText>
        </w:r>
        <w:r w:rsidR="00EF72E6">
          <w:rPr>
            <w:webHidden/>
          </w:rPr>
        </w:r>
        <w:r w:rsidR="00EF72E6">
          <w:rPr>
            <w:webHidden/>
          </w:rPr>
          <w:fldChar w:fldCharType="separate"/>
        </w:r>
        <w:r w:rsidR="00F14BED">
          <w:rPr>
            <w:webHidden/>
          </w:rPr>
          <w:t>61</w:t>
        </w:r>
        <w:r w:rsidR="00EF72E6">
          <w:rPr>
            <w:webHidden/>
          </w:rPr>
          <w:fldChar w:fldCharType="end"/>
        </w:r>
      </w:hyperlink>
    </w:p>
    <w:p w14:paraId="69DCC979" w14:textId="015CBED3"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03" w:history="1">
        <w:r w:rsidR="00EF72E6" w:rsidRPr="00193896">
          <w:rPr>
            <w:rStyle w:val="Hipervnculo"/>
          </w:rPr>
          <w:t>6.2.6</w:t>
        </w:r>
        <w:r w:rsidR="00EF72E6">
          <w:rPr>
            <w:rFonts w:asciiTheme="minorHAnsi" w:eastAsiaTheme="minorEastAsia" w:hAnsiTheme="minorHAnsi" w:cstheme="minorBidi"/>
            <w:sz w:val="22"/>
            <w:szCs w:val="22"/>
            <w:lang w:val="es-CL" w:eastAsia="es-CL"/>
          </w:rPr>
          <w:tab/>
        </w:r>
        <w:r w:rsidR="00EF72E6" w:rsidRPr="00193896">
          <w:rPr>
            <w:rStyle w:val="Hipervnculo"/>
          </w:rPr>
          <w:t>Costos de rotación del personal</w:t>
        </w:r>
        <w:r w:rsidR="00EF72E6">
          <w:rPr>
            <w:webHidden/>
          </w:rPr>
          <w:tab/>
        </w:r>
        <w:r w:rsidR="00EF72E6">
          <w:rPr>
            <w:webHidden/>
          </w:rPr>
          <w:fldChar w:fldCharType="begin"/>
        </w:r>
        <w:r w:rsidR="00EF72E6">
          <w:rPr>
            <w:webHidden/>
          </w:rPr>
          <w:instrText xml:space="preserve"> PAGEREF _Toc34687203 \h </w:instrText>
        </w:r>
        <w:r w:rsidR="00EF72E6">
          <w:rPr>
            <w:webHidden/>
          </w:rPr>
        </w:r>
        <w:r w:rsidR="00EF72E6">
          <w:rPr>
            <w:webHidden/>
          </w:rPr>
          <w:fldChar w:fldCharType="separate"/>
        </w:r>
        <w:r w:rsidR="00F14BED">
          <w:rPr>
            <w:webHidden/>
          </w:rPr>
          <w:t>62</w:t>
        </w:r>
        <w:r w:rsidR="00EF72E6">
          <w:rPr>
            <w:webHidden/>
          </w:rPr>
          <w:fldChar w:fldCharType="end"/>
        </w:r>
      </w:hyperlink>
    </w:p>
    <w:p w14:paraId="562A22BD" w14:textId="58D0CE48"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04" w:history="1">
        <w:r w:rsidR="00EF72E6" w:rsidRPr="00193896">
          <w:rPr>
            <w:rStyle w:val="Hipervnculo"/>
          </w:rPr>
          <w:t>6.2.7</w:t>
        </w:r>
        <w:r w:rsidR="00EF72E6">
          <w:rPr>
            <w:rFonts w:asciiTheme="minorHAnsi" w:eastAsiaTheme="minorEastAsia" w:hAnsiTheme="minorHAnsi" w:cstheme="minorBidi"/>
            <w:sz w:val="22"/>
            <w:szCs w:val="22"/>
            <w:lang w:val="es-CL" w:eastAsia="es-CL"/>
          </w:rPr>
          <w:tab/>
        </w:r>
        <w:r w:rsidR="00EF72E6" w:rsidRPr="00193896">
          <w:rPr>
            <w:rStyle w:val="Hipervnculo"/>
          </w:rPr>
          <w:t>Análisis de tercerización de actividades</w:t>
        </w:r>
        <w:r w:rsidR="00EF72E6">
          <w:rPr>
            <w:webHidden/>
          </w:rPr>
          <w:tab/>
        </w:r>
        <w:r w:rsidR="00EF72E6">
          <w:rPr>
            <w:webHidden/>
          </w:rPr>
          <w:fldChar w:fldCharType="begin"/>
        </w:r>
        <w:r w:rsidR="00EF72E6">
          <w:rPr>
            <w:webHidden/>
          </w:rPr>
          <w:instrText xml:space="preserve"> PAGEREF _Toc34687204 \h </w:instrText>
        </w:r>
        <w:r w:rsidR="00EF72E6">
          <w:rPr>
            <w:webHidden/>
          </w:rPr>
        </w:r>
        <w:r w:rsidR="00EF72E6">
          <w:rPr>
            <w:webHidden/>
          </w:rPr>
          <w:fldChar w:fldCharType="separate"/>
        </w:r>
        <w:r w:rsidR="00F14BED">
          <w:rPr>
            <w:webHidden/>
          </w:rPr>
          <w:t>63</w:t>
        </w:r>
        <w:r w:rsidR="00EF72E6">
          <w:rPr>
            <w:webHidden/>
          </w:rPr>
          <w:fldChar w:fldCharType="end"/>
        </w:r>
      </w:hyperlink>
    </w:p>
    <w:p w14:paraId="29838933" w14:textId="0F5B6B43" w:rsidR="00EF72E6" w:rsidRDefault="00F5226B">
      <w:pPr>
        <w:pStyle w:val="TDC4"/>
        <w:rPr>
          <w:rFonts w:asciiTheme="minorHAnsi" w:eastAsiaTheme="minorEastAsia" w:hAnsiTheme="minorHAnsi" w:cstheme="minorBidi"/>
          <w:spacing w:val="0"/>
          <w:sz w:val="22"/>
          <w:szCs w:val="22"/>
          <w:lang w:val="es-CL" w:eastAsia="es-CL"/>
        </w:rPr>
      </w:pPr>
      <w:hyperlink w:anchor="_Toc34687205" w:history="1">
        <w:r w:rsidR="00EF72E6" w:rsidRPr="00193896">
          <w:rPr>
            <w:rStyle w:val="Hipervnculo"/>
          </w:rPr>
          <w:t>6.2.7.1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Análisis de la importancia estratégica</w:t>
        </w:r>
        <w:r w:rsidR="00EF72E6">
          <w:rPr>
            <w:webHidden/>
          </w:rPr>
          <w:tab/>
        </w:r>
        <w:r w:rsidR="00EF72E6">
          <w:rPr>
            <w:webHidden/>
          </w:rPr>
          <w:fldChar w:fldCharType="begin"/>
        </w:r>
        <w:r w:rsidR="00EF72E6">
          <w:rPr>
            <w:webHidden/>
          </w:rPr>
          <w:instrText xml:space="preserve"> PAGEREF _Toc34687205 \h </w:instrText>
        </w:r>
        <w:r w:rsidR="00EF72E6">
          <w:rPr>
            <w:webHidden/>
          </w:rPr>
        </w:r>
        <w:r w:rsidR="00EF72E6">
          <w:rPr>
            <w:webHidden/>
          </w:rPr>
          <w:fldChar w:fldCharType="separate"/>
        </w:r>
        <w:r w:rsidR="00F14BED">
          <w:rPr>
            <w:webHidden/>
          </w:rPr>
          <w:t>63</w:t>
        </w:r>
        <w:r w:rsidR="00EF72E6">
          <w:rPr>
            <w:webHidden/>
          </w:rPr>
          <w:fldChar w:fldCharType="end"/>
        </w:r>
      </w:hyperlink>
    </w:p>
    <w:p w14:paraId="36332984" w14:textId="36A7140D" w:rsidR="00EF72E6" w:rsidRDefault="00F5226B">
      <w:pPr>
        <w:pStyle w:val="TDC4"/>
        <w:rPr>
          <w:rFonts w:asciiTheme="minorHAnsi" w:eastAsiaTheme="minorEastAsia" w:hAnsiTheme="minorHAnsi" w:cstheme="minorBidi"/>
          <w:spacing w:val="0"/>
          <w:sz w:val="22"/>
          <w:szCs w:val="22"/>
          <w:lang w:val="es-CL" w:eastAsia="es-CL"/>
        </w:rPr>
      </w:pPr>
      <w:hyperlink w:anchor="_Toc34687206" w:history="1">
        <w:r w:rsidR="00EF72E6" w:rsidRPr="00193896">
          <w:rPr>
            <w:rStyle w:val="Hipervnculo"/>
          </w:rPr>
          <w:t>6.2.7.2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Análisis de la conveniencia económica</w:t>
        </w:r>
        <w:r w:rsidR="00EF72E6">
          <w:rPr>
            <w:webHidden/>
          </w:rPr>
          <w:tab/>
        </w:r>
        <w:r w:rsidR="00EF72E6">
          <w:rPr>
            <w:webHidden/>
          </w:rPr>
          <w:fldChar w:fldCharType="begin"/>
        </w:r>
        <w:r w:rsidR="00EF72E6">
          <w:rPr>
            <w:webHidden/>
          </w:rPr>
          <w:instrText xml:space="preserve"> PAGEREF _Toc34687206 \h </w:instrText>
        </w:r>
        <w:r w:rsidR="00EF72E6">
          <w:rPr>
            <w:webHidden/>
          </w:rPr>
        </w:r>
        <w:r w:rsidR="00EF72E6">
          <w:rPr>
            <w:webHidden/>
          </w:rPr>
          <w:fldChar w:fldCharType="separate"/>
        </w:r>
        <w:r w:rsidR="00F14BED">
          <w:rPr>
            <w:webHidden/>
          </w:rPr>
          <w:t>65</w:t>
        </w:r>
        <w:r w:rsidR="00EF72E6">
          <w:rPr>
            <w:webHidden/>
          </w:rPr>
          <w:fldChar w:fldCharType="end"/>
        </w:r>
      </w:hyperlink>
    </w:p>
    <w:p w14:paraId="63CC8B70" w14:textId="515B4EDF"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07" w:history="1">
        <w:r w:rsidR="00EF72E6" w:rsidRPr="00193896">
          <w:rPr>
            <w:rStyle w:val="Hipervnculo"/>
          </w:rPr>
          <w:t>6.2.8</w:t>
        </w:r>
        <w:r w:rsidR="00EF72E6">
          <w:rPr>
            <w:rFonts w:asciiTheme="minorHAnsi" w:eastAsiaTheme="minorEastAsia" w:hAnsiTheme="minorHAnsi" w:cstheme="minorBidi"/>
            <w:sz w:val="22"/>
            <w:szCs w:val="22"/>
            <w:lang w:val="es-CL" w:eastAsia="es-CL"/>
          </w:rPr>
          <w:tab/>
        </w:r>
        <w:r w:rsidR="00EF72E6" w:rsidRPr="00193896">
          <w:rPr>
            <w:rStyle w:val="Hipervnculo"/>
          </w:rPr>
          <w:t>Valorización de los recursos a precios de mercado</w:t>
        </w:r>
        <w:r w:rsidR="00EF72E6">
          <w:rPr>
            <w:webHidden/>
          </w:rPr>
          <w:tab/>
        </w:r>
        <w:r w:rsidR="00EF72E6">
          <w:rPr>
            <w:webHidden/>
          </w:rPr>
          <w:fldChar w:fldCharType="begin"/>
        </w:r>
        <w:r w:rsidR="00EF72E6">
          <w:rPr>
            <w:webHidden/>
          </w:rPr>
          <w:instrText xml:space="preserve"> PAGEREF _Toc34687207 \h </w:instrText>
        </w:r>
        <w:r w:rsidR="00EF72E6">
          <w:rPr>
            <w:webHidden/>
          </w:rPr>
        </w:r>
        <w:r w:rsidR="00EF72E6">
          <w:rPr>
            <w:webHidden/>
          </w:rPr>
          <w:fldChar w:fldCharType="separate"/>
        </w:r>
        <w:r w:rsidR="00F14BED">
          <w:rPr>
            <w:webHidden/>
          </w:rPr>
          <w:t>68</w:t>
        </w:r>
        <w:r w:rsidR="00EF72E6">
          <w:rPr>
            <w:webHidden/>
          </w:rPr>
          <w:fldChar w:fldCharType="end"/>
        </w:r>
      </w:hyperlink>
    </w:p>
    <w:p w14:paraId="390E2367" w14:textId="54D04990" w:rsidR="00EF72E6" w:rsidRDefault="00F5226B">
      <w:pPr>
        <w:pStyle w:val="TDC4"/>
        <w:rPr>
          <w:rFonts w:asciiTheme="minorHAnsi" w:eastAsiaTheme="minorEastAsia" w:hAnsiTheme="minorHAnsi" w:cstheme="minorBidi"/>
          <w:spacing w:val="0"/>
          <w:sz w:val="22"/>
          <w:szCs w:val="22"/>
          <w:lang w:val="es-CL" w:eastAsia="es-CL"/>
        </w:rPr>
      </w:pPr>
      <w:hyperlink w:anchor="_Toc34687208" w:history="1">
        <w:r w:rsidR="00EF72E6" w:rsidRPr="00193896">
          <w:rPr>
            <w:rStyle w:val="Hipervnculo"/>
          </w:rPr>
          <w:t>6.2.8.1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Personal propio</w:t>
        </w:r>
        <w:r w:rsidR="00EF72E6">
          <w:rPr>
            <w:webHidden/>
          </w:rPr>
          <w:tab/>
        </w:r>
        <w:r w:rsidR="00EF72E6">
          <w:rPr>
            <w:webHidden/>
          </w:rPr>
          <w:fldChar w:fldCharType="begin"/>
        </w:r>
        <w:r w:rsidR="00EF72E6">
          <w:rPr>
            <w:webHidden/>
          </w:rPr>
          <w:instrText xml:space="preserve"> PAGEREF _Toc34687208 \h </w:instrText>
        </w:r>
        <w:r w:rsidR="00EF72E6">
          <w:rPr>
            <w:webHidden/>
          </w:rPr>
        </w:r>
        <w:r w:rsidR="00EF72E6">
          <w:rPr>
            <w:webHidden/>
          </w:rPr>
          <w:fldChar w:fldCharType="separate"/>
        </w:r>
        <w:r w:rsidR="00F14BED">
          <w:rPr>
            <w:webHidden/>
          </w:rPr>
          <w:t>69</w:t>
        </w:r>
        <w:r w:rsidR="00EF72E6">
          <w:rPr>
            <w:webHidden/>
          </w:rPr>
          <w:fldChar w:fldCharType="end"/>
        </w:r>
      </w:hyperlink>
    </w:p>
    <w:p w14:paraId="6E70E67B" w14:textId="6AB26A2B" w:rsidR="00EF72E6" w:rsidRDefault="00F5226B">
      <w:pPr>
        <w:pStyle w:val="TDC4"/>
        <w:rPr>
          <w:rFonts w:asciiTheme="minorHAnsi" w:eastAsiaTheme="minorEastAsia" w:hAnsiTheme="minorHAnsi" w:cstheme="minorBidi"/>
          <w:spacing w:val="0"/>
          <w:sz w:val="22"/>
          <w:szCs w:val="22"/>
          <w:lang w:val="es-CL" w:eastAsia="es-CL"/>
        </w:rPr>
      </w:pPr>
      <w:hyperlink w:anchor="_Toc34687209" w:history="1">
        <w:r w:rsidR="00EF72E6" w:rsidRPr="00193896">
          <w:rPr>
            <w:rStyle w:val="Hipervnculo"/>
          </w:rPr>
          <w:t>6.2.8.2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Servicios de operación y mantenimiento tercerizados</w:t>
        </w:r>
        <w:r w:rsidR="00EF72E6">
          <w:rPr>
            <w:webHidden/>
          </w:rPr>
          <w:tab/>
        </w:r>
        <w:r w:rsidR="00EF72E6">
          <w:rPr>
            <w:webHidden/>
          </w:rPr>
          <w:fldChar w:fldCharType="begin"/>
        </w:r>
        <w:r w:rsidR="00EF72E6">
          <w:rPr>
            <w:webHidden/>
          </w:rPr>
          <w:instrText xml:space="preserve"> PAGEREF _Toc34687209 \h </w:instrText>
        </w:r>
        <w:r w:rsidR="00EF72E6">
          <w:rPr>
            <w:webHidden/>
          </w:rPr>
        </w:r>
        <w:r w:rsidR="00EF72E6">
          <w:rPr>
            <w:webHidden/>
          </w:rPr>
          <w:fldChar w:fldCharType="separate"/>
        </w:r>
        <w:r w:rsidR="00F14BED">
          <w:rPr>
            <w:webHidden/>
          </w:rPr>
          <w:t>69</w:t>
        </w:r>
        <w:r w:rsidR="00EF72E6">
          <w:rPr>
            <w:webHidden/>
          </w:rPr>
          <w:fldChar w:fldCharType="end"/>
        </w:r>
      </w:hyperlink>
    </w:p>
    <w:p w14:paraId="7C46E222" w14:textId="67991FFD"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10" w:history="1">
        <w:r w:rsidR="00EF72E6" w:rsidRPr="00193896">
          <w:rPr>
            <w:rStyle w:val="Hipervnculo"/>
          </w:rPr>
          <w:t>6.2.9</w:t>
        </w:r>
        <w:r w:rsidR="00EF72E6">
          <w:rPr>
            <w:rFonts w:asciiTheme="minorHAnsi" w:eastAsiaTheme="minorEastAsia" w:hAnsiTheme="minorHAnsi" w:cstheme="minorBidi"/>
            <w:sz w:val="22"/>
            <w:szCs w:val="22"/>
            <w:lang w:val="es-CL" w:eastAsia="es-CL"/>
          </w:rPr>
          <w:tab/>
        </w:r>
        <w:r w:rsidR="00EF72E6" w:rsidRPr="00193896">
          <w:rPr>
            <w:rStyle w:val="Hipervnculo"/>
          </w:rPr>
          <w:t>Gastos generales y  otros servicios tercerizados</w:t>
        </w:r>
        <w:r w:rsidR="00EF72E6">
          <w:rPr>
            <w:webHidden/>
          </w:rPr>
          <w:tab/>
        </w:r>
        <w:r w:rsidR="00EF72E6">
          <w:rPr>
            <w:webHidden/>
          </w:rPr>
          <w:fldChar w:fldCharType="begin"/>
        </w:r>
        <w:r w:rsidR="00EF72E6">
          <w:rPr>
            <w:webHidden/>
          </w:rPr>
          <w:instrText xml:space="preserve"> PAGEREF _Toc34687210 \h </w:instrText>
        </w:r>
        <w:r w:rsidR="00EF72E6">
          <w:rPr>
            <w:webHidden/>
          </w:rPr>
        </w:r>
        <w:r w:rsidR="00EF72E6">
          <w:rPr>
            <w:webHidden/>
          </w:rPr>
          <w:fldChar w:fldCharType="separate"/>
        </w:r>
        <w:r w:rsidR="00F14BED">
          <w:rPr>
            <w:webHidden/>
          </w:rPr>
          <w:t>71</w:t>
        </w:r>
        <w:r w:rsidR="00EF72E6">
          <w:rPr>
            <w:webHidden/>
          </w:rPr>
          <w:fldChar w:fldCharType="end"/>
        </w:r>
      </w:hyperlink>
    </w:p>
    <w:p w14:paraId="465E3075" w14:textId="0AB9D924" w:rsidR="00EF72E6" w:rsidRDefault="00F5226B">
      <w:pPr>
        <w:pStyle w:val="TDC4"/>
        <w:rPr>
          <w:rFonts w:asciiTheme="minorHAnsi" w:eastAsiaTheme="minorEastAsia" w:hAnsiTheme="minorHAnsi" w:cstheme="minorBidi"/>
          <w:spacing w:val="0"/>
          <w:sz w:val="22"/>
          <w:szCs w:val="22"/>
          <w:lang w:val="es-CL" w:eastAsia="es-CL"/>
        </w:rPr>
      </w:pPr>
      <w:hyperlink w:anchor="_Toc34687211" w:history="1">
        <w:r w:rsidR="00EF72E6" w:rsidRPr="00193896">
          <w:rPr>
            <w:rStyle w:val="Hipervnculo"/>
          </w:rPr>
          <w:t>6.2.9.1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en seguridad (vigilancia) de subestaciones</w:t>
        </w:r>
        <w:r w:rsidR="00EF72E6">
          <w:rPr>
            <w:webHidden/>
          </w:rPr>
          <w:tab/>
        </w:r>
        <w:r w:rsidR="00EF72E6">
          <w:rPr>
            <w:webHidden/>
          </w:rPr>
          <w:fldChar w:fldCharType="begin"/>
        </w:r>
        <w:r w:rsidR="00EF72E6">
          <w:rPr>
            <w:webHidden/>
          </w:rPr>
          <w:instrText xml:space="preserve"> PAGEREF _Toc34687211 \h </w:instrText>
        </w:r>
        <w:r w:rsidR="00EF72E6">
          <w:rPr>
            <w:webHidden/>
          </w:rPr>
        </w:r>
        <w:r w:rsidR="00EF72E6">
          <w:rPr>
            <w:webHidden/>
          </w:rPr>
          <w:fldChar w:fldCharType="separate"/>
        </w:r>
        <w:r w:rsidR="00F14BED">
          <w:rPr>
            <w:webHidden/>
          </w:rPr>
          <w:t>71</w:t>
        </w:r>
        <w:r w:rsidR="00EF72E6">
          <w:rPr>
            <w:webHidden/>
          </w:rPr>
          <w:fldChar w:fldCharType="end"/>
        </w:r>
      </w:hyperlink>
    </w:p>
    <w:p w14:paraId="2675C6F5" w14:textId="2729007C" w:rsidR="00EF72E6" w:rsidRDefault="00F5226B">
      <w:pPr>
        <w:pStyle w:val="TDC4"/>
        <w:rPr>
          <w:rFonts w:asciiTheme="minorHAnsi" w:eastAsiaTheme="minorEastAsia" w:hAnsiTheme="minorHAnsi" w:cstheme="minorBidi"/>
          <w:spacing w:val="0"/>
          <w:sz w:val="22"/>
          <w:szCs w:val="22"/>
          <w:lang w:val="es-CL" w:eastAsia="es-CL"/>
        </w:rPr>
      </w:pPr>
      <w:hyperlink w:anchor="_Toc34687212" w:history="1">
        <w:r w:rsidR="00EF72E6" w:rsidRPr="00193896">
          <w:rPr>
            <w:rStyle w:val="Hipervnculo"/>
          </w:rPr>
          <w:t>6.2.9.2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Aseo y limpieza de edificios, y bodegas</w:t>
        </w:r>
        <w:r w:rsidR="00EF72E6">
          <w:rPr>
            <w:webHidden/>
          </w:rPr>
          <w:tab/>
        </w:r>
        <w:r w:rsidR="00EF72E6">
          <w:rPr>
            <w:webHidden/>
          </w:rPr>
          <w:fldChar w:fldCharType="begin"/>
        </w:r>
        <w:r w:rsidR="00EF72E6">
          <w:rPr>
            <w:webHidden/>
          </w:rPr>
          <w:instrText xml:space="preserve"> PAGEREF _Toc34687212 \h </w:instrText>
        </w:r>
        <w:r w:rsidR="00EF72E6">
          <w:rPr>
            <w:webHidden/>
          </w:rPr>
        </w:r>
        <w:r w:rsidR="00EF72E6">
          <w:rPr>
            <w:webHidden/>
          </w:rPr>
          <w:fldChar w:fldCharType="separate"/>
        </w:r>
        <w:r w:rsidR="00F14BED">
          <w:rPr>
            <w:webHidden/>
          </w:rPr>
          <w:t>72</w:t>
        </w:r>
        <w:r w:rsidR="00EF72E6">
          <w:rPr>
            <w:webHidden/>
          </w:rPr>
          <w:fldChar w:fldCharType="end"/>
        </w:r>
      </w:hyperlink>
    </w:p>
    <w:p w14:paraId="0F5E5F4D" w14:textId="22FF5912" w:rsidR="00EF72E6" w:rsidRDefault="00F5226B">
      <w:pPr>
        <w:pStyle w:val="TDC4"/>
        <w:rPr>
          <w:rFonts w:asciiTheme="minorHAnsi" w:eastAsiaTheme="minorEastAsia" w:hAnsiTheme="minorHAnsi" w:cstheme="minorBidi"/>
          <w:spacing w:val="0"/>
          <w:sz w:val="22"/>
          <w:szCs w:val="22"/>
          <w:lang w:val="es-CL" w:eastAsia="es-CL"/>
        </w:rPr>
      </w:pPr>
      <w:hyperlink w:anchor="_Toc34687213" w:history="1">
        <w:r w:rsidR="00EF72E6" w:rsidRPr="00193896">
          <w:rPr>
            <w:rStyle w:val="Hipervnculo"/>
          </w:rPr>
          <w:t>6.2.9.3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del directorio</w:t>
        </w:r>
        <w:r w:rsidR="00EF72E6">
          <w:rPr>
            <w:webHidden/>
          </w:rPr>
          <w:tab/>
        </w:r>
        <w:r w:rsidR="00EF72E6">
          <w:rPr>
            <w:webHidden/>
          </w:rPr>
          <w:fldChar w:fldCharType="begin"/>
        </w:r>
        <w:r w:rsidR="00EF72E6">
          <w:rPr>
            <w:webHidden/>
          </w:rPr>
          <w:instrText xml:space="preserve"> PAGEREF _Toc34687213 \h </w:instrText>
        </w:r>
        <w:r w:rsidR="00EF72E6">
          <w:rPr>
            <w:webHidden/>
          </w:rPr>
        </w:r>
        <w:r w:rsidR="00EF72E6">
          <w:rPr>
            <w:webHidden/>
          </w:rPr>
          <w:fldChar w:fldCharType="separate"/>
        </w:r>
        <w:r w:rsidR="00F14BED">
          <w:rPr>
            <w:webHidden/>
          </w:rPr>
          <w:t>72</w:t>
        </w:r>
        <w:r w:rsidR="00EF72E6">
          <w:rPr>
            <w:webHidden/>
          </w:rPr>
          <w:fldChar w:fldCharType="end"/>
        </w:r>
      </w:hyperlink>
    </w:p>
    <w:p w14:paraId="327ACC97" w14:textId="23342980" w:rsidR="00EF72E6" w:rsidRDefault="00F5226B">
      <w:pPr>
        <w:pStyle w:val="TDC4"/>
        <w:rPr>
          <w:rFonts w:asciiTheme="minorHAnsi" w:eastAsiaTheme="minorEastAsia" w:hAnsiTheme="minorHAnsi" w:cstheme="minorBidi"/>
          <w:spacing w:val="0"/>
          <w:sz w:val="22"/>
          <w:szCs w:val="22"/>
          <w:lang w:val="es-CL" w:eastAsia="es-CL"/>
        </w:rPr>
      </w:pPr>
      <w:hyperlink w:anchor="_Toc34687214" w:history="1">
        <w:r w:rsidR="00EF72E6" w:rsidRPr="00193896">
          <w:rPr>
            <w:rStyle w:val="Hipervnculo"/>
          </w:rPr>
          <w:t>6.2.9.4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Contribuciones por terrenos de SSEE y edificios de la EM</w:t>
        </w:r>
        <w:r w:rsidR="00EF72E6">
          <w:rPr>
            <w:webHidden/>
          </w:rPr>
          <w:tab/>
        </w:r>
        <w:r w:rsidR="00EF72E6">
          <w:rPr>
            <w:webHidden/>
          </w:rPr>
          <w:fldChar w:fldCharType="begin"/>
        </w:r>
        <w:r w:rsidR="00EF72E6">
          <w:rPr>
            <w:webHidden/>
          </w:rPr>
          <w:instrText xml:space="preserve"> PAGEREF _Toc34687214 \h </w:instrText>
        </w:r>
        <w:r w:rsidR="00EF72E6">
          <w:rPr>
            <w:webHidden/>
          </w:rPr>
        </w:r>
        <w:r w:rsidR="00EF72E6">
          <w:rPr>
            <w:webHidden/>
          </w:rPr>
          <w:fldChar w:fldCharType="separate"/>
        </w:r>
        <w:r w:rsidR="00F14BED">
          <w:rPr>
            <w:webHidden/>
          </w:rPr>
          <w:t>73</w:t>
        </w:r>
        <w:r w:rsidR="00EF72E6">
          <w:rPr>
            <w:webHidden/>
          </w:rPr>
          <w:fldChar w:fldCharType="end"/>
        </w:r>
      </w:hyperlink>
    </w:p>
    <w:p w14:paraId="2C077880" w14:textId="71D5CEEA" w:rsidR="00EF72E6" w:rsidRDefault="00F5226B">
      <w:pPr>
        <w:pStyle w:val="TDC4"/>
        <w:rPr>
          <w:rFonts w:asciiTheme="minorHAnsi" w:eastAsiaTheme="minorEastAsia" w:hAnsiTheme="minorHAnsi" w:cstheme="minorBidi"/>
          <w:spacing w:val="0"/>
          <w:sz w:val="22"/>
          <w:szCs w:val="22"/>
          <w:lang w:val="es-CL" w:eastAsia="es-CL"/>
        </w:rPr>
      </w:pPr>
      <w:hyperlink w:anchor="_Toc34687215" w:history="1">
        <w:r w:rsidR="00EF72E6" w:rsidRPr="00193896">
          <w:rPr>
            <w:rStyle w:val="Hipervnculo"/>
          </w:rPr>
          <w:t>6.2.9.5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Asesorías, estudios y otros servicios (estados financieros, tributarias y contables, legales, estudio tarifario, plan de desarrollo, calidad y normas técnicas, laborales y prevención de riesgos, otros estudios regulatorios, auditorías)</w:t>
        </w:r>
        <w:r w:rsidR="00EF72E6">
          <w:rPr>
            <w:webHidden/>
          </w:rPr>
          <w:tab/>
        </w:r>
        <w:r w:rsidR="00EF72E6">
          <w:rPr>
            <w:webHidden/>
          </w:rPr>
          <w:fldChar w:fldCharType="begin"/>
        </w:r>
        <w:r w:rsidR="00EF72E6">
          <w:rPr>
            <w:webHidden/>
          </w:rPr>
          <w:instrText xml:space="preserve"> PAGEREF _Toc34687215 \h </w:instrText>
        </w:r>
        <w:r w:rsidR="00EF72E6">
          <w:rPr>
            <w:webHidden/>
          </w:rPr>
        </w:r>
        <w:r w:rsidR="00EF72E6">
          <w:rPr>
            <w:webHidden/>
          </w:rPr>
          <w:fldChar w:fldCharType="separate"/>
        </w:r>
        <w:r w:rsidR="00F14BED">
          <w:rPr>
            <w:webHidden/>
          </w:rPr>
          <w:t>73</w:t>
        </w:r>
        <w:r w:rsidR="00EF72E6">
          <w:rPr>
            <w:webHidden/>
          </w:rPr>
          <w:fldChar w:fldCharType="end"/>
        </w:r>
      </w:hyperlink>
    </w:p>
    <w:p w14:paraId="35A69075" w14:textId="0AB24C9C" w:rsidR="00EF72E6" w:rsidRDefault="00F5226B">
      <w:pPr>
        <w:pStyle w:val="TDC4"/>
        <w:rPr>
          <w:rFonts w:asciiTheme="minorHAnsi" w:eastAsiaTheme="minorEastAsia" w:hAnsiTheme="minorHAnsi" w:cstheme="minorBidi"/>
          <w:spacing w:val="0"/>
          <w:sz w:val="22"/>
          <w:szCs w:val="22"/>
          <w:lang w:val="es-CL" w:eastAsia="es-CL"/>
        </w:rPr>
      </w:pPr>
      <w:hyperlink w:anchor="_Toc34687216" w:history="1">
        <w:r w:rsidR="00EF72E6" w:rsidRPr="00193896">
          <w:rPr>
            <w:rStyle w:val="Hipervnculo"/>
          </w:rPr>
          <w:t>6.2.9.6</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de Imagen institucional</w:t>
        </w:r>
        <w:r w:rsidR="00EF72E6">
          <w:rPr>
            <w:webHidden/>
          </w:rPr>
          <w:tab/>
        </w:r>
        <w:r w:rsidR="00EF72E6">
          <w:rPr>
            <w:webHidden/>
          </w:rPr>
          <w:fldChar w:fldCharType="begin"/>
        </w:r>
        <w:r w:rsidR="00EF72E6">
          <w:rPr>
            <w:webHidden/>
          </w:rPr>
          <w:instrText xml:space="preserve"> PAGEREF _Toc34687216 \h </w:instrText>
        </w:r>
        <w:r w:rsidR="00EF72E6">
          <w:rPr>
            <w:webHidden/>
          </w:rPr>
        </w:r>
        <w:r w:rsidR="00EF72E6">
          <w:rPr>
            <w:webHidden/>
          </w:rPr>
          <w:fldChar w:fldCharType="separate"/>
        </w:r>
        <w:r w:rsidR="00F14BED">
          <w:rPr>
            <w:webHidden/>
          </w:rPr>
          <w:t>74</w:t>
        </w:r>
        <w:r w:rsidR="00EF72E6">
          <w:rPr>
            <w:webHidden/>
          </w:rPr>
          <w:fldChar w:fldCharType="end"/>
        </w:r>
      </w:hyperlink>
    </w:p>
    <w:p w14:paraId="520096B2" w14:textId="0CAA25B7" w:rsidR="00EF72E6" w:rsidRDefault="00F5226B">
      <w:pPr>
        <w:pStyle w:val="TDC4"/>
        <w:rPr>
          <w:rFonts w:asciiTheme="minorHAnsi" w:eastAsiaTheme="minorEastAsia" w:hAnsiTheme="minorHAnsi" w:cstheme="minorBidi"/>
          <w:spacing w:val="0"/>
          <w:sz w:val="22"/>
          <w:szCs w:val="22"/>
          <w:lang w:val="es-CL" w:eastAsia="es-CL"/>
        </w:rPr>
      </w:pPr>
      <w:hyperlink w:anchor="_Toc34687217" w:history="1">
        <w:r w:rsidR="00EF72E6" w:rsidRPr="00193896">
          <w:rPr>
            <w:rStyle w:val="Hipervnculo"/>
          </w:rPr>
          <w:t>6.2.9.7</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de capacitación</w:t>
        </w:r>
        <w:r w:rsidR="00EF72E6">
          <w:rPr>
            <w:webHidden/>
          </w:rPr>
          <w:tab/>
        </w:r>
        <w:r w:rsidR="00EF72E6">
          <w:rPr>
            <w:webHidden/>
          </w:rPr>
          <w:fldChar w:fldCharType="begin"/>
        </w:r>
        <w:r w:rsidR="00EF72E6">
          <w:rPr>
            <w:webHidden/>
          </w:rPr>
          <w:instrText xml:space="preserve"> PAGEREF _Toc34687217 \h </w:instrText>
        </w:r>
        <w:r w:rsidR="00EF72E6">
          <w:rPr>
            <w:webHidden/>
          </w:rPr>
        </w:r>
        <w:r w:rsidR="00EF72E6">
          <w:rPr>
            <w:webHidden/>
          </w:rPr>
          <w:fldChar w:fldCharType="separate"/>
        </w:r>
        <w:r w:rsidR="00F14BED">
          <w:rPr>
            <w:webHidden/>
          </w:rPr>
          <w:t>74</w:t>
        </w:r>
        <w:r w:rsidR="00EF72E6">
          <w:rPr>
            <w:webHidden/>
          </w:rPr>
          <w:fldChar w:fldCharType="end"/>
        </w:r>
      </w:hyperlink>
    </w:p>
    <w:p w14:paraId="7BA1FB5C" w14:textId="18100FA0" w:rsidR="00EF72E6" w:rsidRDefault="00F5226B">
      <w:pPr>
        <w:pStyle w:val="TDC4"/>
        <w:rPr>
          <w:rFonts w:asciiTheme="minorHAnsi" w:eastAsiaTheme="minorEastAsia" w:hAnsiTheme="minorHAnsi" w:cstheme="minorBidi"/>
          <w:spacing w:val="0"/>
          <w:sz w:val="22"/>
          <w:szCs w:val="22"/>
          <w:lang w:val="es-CL" w:eastAsia="es-CL"/>
        </w:rPr>
      </w:pPr>
      <w:hyperlink w:anchor="_Toc34687218" w:history="1">
        <w:r w:rsidR="00EF72E6" w:rsidRPr="00193896">
          <w:rPr>
            <w:rStyle w:val="Hipervnculo"/>
          </w:rPr>
          <w:t>6.2.9.8</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por viajes no operacionales (pasajes y viáticos)</w:t>
        </w:r>
        <w:r w:rsidR="00EF72E6">
          <w:rPr>
            <w:webHidden/>
          </w:rPr>
          <w:tab/>
        </w:r>
        <w:r w:rsidR="00EF72E6">
          <w:rPr>
            <w:webHidden/>
          </w:rPr>
          <w:fldChar w:fldCharType="begin"/>
        </w:r>
        <w:r w:rsidR="00EF72E6">
          <w:rPr>
            <w:webHidden/>
          </w:rPr>
          <w:instrText xml:space="preserve"> PAGEREF _Toc34687218 \h </w:instrText>
        </w:r>
        <w:r w:rsidR="00EF72E6">
          <w:rPr>
            <w:webHidden/>
          </w:rPr>
        </w:r>
        <w:r w:rsidR="00EF72E6">
          <w:rPr>
            <w:webHidden/>
          </w:rPr>
          <w:fldChar w:fldCharType="separate"/>
        </w:r>
        <w:r w:rsidR="00F14BED">
          <w:rPr>
            <w:webHidden/>
          </w:rPr>
          <w:t>74</w:t>
        </w:r>
        <w:r w:rsidR="00EF72E6">
          <w:rPr>
            <w:webHidden/>
          </w:rPr>
          <w:fldChar w:fldCharType="end"/>
        </w:r>
      </w:hyperlink>
    </w:p>
    <w:p w14:paraId="1034EA51" w14:textId="5C856694" w:rsidR="00EF72E6" w:rsidRDefault="00F5226B">
      <w:pPr>
        <w:pStyle w:val="TDC4"/>
        <w:rPr>
          <w:rFonts w:asciiTheme="minorHAnsi" w:eastAsiaTheme="minorEastAsia" w:hAnsiTheme="minorHAnsi" w:cstheme="minorBidi"/>
          <w:spacing w:val="0"/>
          <w:sz w:val="22"/>
          <w:szCs w:val="22"/>
          <w:lang w:val="es-CL" w:eastAsia="es-CL"/>
        </w:rPr>
      </w:pPr>
      <w:hyperlink w:anchor="_Toc34687219" w:history="1">
        <w:r w:rsidR="00EF72E6" w:rsidRPr="00193896">
          <w:rPr>
            <w:rStyle w:val="Hipervnculo"/>
          </w:rPr>
          <w:t>6.2.9.9</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de viáticos operacionales</w:t>
        </w:r>
        <w:r w:rsidR="00EF72E6">
          <w:rPr>
            <w:webHidden/>
          </w:rPr>
          <w:tab/>
        </w:r>
        <w:r w:rsidR="00EF72E6">
          <w:rPr>
            <w:webHidden/>
          </w:rPr>
          <w:fldChar w:fldCharType="begin"/>
        </w:r>
        <w:r w:rsidR="00EF72E6">
          <w:rPr>
            <w:webHidden/>
          </w:rPr>
          <w:instrText xml:space="preserve"> PAGEREF _Toc34687219 \h </w:instrText>
        </w:r>
        <w:r w:rsidR="00EF72E6">
          <w:rPr>
            <w:webHidden/>
          </w:rPr>
        </w:r>
        <w:r w:rsidR="00EF72E6">
          <w:rPr>
            <w:webHidden/>
          </w:rPr>
          <w:fldChar w:fldCharType="separate"/>
        </w:r>
        <w:r w:rsidR="00F14BED">
          <w:rPr>
            <w:webHidden/>
          </w:rPr>
          <w:t>75</w:t>
        </w:r>
        <w:r w:rsidR="00EF72E6">
          <w:rPr>
            <w:webHidden/>
          </w:rPr>
          <w:fldChar w:fldCharType="end"/>
        </w:r>
      </w:hyperlink>
    </w:p>
    <w:p w14:paraId="590DDC7F" w14:textId="66235F45" w:rsidR="00EF72E6" w:rsidRDefault="00F5226B">
      <w:pPr>
        <w:pStyle w:val="TDC4"/>
        <w:rPr>
          <w:rFonts w:asciiTheme="minorHAnsi" w:eastAsiaTheme="minorEastAsia" w:hAnsiTheme="minorHAnsi" w:cstheme="minorBidi"/>
          <w:spacing w:val="0"/>
          <w:sz w:val="22"/>
          <w:szCs w:val="22"/>
          <w:lang w:val="es-CL" w:eastAsia="es-CL"/>
        </w:rPr>
      </w:pPr>
      <w:hyperlink w:anchor="_Toc34687220" w:history="1">
        <w:r w:rsidR="00EF72E6" w:rsidRPr="00193896">
          <w:rPr>
            <w:rStyle w:val="Hipervnculo"/>
          </w:rPr>
          <w:t>6.2.9.10</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en seguros de bienes eléctricos y muebles e inmuebles</w:t>
        </w:r>
        <w:r w:rsidR="00EF72E6">
          <w:rPr>
            <w:webHidden/>
          </w:rPr>
          <w:tab/>
        </w:r>
        <w:r w:rsidR="00EF72E6">
          <w:rPr>
            <w:webHidden/>
          </w:rPr>
          <w:fldChar w:fldCharType="begin"/>
        </w:r>
        <w:r w:rsidR="00EF72E6">
          <w:rPr>
            <w:webHidden/>
          </w:rPr>
          <w:instrText xml:space="preserve"> PAGEREF _Toc34687220 \h </w:instrText>
        </w:r>
        <w:r w:rsidR="00EF72E6">
          <w:rPr>
            <w:webHidden/>
          </w:rPr>
        </w:r>
        <w:r w:rsidR="00EF72E6">
          <w:rPr>
            <w:webHidden/>
          </w:rPr>
          <w:fldChar w:fldCharType="separate"/>
        </w:r>
        <w:r w:rsidR="00F14BED">
          <w:rPr>
            <w:webHidden/>
          </w:rPr>
          <w:t>75</w:t>
        </w:r>
        <w:r w:rsidR="00EF72E6">
          <w:rPr>
            <w:webHidden/>
          </w:rPr>
          <w:fldChar w:fldCharType="end"/>
        </w:r>
      </w:hyperlink>
    </w:p>
    <w:p w14:paraId="03D0E163" w14:textId="1719F520" w:rsidR="00EF72E6" w:rsidRDefault="00F5226B">
      <w:pPr>
        <w:pStyle w:val="TDC4"/>
        <w:rPr>
          <w:rFonts w:asciiTheme="minorHAnsi" w:eastAsiaTheme="minorEastAsia" w:hAnsiTheme="minorHAnsi" w:cstheme="minorBidi"/>
          <w:spacing w:val="0"/>
          <w:sz w:val="22"/>
          <w:szCs w:val="22"/>
          <w:lang w:val="es-CL" w:eastAsia="es-CL"/>
        </w:rPr>
      </w:pPr>
      <w:hyperlink w:anchor="_Toc34687221" w:history="1">
        <w:r w:rsidR="00EF72E6" w:rsidRPr="00193896">
          <w:rPr>
            <w:rStyle w:val="Hipervnculo"/>
          </w:rPr>
          <w:t>6.2.9.11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en patentes comerciales</w:t>
        </w:r>
        <w:r w:rsidR="00EF72E6">
          <w:rPr>
            <w:webHidden/>
          </w:rPr>
          <w:tab/>
        </w:r>
        <w:r w:rsidR="00EF72E6">
          <w:rPr>
            <w:webHidden/>
          </w:rPr>
          <w:fldChar w:fldCharType="begin"/>
        </w:r>
        <w:r w:rsidR="00EF72E6">
          <w:rPr>
            <w:webHidden/>
          </w:rPr>
          <w:instrText xml:space="preserve"> PAGEREF _Toc34687221 \h </w:instrText>
        </w:r>
        <w:r w:rsidR="00EF72E6">
          <w:rPr>
            <w:webHidden/>
          </w:rPr>
        </w:r>
        <w:r w:rsidR="00EF72E6">
          <w:rPr>
            <w:webHidden/>
          </w:rPr>
          <w:fldChar w:fldCharType="separate"/>
        </w:r>
        <w:r w:rsidR="00F14BED">
          <w:rPr>
            <w:webHidden/>
          </w:rPr>
          <w:t>76</w:t>
        </w:r>
        <w:r w:rsidR="00EF72E6">
          <w:rPr>
            <w:webHidden/>
          </w:rPr>
          <w:fldChar w:fldCharType="end"/>
        </w:r>
      </w:hyperlink>
    </w:p>
    <w:p w14:paraId="7F633FFE" w14:textId="20FE3D54" w:rsidR="00EF72E6" w:rsidRDefault="00F5226B">
      <w:pPr>
        <w:pStyle w:val="TDC4"/>
        <w:rPr>
          <w:rFonts w:asciiTheme="minorHAnsi" w:eastAsiaTheme="minorEastAsia" w:hAnsiTheme="minorHAnsi" w:cstheme="minorBidi"/>
          <w:spacing w:val="0"/>
          <w:sz w:val="22"/>
          <w:szCs w:val="22"/>
          <w:lang w:val="es-CL" w:eastAsia="es-CL"/>
        </w:rPr>
      </w:pPr>
      <w:hyperlink w:anchor="_Toc34687222" w:history="1">
        <w:r w:rsidR="00EF72E6" w:rsidRPr="00193896">
          <w:rPr>
            <w:rStyle w:val="Hipervnculo"/>
          </w:rPr>
          <w:t>6.2.9.12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Consumos básicos de gas, electricidad y agua en edificios</w:t>
        </w:r>
        <w:r w:rsidR="00EF72E6">
          <w:rPr>
            <w:webHidden/>
          </w:rPr>
          <w:tab/>
        </w:r>
        <w:r w:rsidR="00EF72E6">
          <w:rPr>
            <w:webHidden/>
          </w:rPr>
          <w:fldChar w:fldCharType="begin"/>
        </w:r>
        <w:r w:rsidR="00EF72E6">
          <w:rPr>
            <w:webHidden/>
          </w:rPr>
          <w:instrText xml:space="preserve"> PAGEREF _Toc34687222 \h </w:instrText>
        </w:r>
        <w:r w:rsidR="00EF72E6">
          <w:rPr>
            <w:webHidden/>
          </w:rPr>
        </w:r>
        <w:r w:rsidR="00EF72E6">
          <w:rPr>
            <w:webHidden/>
          </w:rPr>
          <w:fldChar w:fldCharType="separate"/>
        </w:r>
        <w:r w:rsidR="00F14BED">
          <w:rPr>
            <w:webHidden/>
          </w:rPr>
          <w:t>76</w:t>
        </w:r>
        <w:r w:rsidR="00EF72E6">
          <w:rPr>
            <w:webHidden/>
          </w:rPr>
          <w:fldChar w:fldCharType="end"/>
        </w:r>
      </w:hyperlink>
    </w:p>
    <w:p w14:paraId="1D9AF9D9" w14:textId="52B40260" w:rsidR="00EF72E6" w:rsidRDefault="00F5226B">
      <w:pPr>
        <w:pStyle w:val="TDC4"/>
        <w:rPr>
          <w:rFonts w:asciiTheme="minorHAnsi" w:eastAsiaTheme="minorEastAsia" w:hAnsiTheme="minorHAnsi" w:cstheme="minorBidi"/>
          <w:spacing w:val="0"/>
          <w:sz w:val="22"/>
          <w:szCs w:val="22"/>
          <w:lang w:val="es-CL" w:eastAsia="es-CL"/>
        </w:rPr>
      </w:pPr>
      <w:hyperlink w:anchor="_Toc34687223" w:history="1">
        <w:r w:rsidR="00EF72E6" w:rsidRPr="00193896">
          <w:rPr>
            <w:rStyle w:val="Hipervnculo"/>
          </w:rPr>
          <w:t>6.2.9.13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Consumos básicos de electricidad de subestaciones</w:t>
        </w:r>
        <w:r w:rsidR="00EF72E6">
          <w:rPr>
            <w:webHidden/>
          </w:rPr>
          <w:tab/>
        </w:r>
        <w:r w:rsidR="00EF72E6">
          <w:rPr>
            <w:webHidden/>
          </w:rPr>
          <w:fldChar w:fldCharType="begin"/>
        </w:r>
        <w:r w:rsidR="00EF72E6">
          <w:rPr>
            <w:webHidden/>
          </w:rPr>
          <w:instrText xml:space="preserve"> PAGEREF _Toc34687223 \h </w:instrText>
        </w:r>
        <w:r w:rsidR="00EF72E6">
          <w:rPr>
            <w:webHidden/>
          </w:rPr>
        </w:r>
        <w:r w:rsidR="00EF72E6">
          <w:rPr>
            <w:webHidden/>
          </w:rPr>
          <w:fldChar w:fldCharType="separate"/>
        </w:r>
        <w:r w:rsidR="00F14BED">
          <w:rPr>
            <w:webHidden/>
          </w:rPr>
          <w:t>77</w:t>
        </w:r>
        <w:r w:rsidR="00EF72E6">
          <w:rPr>
            <w:webHidden/>
          </w:rPr>
          <w:fldChar w:fldCharType="end"/>
        </w:r>
      </w:hyperlink>
    </w:p>
    <w:p w14:paraId="5D6FB5FF" w14:textId="51FE1991" w:rsidR="00EF72E6" w:rsidRDefault="00F5226B">
      <w:pPr>
        <w:pStyle w:val="TDC4"/>
        <w:rPr>
          <w:rFonts w:asciiTheme="minorHAnsi" w:eastAsiaTheme="minorEastAsia" w:hAnsiTheme="minorHAnsi" w:cstheme="minorBidi"/>
          <w:spacing w:val="0"/>
          <w:sz w:val="22"/>
          <w:szCs w:val="22"/>
          <w:lang w:val="es-CL" w:eastAsia="es-CL"/>
        </w:rPr>
      </w:pPr>
      <w:hyperlink w:anchor="_Toc34687224" w:history="1">
        <w:r w:rsidR="00EF72E6" w:rsidRPr="00193896">
          <w:rPr>
            <w:rStyle w:val="Hipervnculo"/>
          </w:rPr>
          <w:t>6.2.9.14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Costos de comunicaciones en telefonía fija y móvil (celular y satelital)</w:t>
        </w:r>
        <w:r w:rsidR="00EF72E6">
          <w:rPr>
            <w:webHidden/>
          </w:rPr>
          <w:tab/>
        </w:r>
        <w:r w:rsidR="00EF72E6">
          <w:rPr>
            <w:webHidden/>
          </w:rPr>
          <w:fldChar w:fldCharType="begin"/>
        </w:r>
        <w:r w:rsidR="00EF72E6">
          <w:rPr>
            <w:webHidden/>
          </w:rPr>
          <w:instrText xml:space="preserve"> PAGEREF _Toc34687224 \h </w:instrText>
        </w:r>
        <w:r w:rsidR="00EF72E6">
          <w:rPr>
            <w:webHidden/>
          </w:rPr>
        </w:r>
        <w:r w:rsidR="00EF72E6">
          <w:rPr>
            <w:webHidden/>
          </w:rPr>
          <w:fldChar w:fldCharType="separate"/>
        </w:r>
        <w:r w:rsidR="00F14BED">
          <w:rPr>
            <w:webHidden/>
          </w:rPr>
          <w:t>77</w:t>
        </w:r>
        <w:r w:rsidR="00EF72E6">
          <w:rPr>
            <w:webHidden/>
          </w:rPr>
          <w:fldChar w:fldCharType="end"/>
        </w:r>
      </w:hyperlink>
    </w:p>
    <w:p w14:paraId="21A5F25F" w14:textId="37B3493B" w:rsidR="00EF72E6" w:rsidRDefault="00F5226B">
      <w:pPr>
        <w:pStyle w:val="TDC4"/>
        <w:rPr>
          <w:rFonts w:asciiTheme="minorHAnsi" w:eastAsiaTheme="minorEastAsia" w:hAnsiTheme="minorHAnsi" w:cstheme="minorBidi"/>
          <w:spacing w:val="0"/>
          <w:sz w:val="22"/>
          <w:szCs w:val="22"/>
          <w:lang w:val="es-CL" w:eastAsia="es-CL"/>
        </w:rPr>
      </w:pPr>
      <w:hyperlink w:anchor="_Toc34687225" w:history="1">
        <w:r w:rsidR="00EF72E6" w:rsidRPr="00193896">
          <w:rPr>
            <w:rStyle w:val="Hipervnculo"/>
          </w:rPr>
          <w:t>6.2.9.15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Servicio de datos (internet y respaldo de datos)</w:t>
        </w:r>
        <w:r w:rsidR="00EF72E6">
          <w:rPr>
            <w:webHidden/>
          </w:rPr>
          <w:tab/>
        </w:r>
        <w:r w:rsidR="00EF72E6">
          <w:rPr>
            <w:webHidden/>
          </w:rPr>
          <w:fldChar w:fldCharType="begin"/>
        </w:r>
        <w:r w:rsidR="00EF72E6">
          <w:rPr>
            <w:webHidden/>
          </w:rPr>
          <w:instrText xml:space="preserve"> PAGEREF _Toc34687225 \h </w:instrText>
        </w:r>
        <w:r w:rsidR="00EF72E6">
          <w:rPr>
            <w:webHidden/>
          </w:rPr>
        </w:r>
        <w:r w:rsidR="00EF72E6">
          <w:rPr>
            <w:webHidden/>
          </w:rPr>
          <w:fldChar w:fldCharType="separate"/>
        </w:r>
        <w:r w:rsidR="00F14BED">
          <w:rPr>
            <w:webHidden/>
          </w:rPr>
          <w:t>77</w:t>
        </w:r>
        <w:r w:rsidR="00EF72E6">
          <w:rPr>
            <w:webHidden/>
          </w:rPr>
          <w:fldChar w:fldCharType="end"/>
        </w:r>
      </w:hyperlink>
    </w:p>
    <w:p w14:paraId="764FEE37" w14:textId="38BCFA8D" w:rsidR="00EF72E6" w:rsidRDefault="00F5226B">
      <w:pPr>
        <w:pStyle w:val="TDC4"/>
        <w:rPr>
          <w:rFonts w:asciiTheme="minorHAnsi" w:eastAsiaTheme="minorEastAsia" w:hAnsiTheme="minorHAnsi" w:cstheme="minorBidi"/>
          <w:spacing w:val="0"/>
          <w:sz w:val="22"/>
          <w:szCs w:val="22"/>
          <w:lang w:val="es-CL" w:eastAsia="es-CL"/>
        </w:rPr>
      </w:pPr>
      <w:hyperlink w:anchor="_Toc34687226" w:history="1">
        <w:r w:rsidR="00EF72E6" w:rsidRPr="00193896">
          <w:rPr>
            <w:rStyle w:val="Hipervnculo"/>
          </w:rPr>
          <w:t>6.2.9.16</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en mantenimiento sistemas informáticos (actualización software y hardware)</w:t>
        </w:r>
        <w:r w:rsidR="00EF72E6">
          <w:rPr>
            <w:webHidden/>
          </w:rPr>
          <w:tab/>
        </w:r>
        <w:r w:rsidR="00EF72E6">
          <w:rPr>
            <w:webHidden/>
          </w:rPr>
          <w:fldChar w:fldCharType="begin"/>
        </w:r>
        <w:r w:rsidR="00EF72E6">
          <w:rPr>
            <w:webHidden/>
          </w:rPr>
          <w:instrText xml:space="preserve"> PAGEREF _Toc34687226 \h </w:instrText>
        </w:r>
        <w:r w:rsidR="00EF72E6">
          <w:rPr>
            <w:webHidden/>
          </w:rPr>
        </w:r>
        <w:r w:rsidR="00EF72E6">
          <w:rPr>
            <w:webHidden/>
          </w:rPr>
          <w:fldChar w:fldCharType="separate"/>
        </w:r>
        <w:r w:rsidR="00F14BED">
          <w:rPr>
            <w:webHidden/>
          </w:rPr>
          <w:t>78</w:t>
        </w:r>
        <w:r w:rsidR="00EF72E6">
          <w:rPr>
            <w:webHidden/>
          </w:rPr>
          <w:fldChar w:fldCharType="end"/>
        </w:r>
      </w:hyperlink>
    </w:p>
    <w:p w14:paraId="7372ADA9" w14:textId="198D25A0" w:rsidR="00EF72E6" w:rsidRDefault="00F5226B">
      <w:pPr>
        <w:pStyle w:val="TDC4"/>
        <w:rPr>
          <w:rFonts w:asciiTheme="minorHAnsi" w:eastAsiaTheme="minorEastAsia" w:hAnsiTheme="minorHAnsi" w:cstheme="minorBidi"/>
          <w:spacing w:val="0"/>
          <w:sz w:val="22"/>
          <w:szCs w:val="22"/>
          <w:lang w:val="es-CL" w:eastAsia="es-CL"/>
        </w:rPr>
      </w:pPr>
      <w:hyperlink w:anchor="_Toc34687227" w:history="1">
        <w:r w:rsidR="00EF72E6" w:rsidRPr="00193896">
          <w:rPr>
            <w:rStyle w:val="Hipervnculo"/>
          </w:rPr>
          <w:t>6.2.9.17</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de mantenimiento del SCADA</w:t>
        </w:r>
        <w:r w:rsidR="00EF72E6">
          <w:rPr>
            <w:webHidden/>
          </w:rPr>
          <w:tab/>
        </w:r>
        <w:r w:rsidR="00EF72E6">
          <w:rPr>
            <w:webHidden/>
          </w:rPr>
          <w:fldChar w:fldCharType="begin"/>
        </w:r>
        <w:r w:rsidR="00EF72E6">
          <w:rPr>
            <w:webHidden/>
          </w:rPr>
          <w:instrText xml:space="preserve"> PAGEREF _Toc34687227 \h </w:instrText>
        </w:r>
        <w:r w:rsidR="00EF72E6">
          <w:rPr>
            <w:webHidden/>
          </w:rPr>
        </w:r>
        <w:r w:rsidR="00EF72E6">
          <w:rPr>
            <w:webHidden/>
          </w:rPr>
          <w:fldChar w:fldCharType="separate"/>
        </w:r>
        <w:r w:rsidR="00F14BED">
          <w:rPr>
            <w:webHidden/>
          </w:rPr>
          <w:t>78</w:t>
        </w:r>
        <w:r w:rsidR="00EF72E6">
          <w:rPr>
            <w:webHidden/>
          </w:rPr>
          <w:fldChar w:fldCharType="end"/>
        </w:r>
      </w:hyperlink>
    </w:p>
    <w:p w14:paraId="117D2C00" w14:textId="48140DF2" w:rsidR="00EF72E6" w:rsidRDefault="00F5226B">
      <w:pPr>
        <w:pStyle w:val="TDC4"/>
        <w:rPr>
          <w:rFonts w:asciiTheme="minorHAnsi" w:eastAsiaTheme="minorEastAsia" w:hAnsiTheme="minorHAnsi" w:cstheme="minorBidi"/>
          <w:spacing w:val="0"/>
          <w:sz w:val="22"/>
          <w:szCs w:val="22"/>
          <w:lang w:val="es-CL" w:eastAsia="es-CL"/>
        </w:rPr>
      </w:pPr>
      <w:hyperlink w:anchor="_Toc34687228" w:history="1">
        <w:r w:rsidR="00EF72E6" w:rsidRPr="00193896">
          <w:rPr>
            <w:rStyle w:val="Hipervnculo"/>
          </w:rPr>
          <w:t>6.2.9.18</w:t>
        </w:r>
        <w:r w:rsidR="00EF72E6">
          <w:rPr>
            <w:rFonts w:asciiTheme="minorHAnsi" w:eastAsiaTheme="minorEastAsia" w:hAnsiTheme="minorHAnsi" w:cstheme="minorBidi"/>
            <w:spacing w:val="0"/>
            <w:sz w:val="22"/>
            <w:szCs w:val="22"/>
            <w:lang w:val="es-CL" w:eastAsia="es-CL"/>
          </w:rPr>
          <w:tab/>
        </w:r>
        <w:r w:rsidR="00EF72E6" w:rsidRPr="00193896">
          <w:rPr>
            <w:rStyle w:val="Hipervnculo"/>
          </w:rPr>
          <w:t>Gastos de mantenimiento del equipamiento utilizado para OyM</w:t>
        </w:r>
        <w:r w:rsidR="00EF72E6">
          <w:rPr>
            <w:webHidden/>
          </w:rPr>
          <w:tab/>
        </w:r>
        <w:r w:rsidR="00EF72E6">
          <w:rPr>
            <w:webHidden/>
          </w:rPr>
          <w:fldChar w:fldCharType="begin"/>
        </w:r>
        <w:r w:rsidR="00EF72E6">
          <w:rPr>
            <w:webHidden/>
          </w:rPr>
          <w:instrText xml:space="preserve"> PAGEREF _Toc34687228 \h </w:instrText>
        </w:r>
        <w:r w:rsidR="00EF72E6">
          <w:rPr>
            <w:webHidden/>
          </w:rPr>
        </w:r>
        <w:r w:rsidR="00EF72E6">
          <w:rPr>
            <w:webHidden/>
          </w:rPr>
          <w:fldChar w:fldCharType="separate"/>
        </w:r>
        <w:r w:rsidR="00F14BED">
          <w:rPr>
            <w:webHidden/>
          </w:rPr>
          <w:t>78</w:t>
        </w:r>
        <w:r w:rsidR="00EF72E6">
          <w:rPr>
            <w:webHidden/>
          </w:rPr>
          <w:fldChar w:fldCharType="end"/>
        </w:r>
      </w:hyperlink>
    </w:p>
    <w:p w14:paraId="0A0DBC5E" w14:textId="5E3380F5" w:rsidR="00EF72E6" w:rsidRDefault="00F5226B">
      <w:pPr>
        <w:pStyle w:val="TDC4"/>
        <w:rPr>
          <w:rFonts w:asciiTheme="minorHAnsi" w:eastAsiaTheme="minorEastAsia" w:hAnsiTheme="minorHAnsi" w:cstheme="minorBidi"/>
          <w:spacing w:val="0"/>
          <w:sz w:val="22"/>
          <w:szCs w:val="22"/>
          <w:lang w:val="es-CL" w:eastAsia="es-CL"/>
        </w:rPr>
      </w:pPr>
      <w:hyperlink w:anchor="_Toc34687229" w:history="1">
        <w:r w:rsidR="00EF72E6" w:rsidRPr="00193896">
          <w:rPr>
            <w:rStyle w:val="Hipervnculo"/>
          </w:rPr>
          <w:t>6.2.9.19</w:t>
        </w:r>
        <w:r w:rsidR="00EF72E6">
          <w:rPr>
            <w:rFonts w:asciiTheme="minorHAnsi" w:eastAsiaTheme="minorEastAsia" w:hAnsiTheme="minorHAnsi" w:cstheme="minorBidi"/>
            <w:spacing w:val="0"/>
            <w:sz w:val="22"/>
            <w:szCs w:val="22"/>
            <w:lang w:val="es-CL" w:eastAsia="es-CL"/>
          </w:rPr>
          <w:tab/>
        </w:r>
        <w:r w:rsidR="00EF72E6" w:rsidRPr="00193896">
          <w:rPr>
            <w:rStyle w:val="Hipervnculo"/>
          </w:rPr>
          <w:t>Materiales e insumos computacionales</w:t>
        </w:r>
        <w:r w:rsidR="00EF72E6">
          <w:rPr>
            <w:webHidden/>
          </w:rPr>
          <w:tab/>
        </w:r>
        <w:r w:rsidR="00EF72E6">
          <w:rPr>
            <w:webHidden/>
          </w:rPr>
          <w:fldChar w:fldCharType="begin"/>
        </w:r>
        <w:r w:rsidR="00EF72E6">
          <w:rPr>
            <w:webHidden/>
          </w:rPr>
          <w:instrText xml:space="preserve"> PAGEREF _Toc34687229 \h </w:instrText>
        </w:r>
        <w:r w:rsidR="00EF72E6">
          <w:rPr>
            <w:webHidden/>
          </w:rPr>
        </w:r>
        <w:r w:rsidR="00EF72E6">
          <w:rPr>
            <w:webHidden/>
          </w:rPr>
          <w:fldChar w:fldCharType="separate"/>
        </w:r>
        <w:r w:rsidR="00F14BED">
          <w:rPr>
            <w:webHidden/>
          </w:rPr>
          <w:t>79</w:t>
        </w:r>
        <w:r w:rsidR="00EF72E6">
          <w:rPr>
            <w:webHidden/>
          </w:rPr>
          <w:fldChar w:fldCharType="end"/>
        </w:r>
      </w:hyperlink>
    </w:p>
    <w:p w14:paraId="4C0016BF" w14:textId="5521AD42" w:rsidR="00EF72E6" w:rsidRDefault="00F5226B">
      <w:pPr>
        <w:pStyle w:val="TDC4"/>
        <w:rPr>
          <w:rFonts w:asciiTheme="minorHAnsi" w:eastAsiaTheme="minorEastAsia" w:hAnsiTheme="minorHAnsi" w:cstheme="minorBidi"/>
          <w:spacing w:val="0"/>
          <w:sz w:val="22"/>
          <w:szCs w:val="22"/>
          <w:lang w:val="es-CL" w:eastAsia="es-CL"/>
        </w:rPr>
      </w:pPr>
      <w:hyperlink w:anchor="_Toc34687230" w:history="1">
        <w:r w:rsidR="00EF72E6" w:rsidRPr="00193896">
          <w:rPr>
            <w:rStyle w:val="Hipervnculo"/>
          </w:rPr>
          <w:t>6.2.9.20</w:t>
        </w:r>
        <w:r w:rsidR="00EF72E6">
          <w:rPr>
            <w:rFonts w:asciiTheme="minorHAnsi" w:eastAsiaTheme="minorEastAsia" w:hAnsiTheme="minorHAnsi" w:cstheme="minorBidi"/>
            <w:spacing w:val="0"/>
            <w:sz w:val="22"/>
            <w:szCs w:val="22"/>
            <w:lang w:val="es-CL" w:eastAsia="es-CL"/>
          </w:rPr>
          <w:tab/>
        </w:r>
        <w:r w:rsidR="00EF72E6" w:rsidRPr="00193896">
          <w:rPr>
            <w:rStyle w:val="Hipervnculo"/>
          </w:rPr>
          <w:t>Memoria anual</w:t>
        </w:r>
        <w:r w:rsidR="00EF72E6">
          <w:rPr>
            <w:webHidden/>
          </w:rPr>
          <w:tab/>
        </w:r>
        <w:r w:rsidR="00EF72E6">
          <w:rPr>
            <w:webHidden/>
          </w:rPr>
          <w:fldChar w:fldCharType="begin"/>
        </w:r>
        <w:r w:rsidR="00EF72E6">
          <w:rPr>
            <w:webHidden/>
          </w:rPr>
          <w:instrText xml:space="preserve"> PAGEREF _Toc34687230 \h </w:instrText>
        </w:r>
        <w:r w:rsidR="00EF72E6">
          <w:rPr>
            <w:webHidden/>
          </w:rPr>
        </w:r>
        <w:r w:rsidR="00EF72E6">
          <w:rPr>
            <w:webHidden/>
          </w:rPr>
          <w:fldChar w:fldCharType="separate"/>
        </w:r>
        <w:r w:rsidR="00F14BED">
          <w:rPr>
            <w:webHidden/>
          </w:rPr>
          <w:t>79</w:t>
        </w:r>
        <w:r w:rsidR="00EF72E6">
          <w:rPr>
            <w:webHidden/>
          </w:rPr>
          <w:fldChar w:fldCharType="end"/>
        </w:r>
      </w:hyperlink>
    </w:p>
    <w:p w14:paraId="3A758ADC" w14:textId="1B670D6D" w:rsidR="00EF72E6" w:rsidRDefault="00F5226B">
      <w:pPr>
        <w:pStyle w:val="TDC4"/>
        <w:rPr>
          <w:rFonts w:asciiTheme="minorHAnsi" w:eastAsiaTheme="minorEastAsia" w:hAnsiTheme="minorHAnsi" w:cstheme="minorBidi"/>
          <w:spacing w:val="0"/>
          <w:sz w:val="22"/>
          <w:szCs w:val="22"/>
          <w:lang w:val="es-CL" w:eastAsia="es-CL"/>
        </w:rPr>
      </w:pPr>
      <w:hyperlink w:anchor="_Toc34687231" w:history="1">
        <w:r w:rsidR="00EF72E6" w:rsidRPr="00193896">
          <w:rPr>
            <w:rStyle w:val="Hipervnculo"/>
          </w:rPr>
          <w:t>6.2.9.21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Publicaciones y avisos</w:t>
        </w:r>
        <w:r w:rsidR="00EF72E6">
          <w:rPr>
            <w:webHidden/>
          </w:rPr>
          <w:tab/>
        </w:r>
        <w:r w:rsidR="00EF72E6">
          <w:rPr>
            <w:webHidden/>
          </w:rPr>
          <w:fldChar w:fldCharType="begin"/>
        </w:r>
        <w:r w:rsidR="00EF72E6">
          <w:rPr>
            <w:webHidden/>
          </w:rPr>
          <w:instrText xml:space="preserve"> PAGEREF _Toc34687231 \h </w:instrText>
        </w:r>
        <w:r w:rsidR="00EF72E6">
          <w:rPr>
            <w:webHidden/>
          </w:rPr>
        </w:r>
        <w:r w:rsidR="00EF72E6">
          <w:rPr>
            <w:webHidden/>
          </w:rPr>
          <w:fldChar w:fldCharType="separate"/>
        </w:r>
        <w:r w:rsidR="00F14BED">
          <w:rPr>
            <w:webHidden/>
          </w:rPr>
          <w:t>79</w:t>
        </w:r>
        <w:r w:rsidR="00EF72E6">
          <w:rPr>
            <w:webHidden/>
          </w:rPr>
          <w:fldChar w:fldCharType="end"/>
        </w:r>
      </w:hyperlink>
    </w:p>
    <w:p w14:paraId="4A5CDBDC" w14:textId="10C75551" w:rsidR="00EF72E6" w:rsidRDefault="00F5226B">
      <w:pPr>
        <w:pStyle w:val="TDC4"/>
        <w:rPr>
          <w:rFonts w:asciiTheme="minorHAnsi" w:eastAsiaTheme="minorEastAsia" w:hAnsiTheme="minorHAnsi" w:cstheme="minorBidi"/>
          <w:spacing w:val="0"/>
          <w:sz w:val="22"/>
          <w:szCs w:val="22"/>
          <w:lang w:val="es-CL" w:eastAsia="es-CL"/>
        </w:rPr>
      </w:pPr>
      <w:hyperlink w:anchor="_Toc34687232" w:history="1">
        <w:r w:rsidR="00EF72E6" w:rsidRPr="00193896">
          <w:rPr>
            <w:rStyle w:val="Hipervnculo"/>
          </w:rPr>
          <w:t>6.2.9.22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Fotocopias, formularios, útiles y materiales de oficina</w:t>
        </w:r>
        <w:r w:rsidR="00EF72E6">
          <w:rPr>
            <w:webHidden/>
          </w:rPr>
          <w:tab/>
        </w:r>
        <w:r w:rsidR="00EF72E6">
          <w:rPr>
            <w:webHidden/>
          </w:rPr>
          <w:fldChar w:fldCharType="begin"/>
        </w:r>
        <w:r w:rsidR="00EF72E6">
          <w:rPr>
            <w:webHidden/>
          </w:rPr>
          <w:instrText xml:space="preserve"> PAGEREF _Toc34687232 \h </w:instrText>
        </w:r>
        <w:r w:rsidR="00EF72E6">
          <w:rPr>
            <w:webHidden/>
          </w:rPr>
        </w:r>
        <w:r w:rsidR="00EF72E6">
          <w:rPr>
            <w:webHidden/>
          </w:rPr>
          <w:fldChar w:fldCharType="separate"/>
        </w:r>
        <w:r w:rsidR="00F14BED">
          <w:rPr>
            <w:webHidden/>
          </w:rPr>
          <w:t>80</w:t>
        </w:r>
        <w:r w:rsidR="00EF72E6">
          <w:rPr>
            <w:webHidden/>
          </w:rPr>
          <w:fldChar w:fldCharType="end"/>
        </w:r>
      </w:hyperlink>
    </w:p>
    <w:p w14:paraId="676B5AC4" w14:textId="6607D5E5" w:rsidR="00EF72E6" w:rsidRDefault="00F5226B">
      <w:pPr>
        <w:pStyle w:val="TDC4"/>
        <w:rPr>
          <w:rFonts w:asciiTheme="minorHAnsi" w:eastAsiaTheme="minorEastAsia" w:hAnsiTheme="minorHAnsi" w:cstheme="minorBidi"/>
          <w:spacing w:val="0"/>
          <w:sz w:val="22"/>
          <w:szCs w:val="22"/>
          <w:lang w:val="es-CL" w:eastAsia="es-CL"/>
        </w:rPr>
      </w:pPr>
      <w:hyperlink w:anchor="_Toc34687233" w:history="1">
        <w:r w:rsidR="00EF72E6" w:rsidRPr="00193896">
          <w:rPr>
            <w:rStyle w:val="Hipervnculo"/>
          </w:rPr>
          <w:t>6.2.9.23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Retiro y disposición de residuos (tóxicos y no tóxicos)</w:t>
        </w:r>
        <w:r w:rsidR="00EF72E6">
          <w:rPr>
            <w:webHidden/>
          </w:rPr>
          <w:tab/>
        </w:r>
        <w:r w:rsidR="00EF72E6">
          <w:rPr>
            <w:webHidden/>
          </w:rPr>
          <w:fldChar w:fldCharType="begin"/>
        </w:r>
        <w:r w:rsidR="00EF72E6">
          <w:rPr>
            <w:webHidden/>
          </w:rPr>
          <w:instrText xml:space="preserve"> PAGEREF _Toc34687233 \h </w:instrText>
        </w:r>
        <w:r w:rsidR="00EF72E6">
          <w:rPr>
            <w:webHidden/>
          </w:rPr>
        </w:r>
        <w:r w:rsidR="00EF72E6">
          <w:rPr>
            <w:webHidden/>
          </w:rPr>
          <w:fldChar w:fldCharType="separate"/>
        </w:r>
        <w:r w:rsidR="00F14BED">
          <w:rPr>
            <w:webHidden/>
          </w:rPr>
          <w:t>80</w:t>
        </w:r>
        <w:r w:rsidR="00EF72E6">
          <w:rPr>
            <w:webHidden/>
          </w:rPr>
          <w:fldChar w:fldCharType="end"/>
        </w:r>
      </w:hyperlink>
    </w:p>
    <w:p w14:paraId="1C85F4DC" w14:textId="4F946B8E" w:rsidR="00EF72E6" w:rsidRDefault="00F5226B">
      <w:pPr>
        <w:pStyle w:val="TDC4"/>
        <w:rPr>
          <w:rFonts w:asciiTheme="minorHAnsi" w:eastAsiaTheme="minorEastAsia" w:hAnsiTheme="minorHAnsi" w:cstheme="minorBidi"/>
          <w:spacing w:val="0"/>
          <w:sz w:val="22"/>
          <w:szCs w:val="22"/>
          <w:lang w:val="es-CL" w:eastAsia="es-CL"/>
        </w:rPr>
      </w:pPr>
      <w:hyperlink w:anchor="_Toc34687234" w:history="1">
        <w:r w:rsidR="00EF72E6" w:rsidRPr="00193896">
          <w:rPr>
            <w:rStyle w:val="Hipervnculo"/>
          </w:rPr>
          <w:t>6.2.9.24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Costos de traslado y alojamiento de personal (viaticos operacionales)</w:t>
        </w:r>
        <w:r w:rsidR="00EF72E6">
          <w:rPr>
            <w:webHidden/>
          </w:rPr>
          <w:tab/>
        </w:r>
        <w:r w:rsidR="00EF72E6">
          <w:rPr>
            <w:webHidden/>
          </w:rPr>
          <w:fldChar w:fldCharType="begin"/>
        </w:r>
        <w:r w:rsidR="00EF72E6">
          <w:rPr>
            <w:webHidden/>
          </w:rPr>
          <w:instrText xml:space="preserve"> PAGEREF _Toc34687234 \h </w:instrText>
        </w:r>
        <w:r w:rsidR="00EF72E6">
          <w:rPr>
            <w:webHidden/>
          </w:rPr>
        </w:r>
        <w:r w:rsidR="00EF72E6">
          <w:rPr>
            <w:webHidden/>
          </w:rPr>
          <w:fldChar w:fldCharType="separate"/>
        </w:r>
        <w:r w:rsidR="00F14BED">
          <w:rPr>
            <w:webHidden/>
          </w:rPr>
          <w:t>80</w:t>
        </w:r>
        <w:r w:rsidR="00EF72E6">
          <w:rPr>
            <w:webHidden/>
          </w:rPr>
          <w:fldChar w:fldCharType="end"/>
        </w:r>
      </w:hyperlink>
    </w:p>
    <w:p w14:paraId="5A0F65BA" w14:textId="6A9FAAE3" w:rsidR="00EF72E6" w:rsidRDefault="00F5226B">
      <w:pPr>
        <w:pStyle w:val="TDC4"/>
        <w:rPr>
          <w:rFonts w:asciiTheme="minorHAnsi" w:eastAsiaTheme="minorEastAsia" w:hAnsiTheme="minorHAnsi" w:cstheme="minorBidi"/>
          <w:spacing w:val="0"/>
          <w:sz w:val="22"/>
          <w:szCs w:val="22"/>
          <w:lang w:val="es-CL" w:eastAsia="es-CL"/>
        </w:rPr>
      </w:pPr>
      <w:hyperlink w:anchor="_Toc34687235" w:history="1">
        <w:r w:rsidR="00EF72E6" w:rsidRPr="00193896">
          <w:rPr>
            <w:rStyle w:val="Hipervnculo"/>
          </w:rPr>
          <w:t>6.2.9.25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Indemnización a propietarios por daños debido a Trabajos en Franja Servidumbre</w:t>
        </w:r>
        <w:r w:rsidR="00EF72E6">
          <w:rPr>
            <w:webHidden/>
          </w:rPr>
          <w:tab/>
        </w:r>
        <w:r w:rsidR="00EF72E6">
          <w:rPr>
            <w:webHidden/>
          </w:rPr>
          <w:fldChar w:fldCharType="begin"/>
        </w:r>
        <w:r w:rsidR="00EF72E6">
          <w:rPr>
            <w:webHidden/>
          </w:rPr>
          <w:instrText xml:space="preserve"> PAGEREF _Toc34687235 \h </w:instrText>
        </w:r>
        <w:r w:rsidR="00EF72E6">
          <w:rPr>
            <w:webHidden/>
          </w:rPr>
        </w:r>
        <w:r w:rsidR="00EF72E6">
          <w:rPr>
            <w:webHidden/>
          </w:rPr>
          <w:fldChar w:fldCharType="separate"/>
        </w:r>
        <w:r w:rsidR="00F14BED">
          <w:rPr>
            <w:webHidden/>
          </w:rPr>
          <w:t>80</w:t>
        </w:r>
        <w:r w:rsidR="00EF72E6">
          <w:rPr>
            <w:webHidden/>
          </w:rPr>
          <w:fldChar w:fldCharType="end"/>
        </w:r>
      </w:hyperlink>
    </w:p>
    <w:p w14:paraId="1BBE6731" w14:textId="63ABA00D" w:rsidR="00EF72E6" w:rsidRDefault="00F5226B">
      <w:pPr>
        <w:pStyle w:val="TDC4"/>
        <w:rPr>
          <w:rFonts w:asciiTheme="minorHAnsi" w:eastAsiaTheme="minorEastAsia" w:hAnsiTheme="minorHAnsi" w:cstheme="minorBidi"/>
          <w:spacing w:val="0"/>
          <w:sz w:val="22"/>
          <w:szCs w:val="22"/>
          <w:lang w:val="es-CL" w:eastAsia="es-CL"/>
        </w:rPr>
      </w:pPr>
      <w:hyperlink w:anchor="_Toc34687236" w:history="1">
        <w:r w:rsidR="00EF72E6" w:rsidRPr="00193896">
          <w:rPr>
            <w:rStyle w:val="Hipervnculo"/>
            <w:lang w:val="es-ES"/>
          </w:rPr>
          <w:t>6.2.9.26</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Costos de operación de vehículos de la empresa modelo</w:t>
        </w:r>
        <w:r w:rsidR="00EF72E6">
          <w:rPr>
            <w:webHidden/>
          </w:rPr>
          <w:tab/>
        </w:r>
        <w:r w:rsidR="00EF72E6">
          <w:rPr>
            <w:webHidden/>
          </w:rPr>
          <w:fldChar w:fldCharType="begin"/>
        </w:r>
        <w:r w:rsidR="00EF72E6">
          <w:rPr>
            <w:webHidden/>
          </w:rPr>
          <w:instrText xml:space="preserve"> PAGEREF _Toc34687236 \h </w:instrText>
        </w:r>
        <w:r w:rsidR="00EF72E6">
          <w:rPr>
            <w:webHidden/>
          </w:rPr>
        </w:r>
        <w:r w:rsidR="00EF72E6">
          <w:rPr>
            <w:webHidden/>
          </w:rPr>
          <w:fldChar w:fldCharType="separate"/>
        </w:r>
        <w:r w:rsidR="00F14BED">
          <w:rPr>
            <w:webHidden/>
          </w:rPr>
          <w:t>80</w:t>
        </w:r>
        <w:r w:rsidR="00EF72E6">
          <w:rPr>
            <w:webHidden/>
          </w:rPr>
          <w:fldChar w:fldCharType="end"/>
        </w:r>
      </w:hyperlink>
    </w:p>
    <w:p w14:paraId="72897560" w14:textId="79D61488" w:rsidR="00EF72E6" w:rsidRDefault="00F5226B">
      <w:pPr>
        <w:pStyle w:val="TDC4"/>
        <w:rPr>
          <w:rFonts w:asciiTheme="minorHAnsi" w:eastAsiaTheme="minorEastAsia" w:hAnsiTheme="minorHAnsi" w:cstheme="minorBidi"/>
          <w:spacing w:val="0"/>
          <w:sz w:val="22"/>
          <w:szCs w:val="22"/>
          <w:lang w:val="es-CL" w:eastAsia="es-CL"/>
        </w:rPr>
      </w:pPr>
      <w:hyperlink w:anchor="_Toc34687237" w:history="1">
        <w:r w:rsidR="00EF72E6" w:rsidRPr="00193896">
          <w:rPr>
            <w:rStyle w:val="Hipervnculo"/>
          </w:rPr>
          <w:t>6.2.9.27</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Costos de mantenimiento de edificios</w:t>
        </w:r>
        <w:r w:rsidR="00EF72E6">
          <w:rPr>
            <w:webHidden/>
          </w:rPr>
          <w:tab/>
        </w:r>
        <w:r w:rsidR="00EF72E6">
          <w:rPr>
            <w:webHidden/>
          </w:rPr>
          <w:fldChar w:fldCharType="begin"/>
        </w:r>
        <w:r w:rsidR="00EF72E6">
          <w:rPr>
            <w:webHidden/>
          </w:rPr>
          <w:instrText xml:space="preserve"> PAGEREF _Toc34687237 \h </w:instrText>
        </w:r>
        <w:r w:rsidR="00EF72E6">
          <w:rPr>
            <w:webHidden/>
          </w:rPr>
        </w:r>
        <w:r w:rsidR="00EF72E6">
          <w:rPr>
            <w:webHidden/>
          </w:rPr>
          <w:fldChar w:fldCharType="separate"/>
        </w:r>
        <w:r w:rsidR="00F14BED">
          <w:rPr>
            <w:webHidden/>
          </w:rPr>
          <w:t>81</w:t>
        </w:r>
        <w:r w:rsidR="00EF72E6">
          <w:rPr>
            <w:webHidden/>
          </w:rPr>
          <w:fldChar w:fldCharType="end"/>
        </w:r>
      </w:hyperlink>
    </w:p>
    <w:p w14:paraId="1E68D505" w14:textId="0B75EF94" w:rsidR="00EF72E6" w:rsidRDefault="00F5226B">
      <w:pPr>
        <w:pStyle w:val="TDC4"/>
        <w:rPr>
          <w:rFonts w:asciiTheme="minorHAnsi" w:eastAsiaTheme="minorEastAsia" w:hAnsiTheme="minorHAnsi" w:cstheme="minorBidi"/>
          <w:spacing w:val="0"/>
          <w:sz w:val="22"/>
          <w:szCs w:val="22"/>
          <w:lang w:val="es-CL" w:eastAsia="es-CL"/>
        </w:rPr>
      </w:pPr>
      <w:hyperlink w:anchor="_Toc34687238" w:history="1">
        <w:r w:rsidR="00EF72E6" w:rsidRPr="00193896">
          <w:rPr>
            <w:rStyle w:val="Hipervnculo"/>
          </w:rPr>
          <w:t>6.2.9.28</w:t>
        </w:r>
        <w:r w:rsidR="00EF72E6">
          <w:rPr>
            <w:rFonts w:asciiTheme="minorHAnsi" w:eastAsiaTheme="minorEastAsia" w:hAnsiTheme="minorHAnsi" w:cstheme="minorBidi"/>
            <w:spacing w:val="0"/>
            <w:sz w:val="22"/>
            <w:szCs w:val="22"/>
            <w:lang w:val="es-CL" w:eastAsia="es-CL"/>
          </w:rPr>
          <w:tab/>
        </w:r>
        <w:r w:rsidR="00EF72E6" w:rsidRPr="00193896">
          <w:rPr>
            <w:rStyle w:val="Hipervnculo"/>
          </w:rPr>
          <w:t>Costos de ciberseguridad</w:t>
        </w:r>
        <w:r w:rsidR="00EF72E6">
          <w:rPr>
            <w:webHidden/>
          </w:rPr>
          <w:tab/>
        </w:r>
        <w:r w:rsidR="00EF72E6">
          <w:rPr>
            <w:webHidden/>
          </w:rPr>
          <w:fldChar w:fldCharType="begin"/>
        </w:r>
        <w:r w:rsidR="00EF72E6">
          <w:rPr>
            <w:webHidden/>
          </w:rPr>
          <w:instrText xml:space="preserve"> PAGEREF _Toc34687238 \h </w:instrText>
        </w:r>
        <w:r w:rsidR="00EF72E6">
          <w:rPr>
            <w:webHidden/>
          </w:rPr>
        </w:r>
        <w:r w:rsidR="00EF72E6">
          <w:rPr>
            <w:webHidden/>
          </w:rPr>
          <w:fldChar w:fldCharType="separate"/>
        </w:r>
        <w:r w:rsidR="00F14BED">
          <w:rPr>
            <w:webHidden/>
          </w:rPr>
          <w:t>82</w:t>
        </w:r>
        <w:r w:rsidR="00EF72E6">
          <w:rPr>
            <w:webHidden/>
          </w:rPr>
          <w:fldChar w:fldCharType="end"/>
        </w:r>
      </w:hyperlink>
    </w:p>
    <w:p w14:paraId="36C0DF15" w14:textId="07BD4E7B"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39" w:history="1">
        <w:r w:rsidR="00EF72E6" w:rsidRPr="00193896">
          <w:rPr>
            <w:rStyle w:val="Hipervnculo"/>
          </w:rPr>
          <w:t>6.2.10</w:t>
        </w:r>
        <w:r w:rsidR="00EF72E6">
          <w:rPr>
            <w:rFonts w:asciiTheme="minorHAnsi" w:eastAsiaTheme="minorEastAsia" w:hAnsiTheme="minorHAnsi" w:cstheme="minorBidi"/>
            <w:sz w:val="22"/>
            <w:szCs w:val="22"/>
            <w:lang w:val="es-CL" w:eastAsia="es-CL"/>
          </w:rPr>
          <w:tab/>
        </w:r>
        <w:r w:rsidR="00EF72E6" w:rsidRPr="00193896">
          <w:rPr>
            <w:rStyle w:val="Hipervnculo"/>
          </w:rPr>
          <w:t>Bienes muebles e inmuebles</w:t>
        </w:r>
        <w:r w:rsidR="00EF72E6">
          <w:rPr>
            <w:webHidden/>
          </w:rPr>
          <w:tab/>
        </w:r>
        <w:r w:rsidR="00EF72E6">
          <w:rPr>
            <w:webHidden/>
          </w:rPr>
          <w:fldChar w:fldCharType="begin"/>
        </w:r>
        <w:r w:rsidR="00EF72E6">
          <w:rPr>
            <w:webHidden/>
          </w:rPr>
          <w:instrText xml:space="preserve"> PAGEREF _Toc34687239 \h </w:instrText>
        </w:r>
        <w:r w:rsidR="00EF72E6">
          <w:rPr>
            <w:webHidden/>
          </w:rPr>
        </w:r>
        <w:r w:rsidR="00EF72E6">
          <w:rPr>
            <w:webHidden/>
          </w:rPr>
          <w:fldChar w:fldCharType="separate"/>
        </w:r>
        <w:r w:rsidR="00F14BED">
          <w:rPr>
            <w:webHidden/>
          </w:rPr>
          <w:t>82</w:t>
        </w:r>
        <w:r w:rsidR="00EF72E6">
          <w:rPr>
            <w:webHidden/>
          </w:rPr>
          <w:fldChar w:fldCharType="end"/>
        </w:r>
      </w:hyperlink>
    </w:p>
    <w:p w14:paraId="203B004C" w14:textId="1E361C98" w:rsidR="00EF72E6" w:rsidRDefault="00F5226B">
      <w:pPr>
        <w:pStyle w:val="TDC4"/>
        <w:rPr>
          <w:rFonts w:asciiTheme="minorHAnsi" w:eastAsiaTheme="minorEastAsia" w:hAnsiTheme="minorHAnsi" w:cstheme="minorBidi"/>
          <w:spacing w:val="0"/>
          <w:sz w:val="22"/>
          <w:szCs w:val="22"/>
          <w:lang w:val="es-CL" w:eastAsia="es-CL"/>
        </w:rPr>
      </w:pPr>
      <w:hyperlink w:anchor="_Toc34687240" w:history="1">
        <w:r w:rsidR="00EF72E6" w:rsidRPr="00193896">
          <w:rPr>
            <w:rStyle w:val="Hipervnculo"/>
          </w:rPr>
          <w:t>6.2.10.1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Bienes inmuebles distintos a los terrenos</w:t>
        </w:r>
        <w:r w:rsidR="00EF72E6">
          <w:rPr>
            <w:webHidden/>
          </w:rPr>
          <w:tab/>
        </w:r>
        <w:r w:rsidR="00EF72E6">
          <w:rPr>
            <w:webHidden/>
          </w:rPr>
          <w:fldChar w:fldCharType="begin"/>
        </w:r>
        <w:r w:rsidR="00EF72E6">
          <w:rPr>
            <w:webHidden/>
          </w:rPr>
          <w:instrText xml:space="preserve"> PAGEREF _Toc34687240 \h </w:instrText>
        </w:r>
        <w:r w:rsidR="00EF72E6">
          <w:rPr>
            <w:webHidden/>
          </w:rPr>
        </w:r>
        <w:r w:rsidR="00EF72E6">
          <w:rPr>
            <w:webHidden/>
          </w:rPr>
          <w:fldChar w:fldCharType="separate"/>
        </w:r>
        <w:r w:rsidR="00F14BED">
          <w:rPr>
            <w:webHidden/>
          </w:rPr>
          <w:t>82</w:t>
        </w:r>
        <w:r w:rsidR="00EF72E6">
          <w:rPr>
            <w:webHidden/>
          </w:rPr>
          <w:fldChar w:fldCharType="end"/>
        </w:r>
      </w:hyperlink>
    </w:p>
    <w:p w14:paraId="12872B05" w14:textId="4AA22896" w:rsidR="00EF72E6" w:rsidRDefault="00F5226B">
      <w:pPr>
        <w:pStyle w:val="TDC4"/>
        <w:rPr>
          <w:rFonts w:asciiTheme="minorHAnsi" w:eastAsiaTheme="minorEastAsia" w:hAnsiTheme="minorHAnsi" w:cstheme="minorBidi"/>
          <w:spacing w:val="0"/>
          <w:sz w:val="22"/>
          <w:szCs w:val="22"/>
          <w:lang w:val="es-CL" w:eastAsia="es-CL"/>
        </w:rPr>
      </w:pPr>
      <w:hyperlink w:anchor="_Toc34687241" w:history="1">
        <w:r w:rsidR="00EF72E6" w:rsidRPr="00193896">
          <w:rPr>
            <w:rStyle w:val="Hipervnculo"/>
          </w:rPr>
          <w:t>6.2.10.2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Equipamiento de operación y mantenimiento no fungible</w:t>
        </w:r>
        <w:r w:rsidR="00EF72E6">
          <w:rPr>
            <w:webHidden/>
          </w:rPr>
          <w:tab/>
        </w:r>
        <w:r w:rsidR="00EF72E6">
          <w:rPr>
            <w:webHidden/>
          </w:rPr>
          <w:fldChar w:fldCharType="begin"/>
        </w:r>
        <w:r w:rsidR="00EF72E6">
          <w:rPr>
            <w:webHidden/>
          </w:rPr>
          <w:instrText xml:space="preserve"> PAGEREF _Toc34687241 \h </w:instrText>
        </w:r>
        <w:r w:rsidR="00EF72E6">
          <w:rPr>
            <w:webHidden/>
          </w:rPr>
        </w:r>
        <w:r w:rsidR="00EF72E6">
          <w:rPr>
            <w:webHidden/>
          </w:rPr>
          <w:fldChar w:fldCharType="separate"/>
        </w:r>
        <w:r w:rsidR="00F14BED">
          <w:rPr>
            <w:webHidden/>
          </w:rPr>
          <w:t>84</w:t>
        </w:r>
        <w:r w:rsidR="00EF72E6">
          <w:rPr>
            <w:webHidden/>
          </w:rPr>
          <w:fldChar w:fldCharType="end"/>
        </w:r>
      </w:hyperlink>
    </w:p>
    <w:p w14:paraId="668A1643" w14:textId="5D85A2F5" w:rsidR="00EF72E6" w:rsidRDefault="00F5226B">
      <w:pPr>
        <w:pStyle w:val="TDC4"/>
        <w:rPr>
          <w:rFonts w:asciiTheme="minorHAnsi" w:eastAsiaTheme="minorEastAsia" w:hAnsiTheme="minorHAnsi" w:cstheme="minorBidi"/>
          <w:spacing w:val="0"/>
          <w:sz w:val="22"/>
          <w:szCs w:val="22"/>
          <w:lang w:val="es-CL" w:eastAsia="es-CL"/>
        </w:rPr>
      </w:pPr>
      <w:hyperlink w:anchor="_Toc34687242" w:history="1">
        <w:r w:rsidR="00EF72E6" w:rsidRPr="00193896">
          <w:rPr>
            <w:rStyle w:val="Hipervnculo"/>
          </w:rPr>
          <w:t>6.2.10.3</w:t>
        </w:r>
        <w:r w:rsidR="00EF72E6">
          <w:rPr>
            <w:rFonts w:asciiTheme="minorHAnsi" w:eastAsiaTheme="minorEastAsia" w:hAnsiTheme="minorHAnsi" w:cstheme="minorBidi"/>
            <w:spacing w:val="0"/>
            <w:sz w:val="22"/>
            <w:szCs w:val="22"/>
            <w:lang w:val="es-CL" w:eastAsia="es-CL"/>
          </w:rPr>
          <w:tab/>
        </w:r>
        <w:r w:rsidR="00EF72E6" w:rsidRPr="00193896">
          <w:rPr>
            <w:rStyle w:val="Hipervnculo"/>
          </w:rPr>
          <w:t>Equipamiento de oficina no fungible</w:t>
        </w:r>
        <w:r w:rsidR="00EF72E6">
          <w:rPr>
            <w:webHidden/>
          </w:rPr>
          <w:tab/>
        </w:r>
        <w:r w:rsidR="00EF72E6">
          <w:rPr>
            <w:webHidden/>
          </w:rPr>
          <w:fldChar w:fldCharType="begin"/>
        </w:r>
        <w:r w:rsidR="00EF72E6">
          <w:rPr>
            <w:webHidden/>
          </w:rPr>
          <w:instrText xml:space="preserve"> PAGEREF _Toc34687242 \h </w:instrText>
        </w:r>
        <w:r w:rsidR="00EF72E6">
          <w:rPr>
            <w:webHidden/>
          </w:rPr>
        </w:r>
        <w:r w:rsidR="00EF72E6">
          <w:rPr>
            <w:webHidden/>
          </w:rPr>
          <w:fldChar w:fldCharType="separate"/>
        </w:r>
        <w:r w:rsidR="00F14BED">
          <w:rPr>
            <w:webHidden/>
          </w:rPr>
          <w:t>84</w:t>
        </w:r>
        <w:r w:rsidR="00EF72E6">
          <w:rPr>
            <w:webHidden/>
          </w:rPr>
          <w:fldChar w:fldCharType="end"/>
        </w:r>
      </w:hyperlink>
    </w:p>
    <w:p w14:paraId="5A84F210" w14:textId="4BE99415" w:rsidR="00EF72E6" w:rsidRDefault="00F5226B">
      <w:pPr>
        <w:pStyle w:val="TDC4"/>
        <w:rPr>
          <w:rFonts w:asciiTheme="minorHAnsi" w:eastAsiaTheme="minorEastAsia" w:hAnsiTheme="minorHAnsi" w:cstheme="minorBidi"/>
          <w:spacing w:val="0"/>
          <w:sz w:val="22"/>
          <w:szCs w:val="22"/>
          <w:lang w:val="es-CL" w:eastAsia="es-CL"/>
        </w:rPr>
      </w:pPr>
      <w:hyperlink w:anchor="_Toc34687243" w:history="1">
        <w:r w:rsidR="00EF72E6" w:rsidRPr="00193896">
          <w:rPr>
            <w:rStyle w:val="Hipervnculo"/>
          </w:rPr>
          <w:t>6.2.10.4</w:t>
        </w:r>
        <w:r w:rsidR="00EF72E6">
          <w:rPr>
            <w:rFonts w:asciiTheme="minorHAnsi" w:eastAsiaTheme="minorEastAsia" w:hAnsiTheme="minorHAnsi" w:cstheme="minorBidi"/>
            <w:spacing w:val="0"/>
            <w:sz w:val="22"/>
            <w:szCs w:val="22"/>
            <w:lang w:val="es-CL" w:eastAsia="es-CL"/>
          </w:rPr>
          <w:tab/>
        </w:r>
        <w:r w:rsidR="00EF72E6" w:rsidRPr="00193896">
          <w:rPr>
            <w:rStyle w:val="Hipervnculo"/>
          </w:rPr>
          <w:t>Equipamiento computacional</w:t>
        </w:r>
        <w:r w:rsidR="00EF72E6">
          <w:rPr>
            <w:webHidden/>
          </w:rPr>
          <w:tab/>
        </w:r>
        <w:r w:rsidR="00EF72E6">
          <w:rPr>
            <w:webHidden/>
          </w:rPr>
          <w:fldChar w:fldCharType="begin"/>
        </w:r>
        <w:r w:rsidR="00EF72E6">
          <w:rPr>
            <w:webHidden/>
          </w:rPr>
          <w:instrText xml:space="preserve"> PAGEREF _Toc34687243 \h </w:instrText>
        </w:r>
        <w:r w:rsidR="00EF72E6">
          <w:rPr>
            <w:webHidden/>
          </w:rPr>
        </w:r>
        <w:r w:rsidR="00EF72E6">
          <w:rPr>
            <w:webHidden/>
          </w:rPr>
          <w:fldChar w:fldCharType="separate"/>
        </w:r>
        <w:r w:rsidR="00F14BED">
          <w:rPr>
            <w:webHidden/>
          </w:rPr>
          <w:t>85</w:t>
        </w:r>
        <w:r w:rsidR="00EF72E6">
          <w:rPr>
            <w:webHidden/>
          </w:rPr>
          <w:fldChar w:fldCharType="end"/>
        </w:r>
      </w:hyperlink>
    </w:p>
    <w:p w14:paraId="394734F7" w14:textId="46273EA6" w:rsidR="00EF72E6" w:rsidRDefault="00F5226B">
      <w:pPr>
        <w:pStyle w:val="TDC4"/>
        <w:rPr>
          <w:rFonts w:asciiTheme="minorHAnsi" w:eastAsiaTheme="minorEastAsia" w:hAnsiTheme="minorHAnsi" w:cstheme="minorBidi"/>
          <w:spacing w:val="0"/>
          <w:sz w:val="22"/>
          <w:szCs w:val="22"/>
          <w:lang w:val="es-CL" w:eastAsia="es-CL"/>
        </w:rPr>
      </w:pPr>
      <w:hyperlink w:anchor="_Toc34687244" w:history="1">
        <w:r w:rsidR="00EF72E6" w:rsidRPr="00193896">
          <w:rPr>
            <w:rStyle w:val="Hipervnculo"/>
          </w:rPr>
          <w:t>6.2.10.5</w:t>
        </w:r>
        <w:r w:rsidR="00EF72E6">
          <w:rPr>
            <w:rFonts w:asciiTheme="minorHAnsi" w:eastAsiaTheme="minorEastAsia" w:hAnsiTheme="minorHAnsi" w:cstheme="minorBidi"/>
            <w:spacing w:val="0"/>
            <w:sz w:val="22"/>
            <w:szCs w:val="22"/>
            <w:lang w:val="es-CL" w:eastAsia="es-CL"/>
          </w:rPr>
          <w:tab/>
        </w:r>
        <w:r w:rsidR="00EF72E6" w:rsidRPr="00193896">
          <w:rPr>
            <w:rStyle w:val="Hipervnculo"/>
          </w:rPr>
          <w:t>Equipamiento de comunicaciones</w:t>
        </w:r>
        <w:r w:rsidR="00EF72E6">
          <w:rPr>
            <w:webHidden/>
          </w:rPr>
          <w:tab/>
        </w:r>
        <w:r w:rsidR="00EF72E6">
          <w:rPr>
            <w:webHidden/>
          </w:rPr>
          <w:fldChar w:fldCharType="begin"/>
        </w:r>
        <w:r w:rsidR="00EF72E6">
          <w:rPr>
            <w:webHidden/>
          </w:rPr>
          <w:instrText xml:space="preserve"> PAGEREF _Toc34687244 \h </w:instrText>
        </w:r>
        <w:r w:rsidR="00EF72E6">
          <w:rPr>
            <w:webHidden/>
          </w:rPr>
        </w:r>
        <w:r w:rsidR="00EF72E6">
          <w:rPr>
            <w:webHidden/>
          </w:rPr>
          <w:fldChar w:fldCharType="separate"/>
        </w:r>
        <w:r w:rsidR="00F14BED">
          <w:rPr>
            <w:webHidden/>
          </w:rPr>
          <w:t>90</w:t>
        </w:r>
        <w:r w:rsidR="00EF72E6">
          <w:rPr>
            <w:webHidden/>
          </w:rPr>
          <w:fldChar w:fldCharType="end"/>
        </w:r>
      </w:hyperlink>
    </w:p>
    <w:p w14:paraId="7BC7C9CF" w14:textId="6068E394" w:rsidR="00EF72E6" w:rsidRDefault="00F5226B">
      <w:pPr>
        <w:pStyle w:val="TDC4"/>
        <w:rPr>
          <w:rFonts w:asciiTheme="minorHAnsi" w:eastAsiaTheme="minorEastAsia" w:hAnsiTheme="minorHAnsi" w:cstheme="minorBidi"/>
          <w:spacing w:val="0"/>
          <w:sz w:val="22"/>
          <w:szCs w:val="22"/>
          <w:lang w:val="es-CL" w:eastAsia="es-CL"/>
        </w:rPr>
      </w:pPr>
      <w:hyperlink w:anchor="_Toc34687245" w:history="1">
        <w:r w:rsidR="00EF72E6" w:rsidRPr="00193896">
          <w:rPr>
            <w:rStyle w:val="Hipervnculo"/>
          </w:rPr>
          <w:t>6.2.10.6</w:t>
        </w:r>
        <w:r w:rsidR="00EF72E6">
          <w:rPr>
            <w:rFonts w:asciiTheme="minorHAnsi" w:eastAsiaTheme="minorEastAsia" w:hAnsiTheme="minorHAnsi" w:cstheme="minorBidi"/>
            <w:spacing w:val="0"/>
            <w:sz w:val="22"/>
            <w:szCs w:val="22"/>
            <w:lang w:val="es-CL" w:eastAsia="es-CL"/>
          </w:rPr>
          <w:tab/>
        </w:r>
        <w:r w:rsidR="00EF72E6" w:rsidRPr="00193896">
          <w:rPr>
            <w:rStyle w:val="Hipervnculo"/>
          </w:rPr>
          <w:t>Sistema SCADA (Software y Hardware).</w:t>
        </w:r>
        <w:r w:rsidR="00EF72E6">
          <w:rPr>
            <w:webHidden/>
          </w:rPr>
          <w:tab/>
        </w:r>
        <w:r w:rsidR="00EF72E6">
          <w:rPr>
            <w:webHidden/>
          </w:rPr>
          <w:fldChar w:fldCharType="begin"/>
        </w:r>
        <w:r w:rsidR="00EF72E6">
          <w:rPr>
            <w:webHidden/>
          </w:rPr>
          <w:instrText xml:space="preserve"> PAGEREF _Toc34687245 \h </w:instrText>
        </w:r>
        <w:r w:rsidR="00EF72E6">
          <w:rPr>
            <w:webHidden/>
          </w:rPr>
        </w:r>
        <w:r w:rsidR="00EF72E6">
          <w:rPr>
            <w:webHidden/>
          </w:rPr>
          <w:fldChar w:fldCharType="separate"/>
        </w:r>
        <w:r w:rsidR="00F14BED">
          <w:rPr>
            <w:webHidden/>
          </w:rPr>
          <w:t>91</w:t>
        </w:r>
        <w:r w:rsidR="00EF72E6">
          <w:rPr>
            <w:webHidden/>
          </w:rPr>
          <w:fldChar w:fldCharType="end"/>
        </w:r>
      </w:hyperlink>
    </w:p>
    <w:p w14:paraId="3A96017C" w14:textId="2AE9BA30" w:rsidR="00EF72E6" w:rsidRDefault="00F5226B">
      <w:pPr>
        <w:pStyle w:val="TDC4"/>
        <w:rPr>
          <w:rFonts w:asciiTheme="minorHAnsi" w:eastAsiaTheme="minorEastAsia" w:hAnsiTheme="minorHAnsi" w:cstheme="minorBidi"/>
          <w:spacing w:val="0"/>
          <w:sz w:val="22"/>
          <w:szCs w:val="22"/>
          <w:lang w:val="es-CL" w:eastAsia="es-CL"/>
        </w:rPr>
      </w:pPr>
      <w:hyperlink w:anchor="_Toc34687246" w:history="1">
        <w:r w:rsidR="00EF72E6" w:rsidRPr="00193896">
          <w:rPr>
            <w:rStyle w:val="Hipervnculo"/>
          </w:rPr>
          <w:t>6.2.10.7</w:t>
        </w:r>
        <w:r w:rsidR="00EF72E6">
          <w:rPr>
            <w:rFonts w:asciiTheme="minorHAnsi" w:eastAsiaTheme="minorEastAsia" w:hAnsiTheme="minorHAnsi" w:cstheme="minorBidi"/>
            <w:spacing w:val="0"/>
            <w:sz w:val="22"/>
            <w:szCs w:val="22"/>
            <w:lang w:val="es-CL" w:eastAsia="es-CL"/>
          </w:rPr>
          <w:tab/>
        </w:r>
        <w:r w:rsidR="00EF72E6" w:rsidRPr="00193896">
          <w:rPr>
            <w:rStyle w:val="Hipervnculo"/>
          </w:rPr>
          <w:t>Vehículos</w:t>
        </w:r>
        <w:r w:rsidR="00EF72E6">
          <w:rPr>
            <w:webHidden/>
          </w:rPr>
          <w:tab/>
        </w:r>
        <w:r w:rsidR="00EF72E6">
          <w:rPr>
            <w:webHidden/>
          </w:rPr>
          <w:fldChar w:fldCharType="begin"/>
        </w:r>
        <w:r w:rsidR="00EF72E6">
          <w:rPr>
            <w:webHidden/>
          </w:rPr>
          <w:instrText xml:space="preserve"> PAGEREF _Toc34687246 \h </w:instrText>
        </w:r>
        <w:r w:rsidR="00EF72E6">
          <w:rPr>
            <w:webHidden/>
          </w:rPr>
        </w:r>
        <w:r w:rsidR="00EF72E6">
          <w:rPr>
            <w:webHidden/>
          </w:rPr>
          <w:fldChar w:fldCharType="separate"/>
        </w:r>
        <w:r w:rsidR="00F14BED">
          <w:rPr>
            <w:webHidden/>
          </w:rPr>
          <w:t>92</w:t>
        </w:r>
        <w:r w:rsidR="00EF72E6">
          <w:rPr>
            <w:webHidden/>
          </w:rPr>
          <w:fldChar w:fldCharType="end"/>
        </w:r>
      </w:hyperlink>
    </w:p>
    <w:p w14:paraId="27C3D27B" w14:textId="6C5E71EF"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47" w:history="1">
        <w:r w:rsidR="00EF72E6" w:rsidRPr="00193896">
          <w:rPr>
            <w:rStyle w:val="Hipervnculo"/>
          </w:rPr>
          <w:t>6.2.11</w:t>
        </w:r>
        <w:r w:rsidR="00EF72E6">
          <w:rPr>
            <w:rFonts w:asciiTheme="minorHAnsi" w:eastAsiaTheme="minorEastAsia" w:hAnsiTheme="minorHAnsi" w:cstheme="minorBidi"/>
            <w:sz w:val="22"/>
            <w:szCs w:val="22"/>
            <w:lang w:val="es-CL" w:eastAsia="es-CL"/>
          </w:rPr>
          <w:tab/>
        </w:r>
        <w:r w:rsidR="00EF72E6" w:rsidRPr="00193896">
          <w:rPr>
            <w:rStyle w:val="Hipervnculo"/>
          </w:rPr>
          <w:t>Metodología de asignación del COMA</w:t>
        </w:r>
        <w:r w:rsidR="00EF72E6">
          <w:rPr>
            <w:webHidden/>
          </w:rPr>
          <w:tab/>
        </w:r>
        <w:r w:rsidR="00EF72E6">
          <w:rPr>
            <w:webHidden/>
          </w:rPr>
          <w:fldChar w:fldCharType="begin"/>
        </w:r>
        <w:r w:rsidR="00EF72E6">
          <w:rPr>
            <w:webHidden/>
          </w:rPr>
          <w:instrText xml:space="preserve"> PAGEREF _Toc34687247 \h </w:instrText>
        </w:r>
        <w:r w:rsidR="00EF72E6">
          <w:rPr>
            <w:webHidden/>
          </w:rPr>
        </w:r>
        <w:r w:rsidR="00EF72E6">
          <w:rPr>
            <w:webHidden/>
          </w:rPr>
          <w:fldChar w:fldCharType="separate"/>
        </w:r>
        <w:r w:rsidR="00F14BED">
          <w:rPr>
            <w:webHidden/>
          </w:rPr>
          <w:t>94</w:t>
        </w:r>
        <w:r w:rsidR="00EF72E6">
          <w:rPr>
            <w:webHidden/>
          </w:rPr>
          <w:fldChar w:fldCharType="end"/>
        </w:r>
      </w:hyperlink>
    </w:p>
    <w:p w14:paraId="1E6E89C2" w14:textId="57E8155C"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48" w:history="1">
        <w:r w:rsidR="00EF72E6" w:rsidRPr="00193896">
          <w:rPr>
            <w:rStyle w:val="Hipervnculo"/>
          </w:rPr>
          <w:t>6.2.12</w:t>
        </w:r>
        <w:r w:rsidR="00EF72E6">
          <w:rPr>
            <w:rFonts w:asciiTheme="minorHAnsi" w:eastAsiaTheme="minorEastAsia" w:hAnsiTheme="minorHAnsi" w:cstheme="minorBidi"/>
            <w:sz w:val="22"/>
            <w:szCs w:val="22"/>
            <w:lang w:val="es-CL" w:eastAsia="es-CL"/>
          </w:rPr>
          <w:tab/>
        </w:r>
        <w:r w:rsidR="00EF72E6" w:rsidRPr="00193896">
          <w:rPr>
            <w:rStyle w:val="Hipervnculo"/>
          </w:rPr>
          <w:t>Modelo de cálculo del COMA</w:t>
        </w:r>
        <w:r w:rsidR="00EF72E6">
          <w:rPr>
            <w:webHidden/>
          </w:rPr>
          <w:tab/>
        </w:r>
        <w:r w:rsidR="00EF72E6">
          <w:rPr>
            <w:webHidden/>
          </w:rPr>
          <w:fldChar w:fldCharType="begin"/>
        </w:r>
        <w:r w:rsidR="00EF72E6">
          <w:rPr>
            <w:webHidden/>
          </w:rPr>
          <w:instrText xml:space="preserve"> PAGEREF _Toc34687248 \h </w:instrText>
        </w:r>
        <w:r w:rsidR="00EF72E6">
          <w:rPr>
            <w:webHidden/>
          </w:rPr>
        </w:r>
        <w:r w:rsidR="00EF72E6">
          <w:rPr>
            <w:webHidden/>
          </w:rPr>
          <w:fldChar w:fldCharType="separate"/>
        </w:r>
        <w:r w:rsidR="00F14BED">
          <w:rPr>
            <w:webHidden/>
          </w:rPr>
          <w:t>95</w:t>
        </w:r>
        <w:r w:rsidR="00EF72E6">
          <w:rPr>
            <w:webHidden/>
          </w:rPr>
          <w:fldChar w:fldCharType="end"/>
        </w:r>
      </w:hyperlink>
    </w:p>
    <w:p w14:paraId="11A79F7C" w14:textId="71B4F8BB" w:rsidR="00EF72E6" w:rsidRDefault="00F5226B">
      <w:pPr>
        <w:pStyle w:val="TDC4"/>
        <w:rPr>
          <w:rFonts w:asciiTheme="minorHAnsi" w:eastAsiaTheme="minorEastAsia" w:hAnsiTheme="minorHAnsi" w:cstheme="minorBidi"/>
          <w:spacing w:val="0"/>
          <w:sz w:val="22"/>
          <w:szCs w:val="22"/>
          <w:lang w:val="es-CL" w:eastAsia="es-CL"/>
        </w:rPr>
      </w:pPr>
      <w:hyperlink w:anchor="_Toc34687249" w:history="1">
        <w:r w:rsidR="00EF72E6" w:rsidRPr="00193896">
          <w:rPr>
            <w:rStyle w:val="Hipervnculo"/>
            <w:lang w:val="es-ES"/>
          </w:rPr>
          <w:t>6.2.12.1</w:t>
        </w:r>
        <w:r w:rsidR="00EF72E6">
          <w:rPr>
            <w:rFonts w:asciiTheme="minorHAnsi" w:eastAsiaTheme="minorEastAsia" w:hAnsiTheme="minorHAnsi" w:cstheme="minorBidi"/>
            <w:spacing w:val="0"/>
            <w:sz w:val="22"/>
            <w:szCs w:val="22"/>
            <w:lang w:val="es-CL" w:eastAsia="es-CL"/>
          </w:rPr>
          <w:tab/>
        </w:r>
        <w:r w:rsidR="00EF72E6" w:rsidRPr="00193896">
          <w:rPr>
            <w:rStyle w:val="Hipervnculo"/>
            <w:lang w:val="es-ES"/>
          </w:rPr>
          <w:t>Estructura Central y Regionales</w:t>
        </w:r>
        <w:r w:rsidR="00EF72E6">
          <w:rPr>
            <w:webHidden/>
          </w:rPr>
          <w:tab/>
        </w:r>
        <w:r w:rsidR="00EF72E6">
          <w:rPr>
            <w:webHidden/>
          </w:rPr>
          <w:fldChar w:fldCharType="begin"/>
        </w:r>
        <w:r w:rsidR="00EF72E6">
          <w:rPr>
            <w:webHidden/>
          </w:rPr>
          <w:instrText xml:space="preserve"> PAGEREF _Toc34687249 \h </w:instrText>
        </w:r>
        <w:r w:rsidR="00EF72E6">
          <w:rPr>
            <w:webHidden/>
          </w:rPr>
        </w:r>
        <w:r w:rsidR="00EF72E6">
          <w:rPr>
            <w:webHidden/>
          </w:rPr>
          <w:fldChar w:fldCharType="separate"/>
        </w:r>
        <w:r w:rsidR="00F14BED">
          <w:rPr>
            <w:webHidden/>
          </w:rPr>
          <w:t>97</w:t>
        </w:r>
        <w:r w:rsidR="00EF72E6">
          <w:rPr>
            <w:webHidden/>
          </w:rPr>
          <w:fldChar w:fldCharType="end"/>
        </w:r>
      </w:hyperlink>
    </w:p>
    <w:p w14:paraId="669E20E0" w14:textId="78120D38" w:rsidR="00EF72E6" w:rsidRDefault="00F5226B">
      <w:pPr>
        <w:pStyle w:val="TDC4"/>
        <w:rPr>
          <w:rFonts w:asciiTheme="minorHAnsi" w:eastAsiaTheme="minorEastAsia" w:hAnsiTheme="minorHAnsi" w:cstheme="minorBidi"/>
          <w:spacing w:val="0"/>
          <w:sz w:val="22"/>
          <w:szCs w:val="22"/>
          <w:lang w:val="es-CL" w:eastAsia="es-CL"/>
        </w:rPr>
      </w:pPr>
      <w:hyperlink w:anchor="_Toc34687250" w:history="1">
        <w:r w:rsidR="00EF72E6" w:rsidRPr="00193896">
          <w:rPr>
            <w:rStyle w:val="Hipervnculo"/>
            <w:lang w:val="es-ES"/>
          </w:rPr>
          <w:t>6.2.12.2</w:t>
        </w:r>
        <w:r w:rsidR="00EF72E6">
          <w:rPr>
            <w:rFonts w:asciiTheme="minorHAnsi" w:eastAsiaTheme="minorEastAsia" w:hAnsiTheme="minorHAnsi" w:cstheme="minorBidi"/>
            <w:spacing w:val="0"/>
            <w:sz w:val="22"/>
            <w:szCs w:val="22"/>
            <w:lang w:val="es-CL" w:eastAsia="es-CL"/>
          </w:rPr>
          <w:tab/>
        </w:r>
        <w:r w:rsidR="00EF72E6" w:rsidRPr="00193896">
          <w:rPr>
            <w:rStyle w:val="Hipervnculo"/>
            <w:lang w:val="es-ES"/>
          </w:rPr>
          <w:t>Costos directos de OyM</w:t>
        </w:r>
        <w:r w:rsidR="00EF72E6">
          <w:rPr>
            <w:webHidden/>
          </w:rPr>
          <w:tab/>
        </w:r>
        <w:r w:rsidR="00EF72E6">
          <w:rPr>
            <w:webHidden/>
          </w:rPr>
          <w:fldChar w:fldCharType="begin"/>
        </w:r>
        <w:r w:rsidR="00EF72E6">
          <w:rPr>
            <w:webHidden/>
          </w:rPr>
          <w:instrText xml:space="preserve"> PAGEREF _Toc34687250 \h </w:instrText>
        </w:r>
        <w:r w:rsidR="00EF72E6">
          <w:rPr>
            <w:webHidden/>
          </w:rPr>
        </w:r>
        <w:r w:rsidR="00EF72E6">
          <w:rPr>
            <w:webHidden/>
          </w:rPr>
          <w:fldChar w:fldCharType="separate"/>
        </w:r>
        <w:r w:rsidR="00F14BED">
          <w:rPr>
            <w:webHidden/>
          </w:rPr>
          <w:t>97</w:t>
        </w:r>
        <w:r w:rsidR="00EF72E6">
          <w:rPr>
            <w:webHidden/>
          </w:rPr>
          <w:fldChar w:fldCharType="end"/>
        </w:r>
      </w:hyperlink>
    </w:p>
    <w:p w14:paraId="5B60207E" w14:textId="6BF470A3"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51" w:history="1">
        <w:r w:rsidR="00EF72E6" w:rsidRPr="00193896">
          <w:rPr>
            <w:rStyle w:val="Hipervnculo"/>
          </w:rPr>
          <w:t>6.2.13</w:t>
        </w:r>
        <w:r w:rsidR="00EF72E6">
          <w:rPr>
            <w:rFonts w:asciiTheme="minorHAnsi" w:eastAsiaTheme="minorEastAsia" w:hAnsiTheme="minorHAnsi" w:cstheme="minorBidi"/>
            <w:sz w:val="22"/>
            <w:szCs w:val="22"/>
            <w:lang w:val="es-CL" w:eastAsia="es-CL"/>
          </w:rPr>
          <w:tab/>
        </w:r>
        <w:r w:rsidR="00EF72E6" w:rsidRPr="00193896">
          <w:rPr>
            <w:rStyle w:val="Hipervnculo"/>
          </w:rPr>
          <w:t>Tratamiento de las economías de ámbito</w:t>
        </w:r>
        <w:r w:rsidR="00EF72E6">
          <w:rPr>
            <w:webHidden/>
          </w:rPr>
          <w:tab/>
        </w:r>
        <w:r w:rsidR="00EF72E6">
          <w:rPr>
            <w:webHidden/>
          </w:rPr>
          <w:fldChar w:fldCharType="begin"/>
        </w:r>
        <w:r w:rsidR="00EF72E6">
          <w:rPr>
            <w:webHidden/>
          </w:rPr>
          <w:instrText xml:space="preserve"> PAGEREF _Toc34687251 \h </w:instrText>
        </w:r>
        <w:r w:rsidR="00EF72E6">
          <w:rPr>
            <w:webHidden/>
          </w:rPr>
        </w:r>
        <w:r w:rsidR="00EF72E6">
          <w:rPr>
            <w:webHidden/>
          </w:rPr>
          <w:fldChar w:fldCharType="separate"/>
        </w:r>
        <w:r w:rsidR="00F14BED">
          <w:rPr>
            <w:webHidden/>
          </w:rPr>
          <w:t>99</w:t>
        </w:r>
        <w:r w:rsidR="00EF72E6">
          <w:rPr>
            <w:webHidden/>
          </w:rPr>
          <w:fldChar w:fldCharType="end"/>
        </w:r>
      </w:hyperlink>
    </w:p>
    <w:p w14:paraId="11CB69ED" w14:textId="4AAE3B2C"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52" w:history="1">
        <w:r w:rsidR="00EF72E6" w:rsidRPr="00193896">
          <w:rPr>
            <w:rStyle w:val="Hipervnculo"/>
          </w:rPr>
          <w:t>6.2.14</w:t>
        </w:r>
        <w:r w:rsidR="00EF72E6">
          <w:rPr>
            <w:rFonts w:asciiTheme="minorHAnsi" w:eastAsiaTheme="minorEastAsia" w:hAnsiTheme="minorHAnsi" w:cstheme="minorBidi"/>
            <w:sz w:val="22"/>
            <w:szCs w:val="22"/>
            <w:lang w:val="es-CL" w:eastAsia="es-CL"/>
          </w:rPr>
          <w:tab/>
        </w:r>
        <w:r w:rsidR="00EF72E6" w:rsidRPr="00193896">
          <w:rPr>
            <w:rStyle w:val="Hipervnculo"/>
          </w:rPr>
          <w:t>Informacion aportada por el Comité Coodinador</w:t>
        </w:r>
        <w:r w:rsidR="00EF72E6">
          <w:rPr>
            <w:webHidden/>
          </w:rPr>
          <w:tab/>
        </w:r>
        <w:r w:rsidR="00EF72E6">
          <w:rPr>
            <w:webHidden/>
          </w:rPr>
          <w:fldChar w:fldCharType="begin"/>
        </w:r>
        <w:r w:rsidR="00EF72E6">
          <w:rPr>
            <w:webHidden/>
          </w:rPr>
          <w:instrText xml:space="preserve"> PAGEREF _Toc34687252 \h </w:instrText>
        </w:r>
        <w:r w:rsidR="00EF72E6">
          <w:rPr>
            <w:webHidden/>
          </w:rPr>
        </w:r>
        <w:r w:rsidR="00EF72E6">
          <w:rPr>
            <w:webHidden/>
          </w:rPr>
          <w:fldChar w:fldCharType="separate"/>
        </w:r>
        <w:r w:rsidR="00F14BED">
          <w:rPr>
            <w:webHidden/>
          </w:rPr>
          <w:t>102</w:t>
        </w:r>
        <w:r w:rsidR="00EF72E6">
          <w:rPr>
            <w:webHidden/>
          </w:rPr>
          <w:fldChar w:fldCharType="end"/>
        </w:r>
      </w:hyperlink>
    </w:p>
    <w:p w14:paraId="43AB6F01" w14:textId="1FDED37D"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53" w:history="1">
        <w:r w:rsidR="00EF72E6" w:rsidRPr="00193896">
          <w:rPr>
            <w:rStyle w:val="Hipervnculo"/>
          </w:rPr>
          <w:t>6.2.15</w:t>
        </w:r>
        <w:r w:rsidR="00EF72E6">
          <w:rPr>
            <w:rFonts w:asciiTheme="minorHAnsi" w:eastAsiaTheme="minorEastAsia" w:hAnsiTheme="minorHAnsi" w:cstheme="minorBidi"/>
            <w:sz w:val="22"/>
            <w:szCs w:val="22"/>
            <w:lang w:val="es-CL" w:eastAsia="es-CL"/>
          </w:rPr>
          <w:tab/>
        </w:r>
        <w:r w:rsidR="00EF72E6" w:rsidRPr="00193896">
          <w:rPr>
            <w:rStyle w:val="Hipervnculo"/>
          </w:rPr>
          <w:t>Cálculo de intangibles</w:t>
        </w:r>
        <w:r w:rsidR="00EF72E6">
          <w:rPr>
            <w:webHidden/>
          </w:rPr>
          <w:tab/>
        </w:r>
        <w:r w:rsidR="00EF72E6">
          <w:rPr>
            <w:webHidden/>
          </w:rPr>
          <w:fldChar w:fldCharType="begin"/>
        </w:r>
        <w:r w:rsidR="00EF72E6">
          <w:rPr>
            <w:webHidden/>
          </w:rPr>
          <w:instrText xml:space="preserve"> PAGEREF _Toc34687253 \h </w:instrText>
        </w:r>
        <w:r w:rsidR="00EF72E6">
          <w:rPr>
            <w:webHidden/>
          </w:rPr>
        </w:r>
        <w:r w:rsidR="00EF72E6">
          <w:rPr>
            <w:webHidden/>
          </w:rPr>
          <w:fldChar w:fldCharType="separate"/>
        </w:r>
        <w:r w:rsidR="00F14BED">
          <w:rPr>
            <w:webHidden/>
          </w:rPr>
          <w:t>103</w:t>
        </w:r>
        <w:r w:rsidR="00EF72E6">
          <w:rPr>
            <w:webHidden/>
          </w:rPr>
          <w:fldChar w:fldCharType="end"/>
        </w:r>
      </w:hyperlink>
    </w:p>
    <w:p w14:paraId="22CE6543" w14:textId="14D954F1" w:rsidR="00EF72E6" w:rsidRDefault="00F5226B">
      <w:pPr>
        <w:pStyle w:val="TDC2"/>
        <w:rPr>
          <w:rFonts w:asciiTheme="minorHAnsi" w:eastAsiaTheme="minorEastAsia" w:hAnsiTheme="minorHAnsi" w:cstheme="minorBidi"/>
          <w:b w:val="0"/>
          <w:smallCaps w:val="0"/>
          <w:noProof/>
          <w:szCs w:val="22"/>
          <w:lang w:val="es-CL" w:eastAsia="es-CL"/>
        </w:rPr>
      </w:pPr>
      <w:hyperlink w:anchor="_Toc34687254" w:history="1">
        <w:r w:rsidR="00EF72E6" w:rsidRPr="00193896">
          <w:rPr>
            <w:rStyle w:val="Hipervnculo"/>
            <w:noProof/>
          </w:rPr>
          <w:t>6.3</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Metodología aplicada a la determinación de Labores de Ampliación</w:t>
        </w:r>
        <w:r w:rsidR="00EF72E6">
          <w:rPr>
            <w:noProof/>
            <w:webHidden/>
          </w:rPr>
          <w:tab/>
        </w:r>
        <w:r w:rsidR="00EF72E6">
          <w:rPr>
            <w:noProof/>
            <w:webHidden/>
          </w:rPr>
          <w:fldChar w:fldCharType="begin"/>
        </w:r>
        <w:r w:rsidR="00EF72E6">
          <w:rPr>
            <w:noProof/>
            <w:webHidden/>
          </w:rPr>
          <w:instrText xml:space="preserve"> PAGEREF _Toc34687254 \h </w:instrText>
        </w:r>
        <w:r w:rsidR="00EF72E6">
          <w:rPr>
            <w:noProof/>
            <w:webHidden/>
          </w:rPr>
        </w:r>
        <w:r w:rsidR="00EF72E6">
          <w:rPr>
            <w:noProof/>
            <w:webHidden/>
          </w:rPr>
          <w:fldChar w:fldCharType="separate"/>
        </w:r>
        <w:r w:rsidR="00F14BED">
          <w:rPr>
            <w:noProof/>
            <w:webHidden/>
          </w:rPr>
          <w:t>104</w:t>
        </w:r>
        <w:r w:rsidR="00EF72E6">
          <w:rPr>
            <w:noProof/>
            <w:webHidden/>
          </w:rPr>
          <w:fldChar w:fldCharType="end"/>
        </w:r>
      </w:hyperlink>
    </w:p>
    <w:p w14:paraId="630F8465" w14:textId="3965547B"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55" w:history="1">
        <w:r w:rsidR="00EF72E6" w:rsidRPr="00193896">
          <w:rPr>
            <w:rStyle w:val="Hipervnculo"/>
          </w:rPr>
          <w:t>6.3.1</w:t>
        </w:r>
        <w:r w:rsidR="00EF72E6">
          <w:rPr>
            <w:rFonts w:asciiTheme="minorHAnsi" w:eastAsiaTheme="minorEastAsia" w:hAnsiTheme="minorHAnsi" w:cstheme="minorBidi"/>
            <w:sz w:val="22"/>
            <w:szCs w:val="22"/>
            <w:lang w:val="es-CL" w:eastAsia="es-CL"/>
          </w:rPr>
          <w:tab/>
        </w:r>
        <w:r w:rsidR="00EF72E6" w:rsidRPr="00193896">
          <w:rPr>
            <w:rStyle w:val="Hipervnculo"/>
          </w:rPr>
          <w:t>Introducción</w:t>
        </w:r>
        <w:r w:rsidR="00EF72E6">
          <w:rPr>
            <w:webHidden/>
          </w:rPr>
          <w:tab/>
        </w:r>
        <w:r w:rsidR="00EF72E6">
          <w:rPr>
            <w:webHidden/>
          </w:rPr>
          <w:fldChar w:fldCharType="begin"/>
        </w:r>
        <w:r w:rsidR="00EF72E6">
          <w:rPr>
            <w:webHidden/>
          </w:rPr>
          <w:instrText xml:space="preserve"> PAGEREF _Toc34687255 \h </w:instrText>
        </w:r>
        <w:r w:rsidR="00EF72E6">
          <w:rPr>
            <w:webHidden/>
          </w:rPr>
        </w:r>
        <w:r w:rsidR="00EF72E6">
          <w:rPr>
            <w:webHidden/>
          </w:rPr>
          <w:fldChar w:fldCharType="separate"/>
        </w:r>
        <w:r w:rsidR="00F14BED">
          <w:rPr>
            <w:webHidden/>
          </w:rPr>
          <w:t>104</w:t>
        </w:r>
        <w:r w:rsidR="00EF72E6">
          <w:rPr>
            <w:webHidden/>
          </w:rPr>
          <w:fldChar w:fldCharType="end"/>
        </w:r>
      </w:hyperlink>
    </w:p>
    <w:p w14:paraId="6556F45A" w14:textId="262E3D70" w:rsidR="00EF72E6" w:rsidRDefault="00F5226B">
      <w:pPr>
        <w:pStyle w:val="TDC4"/>
        <w:rPr>
          <w:rFonts w:asciiTheme="minorHAnsi" w:eastAsiaTheme="minorEastAsia" w:hAnsiTheme="minorHAnsi" w:cstheme="minorBidi"/>
          <w:spacing w:val="0"/>
          <w:sz w:val="22"/>
          <w:szCs w:val="22"/>
          <w:lang w:val="es-CL" w:eastAsia="es-CL"/>
        </w:rPr>
      </w:pPr>
      <w:hyperlink w:anchor="_Toc34687256" w:history="1">
        <w:r w:rsidR="00EF72E6" w:rsidRPr="00193896">
          <w:rPr>
            <w:rStyle w:val="Hipervnculo"/>
          </w:rPr>
          <w:t>6.3.1.1</w:t>
        </w:r>
        <w:r w:rsidR="00EF72E6">
          <w:rPr>
            <w:rFonts w:asciiTheme="minorHAnsi" w:eastAsiaTheme="minorEastAsia" w:hAnsiTheme="minorHAnsi" w:cstheme="minorBidi"/>
            <w:spacing w:val="0"/>
            <w:sz w:val="22"/>
            <w:szCs w:val="22"/>
            <w:lang w:val="es-CL" w:eastAsia="es-CL"/>
          </w:rPr>
          <w:tab/>
        </w:r>
        <w:r w:rsidR="00EF72E6" w:rsidRPr="00193896">
          <w:rPr>
            <w:rStyle w:val="Hipervnculo"/>
          </w:rPr>
          <w:t>Labores de Ampliación y Bases</w:t>
        </w:r>
        <w:r w:rsidR="00EF72E6">
          <w:rPr>
            <w:webHidden/>
          </w:rPr>
          <w:tab/>
        </w:r>
        <w:r w:rsidR="00EF72E6">
          <w:rPr>
            <w:webHidden/>
          </w:rPr>
          <w:fldChar w:fldCharType="begin"/>
        </w:r>
        <w:r w:rsidR="00EF72E6">
          <w:rPr>
            <w:webHidden/>
          </w:rPr>
          <w:instrText xml:space="preserve"> PAGEREF _Toc34687256 \h </w:instrText>
        </w:r>
        <w:r w:rsidR="00EF72E6">
          <w:rPr>
            <w:webHidden/>
          </w:rPr>
        </w:r>
        <w:r w:rsidR="00EF72E6">
          <w:rPr>
            <w:webHidden/>
          </w:rPr>
          <w:fldChar w:fldCharType="separate"/>
        </w:r>
        <w:r w:rsidR="00F14BED">
          <w:rPr>
            <w:webHidden/>
          </w:rPr>
          <w:t>104</w:t>
        </w:r>
        <w:r w:rsidR="00EF72E6">
          <w:rPr>
            <w:webHidden/>
          </w:rPr>
          <w:fldChar w:fldCharType="end"/>
        </w:r>
      </w:hyperlink>
    </w:p>
    <w:p w14:paraId="53E8FC7B" w14:textId="7ABDD1EB" w:rsidR="00EF72E6" w:rsidRDefault="00F5226B">
      <w:pPr>
        <w:pStyle w:val="TDC4"/>
        <w:rPr>
          <w:rFonts w:asciiTheme="minorHAnsi" w:eastAsiaTheme="minorEastAsia" w:hAnsiTheme="minorHAnsi" w:cstheme="minorBidi"/>
          <w:spacing w:val="0"/>
          <w:sz w:val="22"/>
          <w:szCs w:val="22"/>
          <w:lang w:val="es-CL" w:eastAsia="es-CL"/>
        </w:rPr>
      </w:pPr>
      <w:hyperlink w:anchor="_Toc34687257" w:history="1">
        <w:r w:rsidR="00EF72E6" w:rsidRPr="00193896">
          <w:rPr>
            <w:rStyle w:val="Hipervnculo"/>
          </w:rPr>
          <w:t>6.3.1.2</w:t>
        </w:r>
        <w:r w:rsidR="00EF72E6">
          <w:rPr>
            <w:rFonts w:asciiTheme="minorHAnsi" w:eastAsiaTheme="minorEastAsia" w:hAnsiTheme="minorHAnsi" w:cstheme="minorBidi"/>
            <w:spacing w:val="0"/>
            <w:sz w:val="22"/>
            <w:szCs w:val="22"/>
            <w:lang w:val="es-CL" w:eastAsia="es-CL"/>
          </w:rPr>
          <w:tab/>
        </w:r>
        <w:r w:rsidR="00EF72E6" w:rsidRPr="00193896">
          <w:rPr>
            <w:rStyle w:val="Hipervnculo"/>
          </w:rPr>
          <w:t>Obras de Ampliación a Estudiar</w:t>
        </w:r>
        <w:r w:rsidR="00EF72E6">
          <w:rPr>
            <w:webHidden/>
          </w:rPr>
          <w:tab/>
        </w:r>
        <w:r w:rsidR="00EF72E6">
          <w:rPr>
            <w:webHidden/>
          </w:rPr>
          <w:fldChar w:fldCharType="begin"/>
        </w:r>
        <w:r w:rsidR="00EF72E6">
          <w:rPr>
            <w:webHidden/>
          </w:rPr>
          <w:instrText xml:space="preserve"> PAGEREF _Toc34687257 \h </w:instrText>
        </w:r>
        <w:r w:rsidR="00EF72E6">
          <w:rPr>
            <w:webHidden/>
          </w:rPr>
        </w:r>
        <w:r w:rsidR="00EF72E6">
          <w:rPr>
            <w:webHidden/>
          </w:rPr>
          <w:fldChar w:fldCharType="separate"/>
        </w:r>
        <w:r w:rsidR="00F14BED">
          <w:rPr>
            <w:webHidden/>
          </w:rPr>
          <w:t>105</w:t>
        </w:r>
        <w:r w:rsidR="00EF72E6">
          <w:rPr>
            <w:webHidden/>
          </w:rPr>
          <w:fldChar w:fldCharType="end"/>
        </w:r>
      </w:hyperlink>
    </w:p>
    <w:p w14:paraId="2C2AE815" w14:textId="15FBA395"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58" w:history="1">
        <w:r w:rsidR="00EF72E6" w:rsidRPr="00193896">
          <w:rPr>
            <w:rStyle w:val="Hipervnculo"/>
          </w:rPr>
          <w:t>6.3.2</w:t>
        </w:r>
        <w:r w:rsidR="00EF72E6">
          <w:rPr>
            <w:rFonts w:asciiTheme="minorHAnsi" w:eastAsiaTheme="minorEastAsia" w:hAnsiTheme="minorHAnsi" w:cstheme="minorBidi"/>
            <w:sz w:val="22"/>
            <w:szCs w:val="22"/>
            <w:lang w:val="es-CL" w:eastAsia="es-CL"/>
          </w:rPr>
          <w:tab/>
        </w:r>
        <w:r w:rsidR="00EF72E6" w:rsidRPr="00193896">
          <w:rPr>
            <w:rStyle w:val="Hipervnculo"/>
          </w:rPr>
          <w:t>Metodología para Determinación del V.I. de Labores de Ampliación</w:t>
        </w:r>
        <w:r w:rsidR="00EF72E6">
          <w:rPr>
            <w:webHidden/>
          </w:rPr>
          <w:tab/>
        </w:r>
        <w:r w:rsidR="00EF72E6">
          <w:rPr>
            <w:webHidden/>
          </w:rPr>
          <w:fldChar w:fldCharType="begin"/>
        </w:r>
        <w:r w:rsidR="00EF72E6">
          <w:rPr>
            <w:webHidden/>
          </w:rPr>
          <w:instrText xml:space="preserve"> PAGEREF _Toc34687258 \h </w:instrText>
        </w:r>
        <w:r w:rsidR="00EF72E6">
          <w:rPr>
            <w:webHidden/>
          </w:rPr>
        </w:r>
        <w:r w:rsidR="00EF72E6">
          <w:rPr>
            <w:webHidden/>
          </w:rPr>
          <w:fldChar w:fldCharType="separate"/>
        </w:r>
        <w:r w:rsidR="00F14BED">
          <w:rPr>
            <w:webHidden/>
          </w:rPr>
          <w:t>108</w:t>
        </w:r>
        <w:r w:rsidR="00EF72E6">
          <w:rPr>
            <w:webHidden/>
          </w:rPr>
          <w:fldChar w:fldCharType="end"/>
        </w:r>
      </w:hyperlink>
    </w:p>
    <w:p w14:paraId="0516289A" w14:textId="5216635E"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59" w:history="1">
        <w:r w:rsidR="00EF72E6" w:rsidRPr="00193896">
          <w:rPr>
            <w:rStyle w:val="Hipervnculo"/>
            <w:noProof/>
          </w:rPr>
          <w:t>7.</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DETERMINACIÓN DEL V.I.</w:t>
        </w:r>
        <w:r w:rsidR="00EF72E6">
          <w:rPr>
            <w:noProof/>
            <w:webHidden/>
          </w:rPr>
          <w:tab/>
        </w:r>
        <w:r w:rsidR="00EF72E6">
          <w:rPr>
            <w:noProof/>
            <w:webHidden/>
          </w:rPr>
          <w:fldChar w:fldCharType="begin"/>
        </w:r>
        <w:r w:rsidR="00EF72E6">
          <w:rPr>
            <w:noProof/>
            <w:webHidden/>
          </w:rPr>
          <w:instrText xml:space="preserve"> PAGEREF _Toc34687259 \h </w:instrText>
        </w:r>
        <w:r w:rsidR="00EF72E6">
          <w:rPr>
            <w:noProof/>
            <w:webHidden/>
          </w:rPr>
        </w:r>
        <w:r w:rsidR="00EF72E6">
          <w:rPr>
            <w:noProof/>
            <w:webHidden/>
          </w:rPr>
          <w:fldChar w:fldCharType="separate"/>
        </w:r>
        <w:r w:rsidR="00F14BED">
          <w:rPr>
            <w:noProof/>
            <w:webHidden/>
          </w:rPr>
          <w:t>110</w:t>
        </w:r>
        <w:r w:rsidR="00EF72E6">
          <w:rPr>
            <w:noProof/>
            <w:webHidden/>
          </w:rPr>
          <w:fldChar w:fldCharType="end"/>
        </w:r>
      </w:hyperlink>
    </w:p>
    <w:p w14:paraId="3E204D8C" w14:textId="4A45D369" w:rsidR="00EF72E6" w:rsidRDefault="00F5226B">
      <w:pPr>
        <w:pStyle w:val="TDC2"/>
        <w:rPr>
          <w:rFonts w:asciiTheme="minorHAnsi" w:eastAsiaTheme="minorEastAsia" w:hAnsiTheme="minorHAnsi" w:cstheme="minorBidi"/>
          <w:b w:val="0"/>
          <w:smallCaps w:val="0"/>
          <w:noProof/>
          <w:szCs w:val="22"/>
          <w:lang w:val="es-CL" w:eastAsia="es-CL"/>
        </w:rPr>
      </w:pPr>
      <w:hyperlink w:anchor="_Toc34687260" w:history="1">
        <w:r w:rsidR="00EF72E6" w:rsidRPr="00193896">
          <w:rPr>
            <w:rStyle w:val="Hipervnculo"/>
            <w:noProof/>
          </w:rPr>
          <w:t>7.1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Introducción</w:t>
        </w:r>
        <w:r w:rsidR="00EF72E6">
          <w:rPr>
            <w:noProof/>
            <w:webHidden/>
          </w:rPr>
          <w:tab/>
        </w:r>
        <w:r w:rsidR="00EF72E6">
          <w:rPr>
            <w:noProof/>
            <w:webHidden/>
          </w:rPr>
          <w:fldChar w:fldCharType="begin"/>
        </w:r>
        <w:r w:rsidR="00EF72E6">
          <w:rPr>
            <w:noProof/>
            <w:webHidden/>
          </w:rPr>
          <w:instrText xml:space="preserve"> PAGEREF _Toc34687260 \h </w:instrText>
        </w:r>
        <w:r w:rsidR="00EF72E6">
          <w:rPr>
            <w:noProof/>
            <w:webHidden/>
          </w:rPr>
        </w:r>
        <w:r w:rsidR="00EF72E6">
          <w:rPr>
            <w:noProof/>
            <w:webHidden/>
          </w:rPr>
          <w:fldChar w:fldCharType="separate"/>
        </w:r>
        <w:r w:rsidR="00F14BED">
          <w:rPr>
            <w:noProof/>
            <w:webHidden/>
          </w:rPr>
          <w:t>110</w:t>
        </w:r>
        <w:r w:rsidR="00EF72E6">
          <w:rPr>
            <w:noProof/>
            <w:webHidden/>
          </w:rPr>
          <w:fldChar w:fldCharType="end"/>
        </w:r>
      </w:hyperlink>
    </w:p>
    <w:p w14:paraId="784BD723" w14:textId="7E2C9721" w:rsidR="00EF72E6" w:rsidRDefault="00F5226B">
      <w:pPr>
        <w:pStyle w:val="TDC2"/>
        <w:rPr>
          <w:rFonts w:asciiTheme="minorHAnsi" w:eastAsiaTheme="minorEastAsia" w:hAnsiTheme="minorHAnsi" w:cstheme="minorBidi"/>
          <w:b w:val="0"/>
          <w:smallCaps w:val="0"/>
          <w:noProof/>
          <w:szCs w:val="22"/>
          <w:lang w:val="es-CL" w:eastAsia="es-CL"/>
        </w:rPr>
      </w:pPr>
      <w:hyperlink w:anchor="_Toc34687261" w:history="1">
        <w:r w:rsidR="00EF72E6" w:rsidRPr="00193896">
          <w:rPr>
            <w:rStyle w:val="Hipervnculo"/>
            <w:noProof/>
          </w:rPr>
          <w:t>7.2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Resultados</w:t>
        </w:r>
        <w:r w:rsidR="00EF72E6">
          <w:rPr>
            <w:noProof/>
            <w:webHidden/>
          </w:rPr>
          <w:tab/>
        </w:r>
        <w:r w:rsidR="00EF72E6">
          <w:rPr>
            <w:noProof/>
            <w:webHidden/>
          </w:rPr>
          <w:fldChar w:fldCharType="begin"/>
        </w:r>
        <w:r w:rsidR="00EF72E6">
          <w:rPr>
            <w:noProof/>
            <w:webHidden/>
          </w:rPr>
          <w:instrText xml:space="preserve"> PAGEREF _Toc34687261 \h </w:instrText>
        </w:r>
        <w:r w:rsidR="00EF72E6">
          <w:rPr>
            <w:noProof/>
            <w:webHidden/>
          </w:rPr>
        </w:r>
        <w:r w:rsidR="00EF72E6">
          <w:rPr>
            <w:noProof/>
            <w:webHidden/>
          </w:rPr>
          <w:fldChar w:fldCharType="separate"/>
        </w:r>
        <w:r w:rsidR="00F14BED">
          <w:rPr>
            <w:noProof/>
            <w:webHidden/>
          </w:rPr>
          <w:t>112</w:t>
        </w:r>
        <w:r w:rsidR="00EF72E6">
          <w:rPr>
            <w:noProof/>
            <w:webHidden/>
          </w:rPr>
          <w:fldChar w:fldCharType="end"/>
        </w:r>
      </w:hyperlink>
    </w:p>
    <w:p w14:paraId="10894D68" w14:textId="3DC3BC6A"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2" w:history="1">
        <w:r w:rsidR="00EF72E6" w:rsidRPr="00193896">
          <w:rPr>
            <w:rStyle w:val="Hipervnculo"/>
          </w:rPr>
          <w:t>7.2.1</w:t>
        </w:r>
        <w:r w:rsidR="00EF72E6">
          <w:rPr>
            <w:rFonts w:asciiTheme="minorHAnsi" w:eastAsiaTheme="minorEastAsia" w:hAnsiTheme="minorHAnsi" w:cstheme="minorBidi"/>
            <w:sz w:val="22"/>
            <w:szCs w:val="22"/>
            <w:lang w:val="es-CL" w:eastAsia="es-CL"/>
          </w:rPr>
          <w:tab/>
        </w:r>
        <w:r w:rsidR="00EF72E6" w:rsidRPr="00193896">
          <w:rPr>
            <w:rStyle w:val="Hipervnculo"/>
          </w:rPr>
          <w:t>Valor de Inversión por empresa propietaria</w:t>
        </w:r>
        <w:r w:rsidR="00EF72E6">
          <w:rPr>
            <w:webHidden/>
          </w:rPr>
          <w:tab/>
        </w:r>
        <w:r w:rsidR="00EF72E6">
          <w:rPr>
            <w:webHidden/>
          </w:rPr>
          <w:fldChar w:fldCharType="begin"/>
        </w:r>
        <w:r w:rsidR="00EF72E6">
          <w:rPr>
            <w:webHidden/>
          </w:rPr>
          <w:instrText xml:space="preserve"> PAGEREF _Toc34687262 \h </w:instrText>
        </w:r>
        <w:r w:rsidR="00EF72E6">
          <w:rPr>
            <w:webHidden/>
          </w:rPr>
        </w:r>
        <w:r w:rsidR="00EF72E6">
          <w:rPr>
            <w:webHidden/>
          </w:rPr>
          <w:fldChar w:fldCharType="separate"/>
        </w:r>
        <w:r w:rsidR="00F14BED">
          <w:rPr>
            <w:webHidden/>
          </w:rPr>
          <w:t>112</w:t>
        </w:r>
        <w:r w:rsidR="00EF72E6">
          <w:rPr>
            <w:webHidden/>
          </w:rPr>
          <w:fldChar w:fldCharType="end"/>
        </w:r>
      </w:hyperlink>
    </w:p>
    <w:p w14:paraId="7E6B53A3" w14:textId="7AF046E4"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3" w:history="1">
        <w:r w:rsidR="00EF72E6" w:rsidRPr="00193896">
          <w:rPr>
            <w:rStyle w:val="Hipervnculo"/>
          </w:rPr>
          <w:t>7.2.2</w:t>
        </w:r>
        <w:r w:rsidR="00EF72E6">
          <w:rPr>
            <w:rFonts w:asciiTheme="minorHAnsi" w:eastAsiaTheme="minorEastAsia" w:hAnsiTheme="minorHAnsi" w:cstheme="minorBidi"/>
            <w:sz w:val="22"/>
            <w:szCs w:val="22"/>
            <w:lang w:val="es-CL" w:eastAsia="es-CL"/>
          </w:rPr>
          <w:tab/>
        </w:r>
        <w:r w:rsidR="00EF72E6" w:rsidRPr="00193896">
          <w:rPr>
            <w:rStyle w:val="Hipervnculo"/>
          </w:rPr>
          <w:t>Valor de Inversión por tramo de subestación calificación nacional</w:t>
        </w:r>
        <w:r w:rsidR="00EF72E6">
          <w:rPr>
            <w:webHidden/>
          </w:rPr>
          <w:tab/>
        </w:r>
        <w:r w:rsidR="00EF72E6">
          <w:rPr>
            <w:webHidden/>
          </w:rPr>
          <w:fldChar w:fldCharType="begin"/>
        </w:r>
        <w:r w:rsidR="00EF72E6">
          <w:rPr>
            <w:webHidden/>
          </w:rPr>
          <w:instrText xml:space="preserve"> PAGEREF _Toc34687263 \h </w:instrText>
        </w:r>
        <w:r w:rsidR="00EF72E6">
          <w:rPr>
            <w:webHidden/>
          </w:rPr>
        </w:r>
        <w:r w:rsidR="00EF72E6">
          <w:rPr>
            <w:webHidden/>
          </w:rPr>
          <w:fldChar w:fldCharType="separate"/>
        </w:r>
        <w:r w:rsidR="00F14BED">
          <w:rPr>
            <w:webHidden/>
          </w:rPr>
          <w:t>113</w:t>
        </w:r>
        <w:r w:rsidR="00EF72E6">
          <w:rPr>
            <w:webHidden/>
          </w:rPr>
          <w:fldChar w:fldCharType="end"/>
        </w:r>
      </w:hyperlink>
    </w:p>
    <w:p w14:paraId="767491A4" w14:textId="1FEA7973"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4" w:history="1">
        <w:r w:rsidR="00EF72E6" w:rsidRPr="00193896">
          <w:rPr>
            <w:rStyle w:val="Hipervnculo"/>
          </w:rPr>
          <w:t>7.2.3</w:t>
        </w:r>
        <w:r w:rsidR="00EF72E6">
          <w:rPr>
            <w:rFonts w:asciiTheme="minorHAnsi" w:eastAsiaTheme="minorEastAsia" w:hAnsiTheme="minorHAnsi" w:cstheme="minorBidi"/>
            <w:sz w:val="22"/>
            <w:szCs w:val="22"/>
            <w:lang w:val="es-CL" w:eastAsia="es-CL"/>
          </w:rPr>
          <w:tab/>
        </w:r>
        <w:r w:rsidR="00EF72E6" w:rsidRPr="00193896">
          <w:rPr>
            <w:rStyle w:val="Hipervnculo"/>
          </w:rPr>
          <w:t>Valor de Inversión por tramo de transporte calificación nacional</w:t>
        </w:r>
        <w:r w:rsidR="00EF72E6">
          <w:rPr>
            <w:webHidden/>
          </w:rPr>
          <w:tab/>
        </w:r>
        <w:r w:rsidR="00EF72E6">
          <w:rPr>
            <w:webHidden/>
          </w:rPr>
          <w:fldChar w:fldCharType="begin"/>
        </w:r>
        <w:r w:rsidR="00EF72E6">
          <w:rPr>
            <w:webHidden/>
          </w:rPr>
          <w:instrText xml:space="preserve"> PAGEREF _Toc34687264 \h </w:instrText>
        </w:r>
        <w:r w:rsidR="00EF72E6">
          <w:rPr>
            <w:webHidden/>
          </w:rPr>
        </w:r>
        <w:r w:rsidR="00EF72E6">
          <w:rPr>
            <w:webHidden/>
          </w:rPr>
          <w:fldChar w:fldCharType="separate"/>
        </w:r>
        <w:r w:rsidR="00F14BED">
          <w:rPr>
            <w:webHidden/>
          </w:rPr>
          <w:t>115</w:t>
        </w:r>
        <w:r w:rsidR="00EF72E6">
          <w:rPr>
            <w:webHidden/>
          </w:rPr>
          <w:fldChar w:fldCharType="end"/>
        </w:r>
      </w:hyperlink>
    </w:p>
    <w:p w14:paraId="7104437A" w14:textId="5CF1A8D4"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5" w:history="1">
        <w:r w:rsidR="00EF72E6" w:rsidRPr="00193896">
          <w:rPr>
            <w:rStyle w:val="Hipervnculo"/>
          </w:rPr>
          <w:t>7.2.4</w:t>
        </w:r>
        <w:r w:rsidR="00EF72E6">
          <w:rPr>
            <w:rFonts w:asciiTheme="minorHAnsi" w:eastAsiaTheme="minorEastAsia" w:hAnsiTheme="minorHAnsi" w:cstheme="minorBidi"/>
            <w:sz w:val="22"/>
            <w:szCs w:val="22"/>
            <w:lang w:val="es-CL" w:eastAsia="es-CL"/>
          </w:rPr>
          <w:tab/>
        </w:r>
        <w:r w:rsidR="00EF72E6" w:rsidRPr="00193896">
          <w:rPr>
            <w:rStyle w:val="Hipervnculo"/>
          </w:rPr>
          <w:t>Valor de Inversión por tramo de subestación y por propietario calificación nacional</w:t>
        </w:r>
        <w:r w:rsidR="00EF72E6">
          <w:rPr>
            <w:webHidden/>
          </w:rPr>
          <w:tab/>
        </w:r>
        <w:r w:rsidR="00EF72E6">
          <w:rPr>
            <w:webHidden/>
          </w:rPr>
          <w:fldChar w:fldCharType="begin"/>
        </w:r>
        <w:r w:rsidR="00EF72E6">
          <w:rPr>
            <w:webHidden/>
          </w:rPr>
          <w:instrText xml:space="preserve"> PAGEREF _Toc34687265 \h </w:instrText>
        </w:r>
        <w:r w:rsidR="00EF72E6">
          <w:rPr>
            <w:webHidden/>
          </w:rPr>
        </w:r>
        <w:r w:rsidR="00EF72E6">
          <w:rPr>
            <w:webHidden/>
          </w:rPr>
          <w:fldChar w:fldCharType="separate"/>
        </w:r>
        <w:r w:rsidR="00F14BED">
          <w:rPr>
            <w:webHidden/>
          </w:rPr>
          <w:t>120</w:t>
        </w:r>
        <w:r w:rsidR="00EF72E6">
          <w:rPr>
            <w:webHidden/>
          </w:rPr>
          <w:fldChar w:fldCharType="end"/>
        </w:r>
      </w:hyperlink>
    </w:p>
    <w:p w14:paraId="4B9D85BF" w14:textId="571A1FFC"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6" w:history="1">
        <w:r w:rsidR="00EF72E6" w:rsidRPr="00193896">
          <w:rPr>
            <w:rStyle w:val="Hipervnculo"/>
          </w:rPr>
          <w:t>7.2.5</w:t>
        </w:r>
        <w:r w:rsidR="00EF72E6">
          <w:rPr>
            <w:rFonts w:asciiTheme="minorHAnsi" w:eastAsiaTheme="minorEastAsia" w:hAnsiTheme="minorHAnsi" w:cstheme="minorBidi"/>
            <w:sz w:val="22"/>
            <w:szCs w:val="22"/>
            <w:lang w:val="es-CL" w:eastAsia="es-CL"/>
          </w:rPr>
          <w:tab/>
        </w:r>
        <w:r w:rsidR="00EF72E6" w:rsidRPr="00193896">
          <w:rPr>
            <w:rStyle w:val="Hipervnculo"/>
          </w:rPr>
          <w:t>Valor de Inversión por tramo de transporte y por propietario calificación nacional</w:t>
        </w:r>
        <w:r w:rsidR="00EF72E6">
          <w:rPr>
            <w:webHidden/>
          </w:rPr>
          <w:tab/>
        </w:r>
        <w:r w:rsidR="00EF72E6">
          <w:rPr>
            <w:webHidden/>
          </w:rPr>
          <w:fldChar w:fldCharType="begin"/>
        </w:r>
        <w:r w:rsidR="00EF72E6">
          <w:rPr>
            <w:webHidden/>
          </w:rPr>
          <w:instrText xml:space="preserve"> PAGEREF _Toc34687266 \h </w:instrText>
        </w:r>
        <w:r w:rsidR="00EF72E6">
          <w:rPr>
            <w:webHidden/>
          </w:rPr>
        </w:r>
        <w:r w:rsidR="00EF72E6">
          <w:rPr>
            <w:webHidden/>
          </w:rPr>
          <w:fldChar w:fldCharType="separate"/>
        </w:r>
        <w:r w:rsidR="00F14BED">
          <w:rPr>
            <w:webHidden/>
          </w:rPr>
          <w:t>126</w:t>
        </w:r>
        <w:r w:rsidR="00EF72E6">
          <w:rPr>
            <w:webHidden/>
          </w:rPr>
          <w:fldChar w:fldCharType="end"/>
        </w:r>
      </w:hyperlink>
    </w:p>
    <w:p w14:paraId="7520D5E9" w14:textId="4CCD6C2A"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67" w:history="1">
        <w:r w:rsidR="00EF72E6" w:rsidRPr="00193896">
          <w:rPr>
            <w:rStyle w:val="Hipervnculo"/>
            <w:noProof/>
          </w:rPr>
          <w:t>8.</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DETERMINACIÓN DEL C.O.M.A.</w:t>
        </w:r>
        <w:r w:rsidR="00EF72E6">
          <w:rPr>
            <w:noProof/>
            <w:webHidden/>
          </w:rPr>
          <w:tab/>
        </w:r>
        <w:r w:rsidR="00EF72E6">
          <w:rPr>
            <w:noProof/>
            <w:webHidden/>
          </w:rPr>
          <w:fldChar w:fldCharType="begin"/>
        </w:r>
        <w:r w:rsidR="00EF72E6">
          <w:rPr>
            <w:noProof/>
            <w:webHidden/>
          </w:rPr>
          <w:instrText xml:space="preserve"> PAGEREF _Toc34687267 \h </w:instrText>
        </w:r>
        <w:r w:rsidR="00EF72E6">
          <w:rPr>
            <w:noProof/>
            <w:webHidden/>
          </w:rPr>
        </w:r>
        <w:r w:rsidR="00EF72E6">
          <w:rPr>
            <w:noProof/>
            <w:webHidden/>
          </w:rPr>
          <w:fldChar w:fldCharType="separate"/>
        </w:r>
        <w:r w:rsidR="00F14BED">
          <w:rPr>
            <w:noProof/>
            <w:webHidden/>
          </w:rPr>
          <w:t>133</w:t>
        </w:r>
        <w:r w:rsidR="00EF72E6">
          <w:rPr>
            <w:noProof/>
            <w:webHidden/>
          </w:rPr>
          <w:fldChar w:fldCharType="end"/>
        </w:r>
      </w:hyperlink>
    </w:p>
    <w:p w14:paraId="07BB5092" w14:textId="5115FE70"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8" w:history="1">
        <w:r w:rsidR="00EF72E6" w:rsidRPr="00193896">
          <w:rPr>
            <w:rStyle w:val="Hipervnculo"/>
          </w:rPr>
          <w:t>8.1.1</w:t>
        </w:r>
        <w:r w:rsidR="00EF72E6">
          <w:rPr>
            <w:rFonts w:asciiTheme="minorHAnsi" w:eastAsiaTheme="minorEastAsia" w:hAnsiTheme="minorHAnsi" w:cstheme="minorBidi"/>
            <w:sz w:val="22"/>
            <w:szCs w:val="22"/>
            <w:lang w:val="es-CL" w:eastAsia="es-CL"/>
          </w:rPr>
          <w:tab/>
        </w:r>
        <w:r w:rsidR="00EF72E6" w:rsidRPr="00193896">
          <w:rPr>
            <w:rStyle w:val="Hipervnculo"/>
          </w:rPr>
          <w:t>Organigrama y plantilla de personal</w:t>
        </w:r>
        <w:r w:rsidR="00EF72E6">
          <w:rPr>
            <w:webHidden/>
          </w:rPr>
          <w:tab/>
        </w:r>
        <w:r w:rsidR="00EF72E6">
          <w:rPr>
            <w:webHidden/>
          </w:rPr>
          <w:fldChar w:fldCharType="begin"/>
        </w:r>
        <w:r w:rsidR="00EF72E6">
          <w:rPr>
            <w:webHidden/>
          </w:rPr>
          <w:instrText xml:space="preserve"> PAGEREF _Toc34687268 \h </w:instrText>
        </w:r>
        <w:r w:rsidR="00EF72E6">
          <w:rPr>
            <w:webHidden/>
          </w:rPr>
        </w:r>
        <w:r w:rsidR="00EF72E6">
          <w:rPr>
            <w:webHidden/>
          </w:rPr>
          <w:fldChar w:fldCharType="separate"/>
        </w:r>
        <w:r w:rsidR="00F14BED">
          <w:rPr>
            <w:webHidden/>
          </w:rPr>
          <w:t>133</w:t>
        </w:r>
        <w:r w:rsidR="00EF72E6">
          <w:rPr>
            <w:webHidden/>
          </w:rPr>
          <w:fldChar w:fldCharType="end"/>
        </w:r>
      </w:hyperlink>
    </w:p>
    <w:p w14:paraId="380EAD82" w14:textId="42DB1ECD"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69" w:history="1">
        <w:r w:rsidR="00EF72E6" w:rsidRPr="00193896">
          <w:rPr>
            <w:rStyle w:val="Hipervnculo"/>
          </w:rPr>
          <w:t>8.1.2</w:t>
        </w:r>
        <w:r w:rsidR="00EF72E6">
          <w:rPr>
            <w:rFonts w:asciiTheme="minorHAnsi" w:eastAsiaTheme="minorEastAsia" w:hAnsiTheme="minorHAnsi" w:cstheme="minorBidi"/>
            <w:sz w:val="22"/>
            <w:szCs w:val="22"/>
            <w:lang w:val="es-CL" w:eastAsia="es-CL"/>
          </w:rPr>
          <w:tab/>
        </w:r>
        <w:r w:rsidR="00EF72E6" w:rsidRPr="00193896">
          <w:rPr>
            <w:rStyle w:val="Hipervnculo"/>
          </w:rPr>
          <w:t>Resultados del C.O.M.A</w:t>
        </w:r>
        <w:r w:rsidR="00EF72E6">
          <w:rPr>
            <w:webHidden/>
          </w:rPr>
          <w:tab/>
        </w:r>
        <w:r w:rsidR="00EF72E6">
          <w:rPr>
            <w:webHidden/>
          </w:rPr>
          <w:fldChar w:fldCharType="begin"/>
        </w:r>
        <w:r w:rsidR="00EF72E6">
          <w:rPr>
            <w:webHidden/>
          </w:rPr>
          <w:instrText xml:space="preserve"> PAGEREF _Toc34687269 \h </w:instrText>
        </w:r>
        <w:r w:rsidR="00EF72E6">
          <w:rPr>
            <w:webHidden/>
          </w:rPr>
        </w:r>
        <w:r w:rsidR="00EF72E6">
          <w:rPr>
            <w:webHidden/>
          </w:rPr>
          <w:fldChar w:fldCharType="separate"/>
        </w:r>
        <w:r w:rsidR="00F14BED">
          <w:rPr>
            <w:webHidden/>
          </w:rPr>
          <w:t>133</w:t>
        </w:r>
        <w:r w:rsidR="00EF72E6">
          <w:rPr>
            <w:webHidden/>
          </w:rPr>
          <w:fldChar w:fldCharType="end"/>
        </w:r>
      </w:hyperlink>
    </w:p>
    <w:p w14:paraId="26231E1C" w14:textId="18E5CE6C" w:rsidR="00EF72E6" w:rsidRDefault="00F5226B">
      <w:pPr>
        <w:pStyle w:val="TDC3"/>
        <w:tabs>
          <w:tab w:val="left" w:pos="1560"/>
        </w:tabs>
        <w:rPr>
          <w:rFonts w:asciiTheme="minorHAnsi" w:eastAsiaTheme="minorEastAsia" w:hAnsiTheme="minorHAnsi" w:cstheme="minorBidi"/>
          <w:sz w:val="22"/>
          <w:szCs w:val="22"/>
          <w:lang w:val="es-CL" w:eastAsia="es-CL"/>
        </w:rPr>
      </w:pPr>
      <w:hyperlink w:anchor="_Toc34687270" w:history="1">
        <w:r w:rsidR="00EF72E6" w:rsidRPr="00193896">
          <w:rPr>
            <w:rStyle w:val="Hipervnculo"/>
          </w:rPr>
          <w:t>8.1.3</w:t>
        </w:r>
        <w:r w:rsidR="00EF72E6">
          <w:rPr>
            <w:rFonts w:asciiTheme="minorHAnsi" w:eastAsiaTheme="minorEastAsia" w:hAnsiTheme="minorHAnsi" w:cstheme="minorBidi"/>
            <w:sz w:val="22"/>
            <w:szCs w:val="22"/>
            <w:lang w:val="es-CL" w:eastAsia="es-CL"/>
          </w:rPr>
          <w:tab/>
        </w:r>
        <w:r w:rsidR="00EF72E6" w:rsidRPr="00193896">
          <w:rPr>
            <w:rStyle w:val="Hipervnculo"/>
          </w:rPr>
          <w:t>Resultados de BM&amp;I</w:t>
        </w:r>
        <w:r w:rsidR="00EF72E6">
          <w:rPr>
            <w:webHidden/>
          </w:rPr>
          <w:tab/>
        </w:r>
        <w:r w:rsidR="00EF72E6">
          <w:rPr>
            <w:webHidden/>
          </w:rPr>
          <w:fldChar w:fldCharType="begin"/>
        </w:r>
        <w:r w:rsidR="00EF72E6">
          <w:rPr>
            <w:webHidden/>
          </w:rPr>
          <w:instrText xml:space="preserve"> PAGEREF _Toc34687270 \h </w:instrText>
        </w:r>
        <w:r w:rsidR="00EF72E6">
          <w:rPr>
            <w:webHidden/>
          </w:rPr>
        </w:r>
        <w:r w:rsidR="00EF72E6">
          <w:rPr>
            <w:webHidden/>
          </w:rPr>
          <w:fldChar w:fldCharType="separate"/>
        </w:r>
        <w:r w:rsidR="00F14BED">
          <w:rPr>
            <w:webHidden/>
          </w:rPr>
          <w:t>134</w:t>
        </w:r>
        <w:r w:rsidR="00EF72E6">
          <w:rPr>
            <w:webHidden/>
          </w:rPr>
          <w:fldChar w:fldCharType="end"/>
        </w:r>
      </w:hyperlink>
    </w:p>
    <w:p w14:paraId="2C46CF65" w14:textId="2A4BBB07"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71" w:history="1">
        <w:r w:rsidR="00EF72E6" w:rsidRPr="00193896">
          <w:rPr>
            <w:rStyle w:val="Hipervnculo"/>
            <w:noProof/>
            <w:lang w:val="es-ES"/>
          </w:rPr>
          <w:t>9.</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lang w:val="es-ES"/>
          </w:rPr>
          <w:t>DETERMINACIÓN de bienes intangibles</w:t>
        </w:r>
        <w:r w:rsidR="00EF72E6">
          <w:rPr>
            <w:noProof/>
            <w:webHidden/>
          </w:rPr>
          <w:tab/>
        </w:r>
        <w:r w:rsidR="00EF72E6">
          <w:rPr>
            <w:noProof/>
            <w:webHidden/>
          </w:rPr>
          <w:fldChar w:fldCharType="begin"/>
        </w:r>
        <w:r w:rsidR="00EF72E6">
          <w:rPr>
            <w:noProof/>
            <w:webHidden/>
          </w:rPr>
          <w:instrText xml:space="preserve"> PAGEREF _Toc34687271 \h </w:instrText>
        </w:r>
        <w:r w:rsidR="00EF72E6">
          <w:rPr>
            <w:noProof/>
            <w:webHidden/>
          </w:rPr>
        </w:r>
        <w:r w:rsidR="00EF72E6">
          <w:rPr>
            <w:noProof/>
            <w:webHidden/>
          </w:rPr>
          <w:fldChar w:fldCharType="separate"/>
        </w:r>
        <w:r w:rsidR="00F14BED">
          <w:rPr>
            <w:noProof/>
            <w:webHidden/>
          </w:rPr>
          <w:t>142</w:t>
        </w:r>
        <w:r w:rsidR="00EF72E6">
          <w:rPr>
            <w:noProof/>
            <w:webHidden/>
          </w:rPr>
          <w:fldChar w:fldCharType="end"/>
        </w:r>
      </w:hyperlink>
    </w:p>
    <w:p w14:paraId="338F2A83" w14:textId="1DFCD9E3"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72" w:history="1">
        <w:r w:rsidR="00EF72E6" w:rsidRPr="00193896">
          <w:rPr>
            <w:rStyle w:val="Hipervnculo"/>
            <w:noProof/>
            <w:lang w:val="es-ES"/>
          </w:rPr>
          <w:t>10.</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lang w:val="es-ES"/>
          </w:rPr>
          <w:t>DETERMINACIÓN economías de ámbito</w:t>
        </w:r>
        <w:r w:rsidR="00EF72E6">
          <w:rPr>
            <w:noProof/>
            <w:webHidden/>
          </w:rPr>
          <w:tab/>
        </w:r>
        <w:r w:rsidR="00EF72E6">
          <w:rPr>
            <w:noProof/>
            <w:webHidden/>
          </w:rPr>
          <w:fldChar w:fldCharType="begin"/>
        </w:r>
        <w:r w:rsidR="00EF72E6">
          <w:rPr>
            <w:noProof/>
            <w:webHidden/>
          </w:rPr>
          <w:instrText xml:space="preserve"> PAGEREF _Toc34687272 \h </w:instrText>
        </w:r>
        <w:r w:rsidR="00EF72E6">
          <w:rPr>
            <w:noProof/>
            <w:webHidden/>
          </w:rPr>
        </w:r>
        <w:r w:rsidR="00EF72E6">
          <w:rPr>
            <w:noProof/>
            <w:webHidden/>
          </w:rPr>
          <w:fldChar w:fldCharType="separate"/>
        </w:r>
        <w:r w:rsidR="00F14BED">
          <w:rPr>
            <w:noProof/>
            <w:webHidden/>
          </w:rPr>
          <w:t>142</w:t>
        </w:r>
        <w:r w:rsidR="00EF72E6">
          <w:rPr>
            <w:noProof/>
            <w:webHidden/>
          </w:rPr>
          <w:fldChar w:fldCharType="end"/>
        </w:r>
      </w:hyperlink>
    </w:p>
    <w:p w14:paraId="165EAEBF" w14:textId="0A173F54"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73" w:history="1">
        <w:r w:rsidR="00EF72E6" w:rsidRPr="00193896">
          <w:rPr>
            <w:rStyle w:val="Hipervnculo"/>
            <w:noProof/>
          </w:rPr>
          <w:t>11.</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DETERMINACIÓN DE LABORES DE AMPLIACIÓN</w:t>
        </w:r>
        <w:r w:rsidR="00EF72E6">
          <w:rPr>
            <w:noProof/>
            <w:webHidden/>
          </w:rPr>
          <w:tab/>
        </w:r>
        <w:r w:rsidR="00EF72E6">
          <w:rPr>
            <w:noProof/>
            <w:webHidden/>
          </w:rPr>
          <w:fldChar w:fldCharType="begin"/>
        </w:r>
        <w:r w:rsidR="00EF72E6">
          <w:rPr>
            <w:noProof/>
            <w:webHidden/>
          </w:rPr>
          <w:instrText xml:space="preserve"> PAGEREF _Toc34687273 \h </w:instrText>
        </w:r>
        <w:r w:rsidR="00EF72E6">
          <w:rPr>
            <w:noProof/>
            <w:webHidden/>
          </w:rPr>
        </w:r>
        <w:r w:rsidR="00EF72E6">
          <w:rPr>
            <w:noProof/>
            <w:webHidden/>
          </w:rPr>
          <w:fldChar w:fldCharType="separate"/>
        </w:r>
        <w:r w:rsidR="00F14BED">
          <w:rPr>
            <w:noProof/>
            <w:webHidden/>
          </w:rPr>
          <w:t>143</w:t>
        </w:r>
        <w:r w:rsidR="00EF72E6">
          <w:rPr>
            <w:noProof/>
            <w:webHidden/>
          </w:rPr>
          <w:fldChar w:fldCharType="end"/>
        </w:r>
      </w:hyperlink>
    </w:p>
    <w:p w14:paraId="49628FFB" w14:textId="4B9716F6"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74" w:history="1">
        <w:r w:rsidR="00EF72E6" w:rsidRPr="00193896">
          <w:rPr>
            <w:rStyle w:val="Hipervnculo"/>
            <w:noProof/>
          </w:rPr>
          <w:t>12.</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DETERMINACIÓN DEL V.A.T.T.</w:t>
        </w:r>
        <w:r w:rsidR="00EF72E6">
          <w:rPr>
            <w:noProof/>
            <w:webHidden/>
          </w:rPr>
          <w:tab/>
        </w:r>
        <w:r w:rsidR="00EF72E6">
          <w:rPr>
            <w:noProof/>
            <w:webHidden/>
          </w:rPr>
          <w:fldChar w:fldCharType="begin"/>
        </w:r>
        <w:r w:rsidR="00EF72E6">
          <w:rPr>
            <w:noProof/>
            <w:webHidden/>
          </w:rPr>
          <w:instrText xml:space="preserve"> PAGEREF _Toc34687274 \h </w:instrText>
        </w:r>
        <w:r w:rsidR="00EF72E6">
          <w:rPr>
            <w:noProof/>
            <w:webHidden/>
          </w:rPr>
        </w:r>
        <w:r w:rsidR="00EF72E6">
          <w:rPr>
            <w:noProof/>
            <w:webHidden/>
          </w:rPr>
          <w:fldChar w:fldCharType="separate"/>
        </w:r>
        <w:r w:rsidR="00F14BED">
          <w:rPr>
            <w:noProof/>
            <w:webHidden/>
          </w:rPr>
          <w:t>146</w:t>
        </w:r>
        <w:r w:rsidR="00EF72E6">
          <w:rPr>
            <w:noProof/>
            <w:webHidden/>
          </w:rPr>
          <w:fldChar w:fldCharType="end"/>
        </w:r>
      </w:hyperlink>
    </w:p>
    <w:p w14:paraId="653A6BAB" w14:textId="2D407783"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75" w:history="1">
        <w:r w:rsidR="00EF72E6" w:rsidRPr="00193896">
          <w:rPr>
            <w:rStyle w:val="Hipervnculo"/>
            <w:noProof/>
          </w:rPr>
          <w:t>12.1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Antecedentes generales</w:t>
        </w:r>
        <w:r w:rsidR="00EF72E6">
          <w:rPr>
            <w:noProof/>
            <w:webHidden/>
          </w:rPr>
          <w:tab/>
        </w:r>
        <w:r w:rsidR="00EF72E6">
          <w:rPr>
            <w:noProof/>
            <w:webHidden/>
          </w:rPr>
          <w:fldChar w:fldCharType="begin"/>
        </w:r>
        <w:r w:rsidR="00EF72E6">
          <w:rPr>
            <w:noProof/>
            <w:webHidden/>
          </w:rPr>
          <w:instrText xml:space="preserve"> PAGEREF _Toc34687275 \h </w:instrText>
        </w:r>
        <w:r w:rsidR="00EF72E6">
          <w:rPr>
            <w:noProof/>
            <w:webHidden/>
          </w:rPr>
        </w:r>
        <w:r w:rsidR="00EF72E6">
          <w:rPr>
            <w:noProof/>
            <w:webHidden/>
          </w:rPr>
          <w:fldChar w:fldCharType="separate"/>
        </w:r>
        <w:r w:rsidR="00F14BED">
          <w:rPr>
            <w:noProof/>
            <w:webHidden/>
          </w:rPr>
          <w:t>146</w:t>
        </w:r>
        <w:r w:rsidR="00EF72E6">
          <w:rPr>
            <w:noProof/>
            <w:webHidden/>
          </w:rPr>
          <w:fldChar w:fldCharType="end"/>
        </w:r>
      </w:hyperlink>
    </w:p>
    <w:p w14:paraId="0D417703" w14:textId="2ECD00D8"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76" w:history="1">
        <w:r w:rsidR="00EF72E6" w:rsidRPr="00193896">
          <w:rPr>
            <w:rStyle w:val="Hipervnculo"/>
          </w:rPr>
          <w:t>12.1.1</w:t>
        </w:r>
        <w:r w:rsidR="00EF72E6">
          <w:rPr>
            <w:rFonts w:asciiTheme="minorHAnsi" w:eastAsiaTheme="minorEastAsia" w:hAnsiTheme="minorHAnsi" w:cstheme="minorBidi"/>
            <w:sz w:val="22"/>
            <w:szCs w:val="22"/>
            <w:lang w:val="es-CL" w:eastAsia="es-CL"/>
          </w:rPr>
          <w:tab/>
        </w:r>
        <w:r w:rsidR="00EF72E6" w:rsidRPr="00193896">
          <w:rPr>
            <w:rStyle w:val="Hipervnculo"/>
          </w:rPr>
          <w:t>Conceptos Generales</w:t>
        </w:r>
        <w:r w:rsidR="00EF72E6">
          <w:rPr>
            <w:webHidden/>
          </w:rPr>
          <w:tab/>
        </w:r>
        <w:r w:rsidR="00EF72E6">
          <w:rPr>
            <w:webHidden/>
          </w:rPr>
          <w:fldChar w:fldCharType="begin"/>
        </w:r>
        <w:r w:rsidR="00EF72E6">
          <w:rPr>
            <w:webHidden/>
          </w:rPr>
          <w:instrText xml:space="preserve"> PAGEREF _Toc34687276 \h </w:instrText>
        </w:r>
        <w:r w:rsidR="00EF72E6">
          <w:rPr>
            <w:webHidden/>
          </w:rPr>
        </w:r>
        <w:r w:rsidR="00EF72E6">
          <w:rPr>
            <w:webHidden/>
          </w:rPr>
          <w:fldChar w:fldCharType="separate"/>
        </w:r>
        <w:r w:rsidR="00F14BED">
          <w:rPr>
            <w:webHidden/>
          </w:rPr>
          <w:t>146</w:t>
        </w:r>
        <w:r w:rsidR="00EF72E6">
          <w:rPr>
            <w:webHidden/>
          </w:rPr>
          <w:fldChar w:fldCharType="end"/>
        </w:r>
      </w:hyperlink>
    </w:p>
    <w:p w14:paraId="237F532E" w14:textId="46865A7F"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77" w:history="1">
        <w:r w:rsidR="00EF72E6" w:rsidRPr="00193896">
          <w:rPr>
            <w:rStyle w:val="Hipervnculo"/>
          </w:rPr>
          <w:t>12.1.2</w:t>
        </w:r>
        <w:r w:rsidR="00EF72E6">
          <w:rPr>
            <w:rFonts w:asciiTheme="minorHAnsi" w:eastAsiaTheme="minorEastAsia" w:hAnsiTheme="minorHAnsi" w:cstheme="minorBidi"/>
            <w:sz w:val="22"/>
            <w:szCs w:val="22"/>
            <w:lang w:val="es-CL" w:eastAsia="es-CL"/>
          </w:rPr>
          <w:tab/>
        </w:r>
        <w:r w:rsidR="00EF72E6" w:rsidRPr="00193896">
          <w:rPr>
            <w:rStyle w:val="Hipervnculo"/>
          </w:rPr>
          <w:t>V.A.T.T. y Tipos de Obras de Transmisión</w:t>
        </w:r>
        <w:r w:rsidR="00EF72E6">
          <w:rPr>
            <w:webHidden/>
          </w:rPr>
          <w:tab/>
        </w:r>
        <w:r w:rsidR="00EF72E6">
          <w:rPr>
            <w:webHidden/>
          </w:rPr>
          <w:fldChar w:fldCharType="begin"/>
        </w:r>
        <w:r w:rsidR="00EF72E6">
          <w:rPr>
            <w:webHidden/>
          </w:rPr>
          <w:instrText xml:space="preserve"> PAGEREF _Toc34687277 \h </w:instrText>
        </w:r>
        <w:r w:rsidR="00EF72E6">
          <w:rPr>
            <w:webHidden/>
          </w:rPr>
        </w:r>
        <w:r w:rsidR="00EF72E6">
          <w:rPr>
            <w:webHidden/>
          </w:rPr>
          <w:fldChar w:fldCharType="separate"/>
        </w:r>
        <w:r w:rsidR="00F14BED">
          <w:rPr>
            <w:webHidden/>
          </w:rPr>
          <w:t>146</w:t>
        </w:r>
        <w:r w:rsidR="00EF72E6">
          <w:rPr>
            <w:webHidden/>
          </w:rPr>
          <w:fldChar w:fldCharType="end"/>
        </w:r>
      </w:hyperlink>
    </w:p>
    <w:p w14:paraId="66A6E22D" w14:textId="654FC42F"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78" w:history="1">
        <w:r w:rsidR="00EF72E6" w:rsidRPr="00193896">
          <w:rPr>
            <w:rStyle w:val="Hipervnculo"/>
            <w:noProof/>
          </w:rPr>
          <w:t>12.2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Disposiciones de las bases</w:t>
        </w:r>
        <w:r w:rsidR="00EF72E6">
          <w:rPr>
            <w:noProof/>
            <w:webHidden/>
          </w:rPr>
          <w:tab/>
        </w:r>
        <w:r w:rsidR="00EF72E6">
          <w:rPr>
            <w:noProof/>
            <w:webHidden/>
          </w:rPr>
          <w:fldChar w:fldCharType="begin"/>
        </w:r>
        <w:r w:rsidR="00EF72E6">
          <w:rPr>
            <w:noProof/>
            <w:webHidden/>
          </w:rPr>
          <w:instrText xml:space="preserve"> PAGEREF _Toc34687278 \h </w:instrText>
        </w:r>
        <w:r w:rsidR="00EF72E6">
          <w:rPr>
            <w:noProof/>
            <w:webHidden/>
          </w:rPr>
        </w:r>
        <w:r w:rsidR="00EF72E6">
          <w:rPr>
            <w:noProof/>
            <w:webHidden/>
          </w:rPr>
          <w:fldChar w:fldCharType="separate"/>
        </w:r>
        <w:r w:rsidR="00F14BED">
          <w:rPr>
            <w:noProof/>
            <w:webHidden/>
          </w:rPr>
          <w:t>147</w:t>
        </w:r>
        <w:r w:rsidR="00EF72E6">
          <w:rPr>
            <w:noProof/>
            <w:webHidden/>
          </w:rPr>
          <w:fldChar w:fldCharType="end"/>
        </w:r>
      </w:hyperlink>
    </w:p>
    <w:p w14:paraId="2B3FC9B7" w14:textId="11994F0B"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79" w:history="1">
        <w:r w:rsidR="00EF72E6" w:rsidRPr="00193896">
          <w:rPr>
            <w:rStyle w:val="Hipervnculo"/>
          </w:rPr>
          <w:t>12.2.1</w:t>
        </w:r>
        <w:r w:rsidR="00EF72E6">
          <w:rPr>
            <w:rFonts w:asciiTheme="minorHAnsi" w:eastAsiaTheme="minorEastAsia" w:hAnsiTheme="minorHAnsi" w:cstheme="minorBidi"/>
            <w:sz w:val="22"/>
            <w:szCs w:val="22"/>
            <w:lang w:val="es-CL" w:eastAsia="es-CL"/>
          </w:rPr>
          <w:tab/>
        </w:r>
        <w:r w:rsidR="00EF72E6" w:rsidRPr="00193896">
          <w:rPr>
            <w:rStyle w:val="Hipervnculo"/>
          </w:rPr>
          <w:t>Definición del V.A.T.T.</w:t>
        </w:r>
        <w:r w:rsidR="00EF72E6">
          <w:rPr>
            <w:webHidden/>
          </w:rPr>
          <w:tab/>
        </w:r>
        <w:r w:rsidR="00EF72E6">
          <w:rPr>
            <w:webHidden/>
          </w:rPr>
          <w:fldChar w:fldCharType="begin"/>
        </w:r>
        <w:r w:rsidR="00EF72E6">
          <w:rPr>
            <w:webHidden/>
          </w:rPr>
          <w:instrText xml:space="preserve"> PAGEREF _Toc34687279 \h </w:instrText>
        </w:r>
        <w:r w:rsidR="00EF72E6">
          <w:rPr>
            <w:webHidden/>
          </w:rPr>
        </w:r>
        <w:r w:rsidR="00EF72E6">
          <w:rPr>
            <w:webHidden/>
          </w:rPr>
          <w:fldChar w:fldCharType="separate"/>
        </w:r>
        <w:r w:rsidR="00F14BED">
          <w:rPr>
            <w:webHidden/>
          </w:rPr>
          <w:t>147</w:t>
        </w:r>
        <w:r w:rsidR="00EF72E6">
          <w:rPr>
            <w:webHidden/>
          </w:rPr>
          <w:fldChar w:fldCharType="end"/>
        </w:r>
      </w:hyperlink>
    </w:p>
    <w:p w14:paraId="492A4480" w14:textId="0414BA6C"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80" w:history="1">
        <w:r w:rsidR="00EF72E6" w:rsidRPr="00193896">
          <w:rPr>
            <w:rStyle w:val="Hipervnculo"/>
          </w:rPr>
          <w:t>12.2.2</w:t>
        </w:r>
        <w:r w:rsidR="00EF72E6">
          <w:rPr>
            <w:rFonts w:asciiTheme="minorHAnsi" w:eastAsiaTheme="minorEastAsia" w:hAnsiTheme="minorHAnsi" w:cstheme="minorBidi"/>
            <w:sz w:val="22"/>
            <w:szCs w:val="22"/>
            <w:lang w:val="es-CL" w:eastAsia="es-CL"/>
          </w:rPr>
          <w:tab/>
        </w:r>
        <w:r w:rsidR="00EF72E6" w:rsidRPr="00193896">
          <w:rPr>
            <w:rStyle w:val="Hipervnculo"/>
          </w:rPr>
          <w:t>Componentes del V.A.T.T.</w:t>
        </w:r>
        <w:r w:rsidR="00EF72E6">
          <w:rPr>
            <w:webHidden/>
          </w:rPr>
          <w:tab/>
        </w:r>
        <w:r w:rsidR="00EF72E6">
          <w:rPr>
            <w:webHidden/>
          </w:rPr>
          <w:fldChar w:fldCharType="begin"/>
        </w:r>
        <w:r w:rsidR="00EF72E6">
          <w:rPr>
            <w:webHidden/>
          </w:rPr>
          <w:instrText xml:space="preserve"> PAGEREF _Toc34687280 \h </w:instrText>
        </w:r>
        <w:r w:rsidR="00EF72E6">
          <w:rPr>
            <w:webHidden/>
          </w:rPr>
        </w:r>
        <w:r w:rsidR="00EF72E6">
          <w:rPr>
            <w:webHidden/>
          </w:rPr>
          <w:fldChar w:fldCharType="separate"/>
        </w:r>
        <w:r w:rsidR="00F14BED">
          <w:rPr>
            <w:webHidden/>
          </w:rPr>
          <w:t>147</w:t>
        </w:r>
        <w:r w:rsidR="00EF72E6">
          <w:rPr>
            <w:webHidden/>
          </w:rPr>
          <w:fldChar w:fldCharType="end"/>
        </w:r>
      </w:hyperlink>
    </w:p>
    <w:p w14:paraId="7592C63A" w14:textId="07EC6339"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81" w:history="1">
        <w:r w:rsidR="00EF72E6" w:rsidRPr="00193896">
          <w:rPr>
            <w:rStyle w:val="Hipervnculo"/>
          </w:rPr>
          <w:t>12.2.3</w:t>
        </w:r>
        <w:r w:rsidR="00EF72E6">
          <w:rPr>
            <w:rFonts w:asciiTheme="minorHAnsi" w:eastAsiaTheme="minorEastAsia" w:hAnsiTheme="minorHAnsi" w:cstheme="minorBidi"/>
            <w:sz w:val="22"/>
            <w:szCs w:val="22"/>
            <w:lang w:val="es-CL" w:eastAsia="es-CL"/>
          </w:rPr>
          <w:tab/>
        </w:r>
        <w:r w:rsidR="00EF72E6" w:rsidRPr="00193896">
          <w:rPr>
            <w:rStyle w:val="Hipervnculo"/>
          </w:rPr>
          <w:t>Ajuste por Efectos de Impuesto a la Renta</w:t>
        </w:r>
        <w:r w:rsidR="00EF72E6">
          <w:rPr>
            <w:webHidden/>
          </w:rPr>
          <w:tab/>
        </w:r>
        <w:r w:rsidR="00EF72E6">
          <w:rPr>
            <w:webHidden/>
          </w:rPr>
          <w:fldChar w:fldCharType="begin"/>
        </w:r>
        <w:r w:rsidR="00EF72E6">
          <w:rPr>
            <w:webHidden/>
          </w:rPr>
          <w:instrText xml:space="preserve"> PAGEREF _Toc34687281 \h </w:instrText>
        </w:r>
        <w:r w:rsidR="00EF72E6">
          <w:rPr>
            <w:webHidden/>
          </w:rPr>
        </w:r>
        <w:r w:rsidR="00EF72E6">
          <w:rPr>
            <w:webHidden/>
          </w:rPr>
          <w:fldChar w:fldCharType="separate"/>
        </w:r>
        <w:r w:rsidR="00F14BED">
          <w:rPr>
            <w:webHidden/>
          </w:rPr>
          <w:t>149</w:t>
        </w:r>
        <w:r w:rsidR="00EF72E6">
          <w:rPr>
            <w:webHidden/>
          </w:rPr>
          <w:fldChar w:fldCharType="end"/>
        </w:r>
      </w:hyperlink>
    </w:p>
    <w:p w14:paraId="1ACB9635" w14:textId="314339AF"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2" w:history="1">
        <w:r w:rsidR="00EF72E6" w:rsidRPr="00193896">
          <w:rPr>
            <w:rStyle w:val="Hipervnculo"/>
            <w:noProof/>
          </w:rPr>
          <w:t>12.3</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Tasa de Descuento</w:t>
        </w:r>
        <w:r w:rsidR="00EF72E6">
          <w:rPr>
            <w:noProof/>
            <w:webHidden/>
          </w:rPr>
          <w:tab/>
        </w:r>
        <w:r w:rsidR="00EF72E6">
          <w:rPr>
            <w:noProof/>
            <w:webHidden/>
          </w:rPr>
          <w:fldChar w:fldCharType="begin"/>
        </w:r>
        <w:r w:rsidR="00EF72E6">
          <w:rPr>
            <w:noProof/>
            <w:webHidden/>
          </w:rPr>
          <w:instrText xml:space="preserve"> PAGEREF _Toc34687282 \h </w:instrText>
        </w:r>
        <w:r w:rsidR="00EF72E6">
          <w:rPr>
            <w:noProof/>
            <w:webHidden/>
          </w:rPr>
        </w:r>
        <w:r w:rsidR="00EF72E6">
          <w:rPr>
            <w:noProof/>
            <w:webHidden/>
          </w:rPr>
          <w:fldChar w:fldCharType="separate"/>
        </w:r>
        <w:r w:rsidR="00F14BED">
          <w:rPr>
            <w:noProof/>
            <w:webHidden/>
          </w:rPr>
          <w:t>150</w:t>
        </w:r>
        <w:r w:rsidR="00EF72E6">
          <w:rPr>
            <w:noProof/>
            <w:webHidden/>
          </w:rPr>
          <w:fldChar w:fldCharType="end"/>
        </w:r>
      </w:hyperlink>
    </w:p>
    <w:p w14:paraId="0F4E41E7" w14:textId="165751B9"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3" w:history="1">
        <w:r w:rsidR="00EF72E6" w:rsidRPr="00193896">
          <w:rPr>
            <w:rStyle w:val="Hipervnculo"/>
            <w:noProof/>
          </w:rPr>
          <w:t>12.4</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Vida Útil de las Instalaciones y Resolución Exenta N°412</w:t>
        </w:r>
        <w:r w:rsidR="00EF72E6">
          <w:rPr>
            <w:noProof/>
            <w:webHidden/>
          </w:rPr>
          <w:tab/>
        </w:r>
        <w:r w:rsidR="00EF72E6">
          <w:rPr>
            <w:noProof/>
            <w:webHidden/>
          </w:rPr>
          <w:fldChar w:fldCharType="begin"/>
        </w:r>
        <w:r w:rsidR="00EF72E6">
          <w:rPr>
            <w:noProof/>
            <w:webHidden/>
          </w:rPr>
          <w:instrText xml:space="preserve"> PAGEREF _Toc34687283 \h </w:instrText>
        </w:r>
        <w:r w:rsidR="00EF72E6">
          <w:rPr>
            <w:noProof/>
            <w:webHidden/>
          </w:rPr>
        </w:r>
        <w:r w:rsidR="00EF72E6">
          <w:rPr>
            <w:noProof/>
            <w:webHidden/>
          </w:rPr>
          <w:fldChar w:fldCharType="separate"/>
        </w:r>
        <w:r w:rsidR="00F14BED">
          <w:rPr>
            <w:noProof/>
            <w:webHidden/>
          </w:rPr>
          <w:t>151</w:t>
        </w:r>
        <w:r w:rsidR="00EF72E6">
          <w:rPr>
            <w:noProof/>
            <w:webHidden/>
          </w:rPr>
          <w:fldChar w:fldCharType="end"/>
        </w:r>
      </w:hyperlink>
    </w:p>
    <w:p w14:paraId="4842FBCE" w14:textId="6BE041B9"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4" w:history="1">
        <w:r w:rsidR="00EF72E6" w:rsidRPr="00193896">
          <w:rPr>
            <w:rStyle w:val="Hipervnculo"/>
            <w:noProof/>
          </w:rPr>
          <w:t>12.5</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Resolución Nº 43 del Servicio de Impuestos Internos, 2002</w:t>
        </w:r>
        <w:r w:rsidR="00EF72E6">
          <w:rPr>
            <w:noProof/>
            <w:webHidden/>
          </w:rPr>
          <w:tab/>
        </w:r>
        <w:r w:rsidR="00EF72E6">
          <w:rPr>
            <w:noProof/>
            <w:webHidden/>
          </w:rPr>
          <w:fldChar w:fldCharType="begin"/>
        </w:r>
        <w:r w:rsidR="00EF72E6">
          <w:rPr>
            <w:noProof/>
            <w:webHidden/>
          </w:rPr>
          <w:instrText xml:space="preserve"> PAGEREF _Toc34687284 \h </w:instrText>
        </w:r>
        <w:r w:rsidR="00EF72E6">
          <w:rPr>
            <w:noProof/>
            <w:webHidden/>
          </w:rPr>
        </w:r>
        <w:r w:rsidR="00EF72E6">
          <w:rPr>
            <w:noProof/>
            <w:webHidden/>
          </w:rPr>
          <w:fldChar w:fldCharType="separate"/>
        </w:r>
        <w:r w:rsidR="00F14BED">
          <w:rPr>
            <w:noProof/>
            <w:webHidden/>
          </w:rPr>
          <w:t>152</w:t>
        </w:r>
        <w:r w:rsidR="00EF72E6">
          <w:rPr>
            <w:noProof/>
            <w:webHidden/>
          </w:rPr>
          <w:fldChar w:fldCharType="end"/>
        </w:r>
      </w:hyperlink>
    </w:p>
    <w:p w14:paraId="4CC2F337" w14:textId="445723F2"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5" w:history="1">
        <w:r w:rsidR="00EF72E6" w:rsidRPr="00193896">
          <w:rPr>
            <w:rStyle w:val="Hipervnculo"/>
            <w:noProof/>
          </w:rPr>
          <w:t>12.6</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Homologación de Instalaciones Resolución CNE N°380 versus Resolución SII N°43</w:t>
        </w:r>
        <w:r w:rsidR="00EF72E6">
          <w:rPr>
            <w:noProof/>
            <w:webHidden/>
          </w:rPr>
          <w:tab/>
        </w:r>
        <w:r w:rsidR="00EF72E6">
          <w:rPr>
            <w:noProof/>
            <w:webHidden/>
          </w:rPr>
          <w:fldChar w:fldCharType="begin"/>
        </w:r>
        <w:r w:rsidR="00EF72E6">
          <w:rPr>
            <w:noProof/>
            <w:webHidden/>
          </w:rPr>
          <w:instrText xml:space="preserve"> PAGEREF _Toc34687285 \h </w:instrText>
        </w:r>
        <w:r w:rsidR="00EF72E6">
          <w:rPr>
            <w:noProof/>
            <w:webHidden/>
          </w:rPr>
        </w:r>
        <w:r w:rsidR="00EF72E6">
          <w:rPr>
            <w:noProof/>
            <w:webHidden/>
          </w:rPr>
          <w:fldChar w:fldCharType="separate"/>
        </w:r>
        <w:r w:rsidR="00F14BED">
          <w:rPr>
            <w:noProof/>
            <w:webHidden/>
          </w:rPr>
          <w:t>154</w:t>
        </w:r>
        <w:r w:rsidR="00EF72E6">
          <w:rPr>
            <w:noProof/>
            <w:webHidden/>
          </w:rPr>
          <w:fldChar w:fldCharType="end"/>
        </w:r>
      </w:hyperlink>
    </w:p>
    <w:p w14:paraId="6DF9559A" w14:textId="616E17D3"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6" w:history="1">
        <w:r w:rsidR="00EF72E6" w:rsidRPr="00193896">
          <w:rPr>
            <w:rStyle w:val="Hipervnculo"/>
            <w:noProof/>
          </w:rPr>
          <w:t>12.7</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Criterios Generales</w:t>
        </w:r>
        <w:r w:rsidR="00EF72E6">
          <w:rPr>
            <w:noProof/>
            <w:webHidden/>
          </w:rPr>
          <w:tab/>
        </w:r>
        <w:r w:rsidR="00EF72E6">
          <w:rPr>
            <w:noProof/>
            <w:webHidden/>
          </w:rPr>
          <w:fldChar w:fldCharType="begin"/>
        </w:r>
        <w:r w:rsidR="00EF72E6">
          <w:rPr>
            <w:noProof/>
            <w:webHidden/>
          </w:rPr>
          <w:instrText xml:space="preserve"> PAGEREF _Toc34687286 \h </w:instrText>
        </w:r>
        <w:r w:rsidR="00EF72E6">
          <w:rPr>
            <w:noProof/>
            <w:webHidden/>
          </w:rPr>
        </w:r>
        <w:r w:rsidR="00EF72E6">
          <w:rPr>
            <w:noProof/>
            <w:webHidden/>
          </w:rPr>
          <w:fldChar w:fldCharType="separate"/>
        </w:r>
        <w:r w:rsidR="00F14BED">
          <w:rPr>
            <w:noProof/>
            <w:webHidden/>
          </w:rPr>
          <w:t>154</w:t>
        </w:r>
        <w:r w:rsidR="00EF72E6">
          <w:rPr>
            <w:noProof/>
            <w:webHidden/>
          </w:rPr>
          <w:fldChar w:fldCharType="end"/>
        </w:r>
      </w:hyperlink>
    </w:p>
    <w:p w14:paraId="1155DFDF" w14:textId="07A14AFD"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7" w:history="1">
        <w:r w:rsidR="00EF72E6" w:rsidRPr="00193896">
          <w:rPr>
            <w:rStyle w:val="Hipervnculo"/>
            <w:noProof/>
          </w:rPr>
          <w:t>12.8</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Procedimiento y Resultado de la Homologación</w:t>
        </w:r>
        <w:r w:rsidR="00EF72E6">
          <w:rPr>
            <w:noProof/>
            <w:webHidden/>
          </w:rPr>
          <w:tab/>
        </w:r>
        <w:r w:rsidR="00EF72E6">
          <w:rPr>
            <w:noProof/>
            <w:webHidden/>
          </w:rPr>
          <w:fldChar w:fldCharType="begin"/>
        </w:r>
        <w:r w:rsidR="00EF72E6">
          <w:rPr>
            <w:noProof/>
            <w:webHidden/>
          </w:rPr>
          <w:instrText xml:space="preserve"> PAGEREF _Toc34687287 \h </w:instrText>
        </w:r>
        <w:r w:rsidR="00EF72E6">
          <w:rPr>
            <w:noProof/>
            <w:webHidden/>
          </w:rPr>
        </w:r>
        <w:r w:rsidR="00EF72E6">
          <w:rPr>
            <w:noProof/>
            <w:webHidden/>
          </w:rPr>
          <w:fldChar w:fldCharType="separate"/>
        </w:r>
        <w:r w:rsidR="00F14BED">
          <w:rPr>
            <w:noProof/>
            <w:webHidden/>
          </w:rPr>
          <w:t>155</w:t>
        </w:r>
        <w:r w:rsidR="00EF72E6">
          <w:rPr>
            <w:noProof/>
            <w:webHidden/>
          </w:rPr>
          <w:fldChar w:fldCharType="end"/>
        </w:r>
      </w:hyperlink>
    </w:p>
    <w:p w14:paraId="267A2948" w14:textId="4490C77A"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8" w:history="1">
        <w:r w:rsidR="00EF72E6" w:rsidRPr="00193896">
          <w:rPr>
            <w:rStyle w:val="Hipervnculo"/>
            <w:noProof/>
          </w:rPr>
          <w:t>12.9</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Tasa de Impuesto</w:t>
        </w:r>
        <w:r w:rsidR="00EF72E6">
          <w:rPr>
            <w:noProof/>
            <w:webHidden/>
          </w:rPr>
          <w:tab/>
        </w:r>
        <w:r w:rsidR="00EF72E6">
          <w:rPr>
            <w:noProof/>
            <w:webHidden/>
          </w:rPr>
          <w:fldChar w:fldCharType="begin"/>
        </w:r>
        <w:r w:rsidR="00EF72E6">
          <w:rPr>
            <w:noProof/>
            <w:webHidden/>
          </w:rPr>
          <w:instrText xml:space="preserve"> PAGEREF _Toc34687288 \h </w:instrText>
        </w:r>
        <w:r w:rsidR="00EF72E6">
          <w:rPr>
            <w:noProof/>
            <w:webHidden/>
          </w:rPr>
        </w:r>
        <w:r w:rsidR="00EF72E6">
          <w:rPr>
            <w:noProof/>
            <w:webHidden/>
          </w:rPr>
          <w:fldChar w:fldCharType="separate"/>
        </w:r>
        <w:r w:rsidR="00F14BED">
          <w:rPr>
            <w:noProof/>
            <w:webHidden/>
          </w:rPr>
          <w:t>156</w:t>
        </w:r>
        <w:r w:rsidR="00EF72E6">
          <w:rPr>
            <w:noProof/>
            <w:webHidden/>
          </w:rPr>
          <w:fldChar w:fldCharType="end"/>
        </w:r>
      </w:hyperlink>
    </w:p>
    <w:p w14:paraId="378E7CA2" w14:textId="45B23351"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89" w:history="1">
        <w:r w:rsidR="00EF72E6" w:rsidRPr="00193896">
          <w:rPr>
            <w:rStyle w:val="Hipervnculo"/>
            <w:noProof/>
          </w:rPr>
          <w:t>12.10</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Cálculo del V.A.T.T.</w:t>
        </w:r>
        <w:r w:rsidR="00EF72E6">
          <w:rPr>
            <w:noProof/>
            <w:webHidden/>
          </w:rPr>
          <w:tab/>
        </w:r>
        <w:r w:rsidR="00EF72E6">
          <w:rPr>
            <w:noProof/>
            <w:webHidden/>
          </w:rPr>
          <w:fldChar w:fldCharType="begin"/>
        </w:r>
        <w:r w:rsidR="00EF72E6">
          <w:rPr>
            <w:noProof/>
            <w:webHidden/>
          </w:rPr>
          <w:instrText xml:space="preserve"> PAGEREF _Toc34687289 \h </w:instrText>
        </w:r>
        <w:r w:rsidR="00EF72E6">
          <w:rPr>
            <w:noProof/>
            <w:webHidden/>
          </w:rPr>
        </w:r>
        <w:r w:rsidR="00EF72E6">
          <w:rPr>
            <w:noProof/>
            <w:webHidden/>
          </w:rPr>
          <w:fldChar w:fldCharType="separate"/>
        </w:r>
        <w:r w:rsidR="00F14BED">
          <w:rPr>
            <w:noProof/>
            <w:webHidden/>
          </w:rPr>
          <w:t>158</w:t>
        </w:r>
        <w:r w:rsidR="00EF72E6">
          <w:rPr>
            <w:noProof/>
            <w:webHidden/>
          </w:rPr>
          <w:fldChar w:fldCharType="end"/>
        </w:r>
      </w:hyperlink>
    </w:p>
    <w:p w14:paraId="705025A5" w14:textId="7EE25AFB"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90" w:history="1">
        <w:r w:rsidR="00EF72E6" w:rsidRPr="00193896">
          <w:rPr>
            <w:rStyle w:val="Hipervnculo"/>
            <w:noProof/>
          </w:rPr>
          <w:t>13.</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FÓRMULAS DE INDEXACIÓN y deflactores</w:t>
        </w:r>
        <w:r w:rsidR="00EF72E6">
          <w:rPr>
            <w:noProof/>
            <w:webHidden/>
          </w:rPr>
          <w:tab/>
        </w:r>
        <w:r w:rsidR="00EF72E6">
          <w:rPr>
            <w:noProof/>
            <w:webHidden/>
          </w:rPr>
          <w:fldChar w:fldCharType="begin"/>
        </w:r>
        <w:r w:rsidR="00EF72E6">
          <w:rPr>
            <w:noProof/>
            <w:webHidden/>
          </w:rPr>
          <w:instrText xml:space="preserve"> PAGEREF _Toc34687290 \h </w:instrText>
        </w:r>
        <w:r w:rsidR="00EF72E6">
          <w:rPr>
            <w:noProof/>
            <w:webHidden/>
          </w:rPr>
        </w:r>
        <w:r w:rsidR="00EF72E6">
          <w:rPr>
            <w:noProof/>
            <w:webHidden/>
          </w:rPr>
          <w:fldChar w:fldCharType="separate"/>
        </w:r>
        <w:r w:rsidR="00F14BED">
          <w:rPr>
            <w:noProof/>
            <w:webHidden/>
          </w:rPr>
          <w:t>160</w:t>
        </w:r>
        <w:r w:rsidR="00EF72E6">
          <w:rPr>
            <w:noProof/>
            <w:webHidden/>
          </w:rPr>
          <w:fldChar w:fldCharType="end"/>
        </w:r>
      </w:hyperlink>
    </w:p>
    <w:p w14:paraId="4DC12021" w14:textId="6275D505"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91" w:history="1">
        <w:r w:rsidR="00EF72E6" w:rsidRPr="00193896">
          <w:rPr>
            <w:rStyle w:val="Hipervnculo"/>
            <w:noProof/>
          </w:rPr>
          <w:t>13.1</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Fórmulas de Indexación</w:t>
        </w:r>
        <w:r w:rsidR="00EF72E6">
          <w:rPr>
            <w:noProof/>
            <w:webHidden/>
          </w:rPr>
          <w:tab/>
        </w:r>
        <w:r w:rsidR="00EF72E6">
          <w:rPr>
            <w:noProof/>
            <w:webHidden/>
          </w:rPr>
          <w:fldChar w:fldCharType="begin"/>
        </w:r>
        <w:r w:rsidR="00EF72E6">
          <w:rPr>
            <w:noProof/>
            <w:webHidden/>
          </w:rPr>
          <w:instrText xml:space="preserve"> PAGEREF _Toc34687291 \h </w:instrText>
        </w:r>
        <w:r w:rsidR="00EF72E6">
          <w:rPr>
            <w:noProof/>
            <w:webHidden/>
          </w:rPr>
        </w:r>
        <w:r w:rsidR="00EF72E6">
          <w:rPr>
            <w:noProof/>
            <w:webHidden/>
          </w:rPr>
          <w:fldChar w:fldCharType="separate"/>
        </w:r>
        <w:r w:rsidR="00F14BED">
          <w:rPr>
            <w:noProof/>
            <w:webHidden/>
          </w:rPr>
          <w:t>160</w:t>
        </w:r>
        <w:r w:rsidR="00EF72E6">
          <w:rPr>
            <w:noProof/>
            <w:webHidden/>
          </w:rPr>
          <w:fldChar w:fldCharType="end"/>
        </w:r>
      </w:hyperlink>
    </w:p>
    <w:p w14:paraId="04FA6F21" w14:textId="2E1E5359"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92" w:history="1">
        <w:r w:rsidR="00EF72E6" w:rsidRPr="00193896">
          <w:rPr>
            <w:rStyle w:val="Hipervnculo"/>
          </w:rPr>
          <w:t>13.1.1</w:t>
        </w:r>
        <w:r w:rsidR="00EF72E6">
          <w:rPr>
            <w:rFonts w:asciiTheme="minorHAnsi" w:eastAsiaTheme="minorEastAsia" w:hAnsiTheme="minorHAnsi" w:cstheme="minorBidi"/>
            <w:sz w:val="22"/>
            <w:szCs w:val="22"/>
            <w:lang w:val="es-CL" w:eastAsia="es-CL"/>
          </w:rPr>
          <w:tab/>
        </w:r>
        <w:r w:rsidR="00EF72E6" w:rsidRPr="00193896">
          <w:rPr>
            <w:rStyle w:val="Hipervnculo"/>
          </w:rPr>
          <w:t>Estructura General</w:t>
        </w:r>
        <w:r w:rsidR="00EF72E6">
          <w:rPr>
            <w:webHidden/>
          </w:rPr>
          <w:tab/>
        </w:r>
        <w:r w:rsidR="00EF72E6">
          <w:rPr>
            <w:webHidden/>
          </w:rPr>
          <w:fldChar w:fldCharType="begin"/>
        </w:r>
        <w:r w:rsidR="00EF72E6">
          <w:rPr>
            <w:webHidden/>
          </w:rPr>
          <w:instrText xml:space="preserve"> PAGEREF _Toc34687292 \h </w:instrText>
        </w:r>
        <w:r w:rsidR="00EF72E6">
          <w:rPr>
            <w:webHidden/>
          </w:rPr>
        </w:r>
        <w:r w:rsidR="00EF72E6">
          <w:rPr>
            <w:webHidden/>
          </w:rPr>
          <w:fldChar w:fldCharType="separate"/>
        </w:r>
        <w:r w:rsidR="00F14BED">
          <w:rPr>
            <w:webHidden/>
          </w:rPr>
          <w:t>160</w:t>
        </w:r>
        <w:r w:rsidR="00EF72E6">
          <w:rPr>
            <w:webHidden/>
          </w:rPr>
          <w:fldChar w:fldCharType="end"/>
        </w:r>
      </w:hyperlink>
    </w:p>
    <w:p w14:paraId="1685F000" w14:textId="5A857EE8"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93" w:history="1">
        <w:r w:rsidR="00EF72E6" w:rsidRPr="00193896">
          <w:rPr>
            <w:rStyle w:val="Hipervnculo"/>
          </w:rPr>
          <w:t>13.1.2</w:t>
        </w:r>
        <w:r w:rsidR="00EF72E6">
          <w:rPr>
            <w:rFonts w:asciiTheme="minorHAnsi" w:eastAsiaTheme="minorEastAsia" w:hAnsiTheme="minorHAnsi" w:cstheme="minorBidi"/>
            <w:sz w:val="22"/>
            <w:szCs w:val="22"/>
            <w:lang w:val="es-CL" w:eastAsia="es-CL"/>
          </w:rPr>
          <w:tab/>
        </w:r>
        <w:r w:rsidR="00EF72E6" w:rsidRPr="00193896">
          <w:rPr>
            <w:rStyle w:val="Hipervnculo"/>
          </w:rPr>
          <w:t>Indexadores y Valores Base</w:t>
        </w:r>
        <w:r w:rsidR="00EF72E6">
          <w:rPr>
            <w:webHidden/>
          </w:rPr>
          <w:tab/>
        </w:r>
        <w:r w:rsidR="00EF72E6">
          <w:rPr>
            <w:webHidden/>
          </w:rPr>
          <w:fldChar w:fldCharType="begin"/>
        </w:r>
        <w:r w:rsidR="00EF72E6">
          <w:rPr>
            <w:webHidden/>
          </w:rPr>
          <w:instrText xml:space="preserve"> PAGEREF _Toc34687293 \h </w:instrText>
        </w:r>
        <w:r w:rsidR="00EF72E6">
          <w:rPr>
            <w:webHidden/>
          </w:rPr>
        </w:r>
        <w:r w:rsidR="00EF72E6">
          <w:rPr>
            <w:webHidden/>
          </w:rPr>
          <w:fldChar w:fldCharType="separate"/>
        </w:r>
        <w:r w:rsidR="00F14BED">
          <w:rPr>
            <w:webHidden/>
          </w:rPr>
          <w:t>161</w:t>
        </w:r>
        <w:r w:rsidR="00EF72E6">
          <w:rPr>
            <w:webHidden/>
          </w:rPr>
          <w:fldChar w:fldCharType="end"/>
        </w:r>
      </w:hyperlink>
    </w:p>
    <w:p w14:paraId="2B54ED85" w14:textId="3439B64D"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94" w:history="1">
        <w:r w:rsidR="00EF72E6" w:rsidRPr="00193896">
          <w:rPr>
            <w:rStyle w:val="Hipervnculo"/>
          </w:rPr>
          <w:t>13.1.3</w:t>
        </w:r>
        <w:r w:rsidR="00EF72E6">
          <w:rPr>
            <w:rFonts w:asciiTheme="minorHAnsi" w:eastAsiaTheme="minorEastAsia" w:hAnsiTheme="minorHAnsi" w:cstheme="minorBidi"/>
            <w:sz w:val="22"/>
            <w:szCs w:val="22"/>
            <w:lang w:val="es-CL" w:eastAsia="es-CL"/>
          </w:rPr>
          <w:tab/>
        </w:r>
        <w:r w:rsidR="00EF72E6" w:rsidRPr="00193896">
          <w:rPr>
            <w:rStyle w:val="Hipervnculo"/>
          </w:rPr>
          <w:t>Determinación de coeficientes de la fórmula de indexación</w:t>
        </w:r>
        <w:r w:rsidR="00EF72E6">
          <w:rPr>
            <w:webHidden/>
          </w:rPr>
          <w:tab/>
        </w:r>
        <w:r w:rsidR="00EF72E6">
          <w:rPr>
            <w:webHidden/>
          </w:rPr>
          <w:fldChar w:fldCharType="begin"/>
        </w:r>
        <w:r w:rsidR="00EF72E6">
          <w:rPr>
            <w:webHidden/>
          </w:rPr>
          <w:instrText xml:space="preserve"> PAGEREF _Toc34687294 \h </w:instrText>
        </w:r>
        <w:r w:rsidR="00EF72E6">
          <w:rPr>
            <w:webHidden/>
          </w:rPr>
        </w:r>
        <w:r w:rsidR="00EF72E6">
          <w:rPr>
            <w:webHidden/>
          </w:rPr>
          <w:fldChar w:fldCharType="separate"/>
        </w:r>
        <w:r w:rsidR="00F14BED">
          <w:rPr>
            <w:webHidden/>
          </w:rPr>
          <w:t>164</w:t>
        </w:r>
        <w:r w:rsidR="00EF72E6">
          <w:rPr>
            <w:webHidden/>
          </w:rPr>
          <w:fldChar w:fldCharType="end"/>
        </w:r>
      </w:hyperlink>
    </w:p>
    <w:p w14:paraId="7428BFA9" w14:textId="7431EABB" w:rsidR="00EF72E6" w:rsidRDefault="00F5226B">
      <w:pPr>
        <w:pStyle w:val="TDC2"/>
        <w:tabs>
          <w:tab w:val="left" w:pos="1560"/>
        </w:tabs>
        <w:rPr>
          <w:rFonts w:asciiTheme="minorHAnsi" w:eastAsiaTheme="minorEastAsia" w:hAnsiTheme="minorHAnsi" w:cstheme="minorBidi"/>
          <w:b w:val="0"/>
          <w:smallCaps w:val="0"/>
          <w:noProof/>
          <w:szCs w:val="22"/>
          <w:lang w:val="es-CL" w:eastAsia="es-CL"/>
        </w:rPr>
      </w:pPr>
      <w:hyperlink w:anchor="_Toc34687295" w:history="1">
        <w:r w:rsidR="00EF72E6" w:rsidRPr="00193896">
          <w:rPr>
            <w:rStyle w:val="Hipervnculo"/>
            <w:noProof/>
          </w:rPr>
          <w:t>13.2</w:t>
        </w:r>
        <w:r w:rsidR="00EF72E6">
          <w:rPr>
            <w:rFonts w:asciiTheme="minorHAnsi" w:eastAsiaTheme="minorEastAsia" w:hAnsiTheme="minorHAnsi" w:cstheme="minorBidi"/>
            <w:b w:val="0"/>
            <w:smallCaps w:val="0"/>
            <w:noProof/>
            <w:szCs w:val="22"/>
            <w:lang w:val="es-CL" w:eastAsia="es-CL"/>
          </w:rPr>
          <w:tab/>
        </w:r>
        <w:r w:rsidR="00EF72E6" w:rsidRPr="00193896">
          <w:rPr>
            <w:rStyle w:val="Hipervnculo"/>
            <w:noProof/>
          </w:rPr>
          <w:t>Referenciación de Precios a Diciembre de 2017. Deflactores</w:t>
        </w:r>
        <w:r w:rsidR="00EF72E6">
          <w:rPr>
            <w:noProof/>
            <w:webHidden/>
          </w:rPr>
          <w:tab/>
        </w:r>
        <w:r w:rsidR="00EF72E6">
          <w:rPr>
            <w:noProof/>
            <w:webHidden/>
          </w:rPr>
          <w:fldChar w:fldCharType="begin"/>
        </w:r>
        <w:r w:rsidR="00EF72E6">
          <w:rPr>
            <w:noProof/>
            <w:webHidden/>
          </w:rPr>
          <w:instrText xml:space="preserve"> PAGEREF _Toc34687295 \h </w:instrText>
        </w:r>
        <w:r w:rsidR="00EF72E6">
          <w:rPr>
            <w:noProof/>
            <w:webHidden/>
          </w:rPr>
        </w:r>
        <w:r w:rsidR="00EF72E6">
          <w:rPr>
            <w:noProof/>
            <w:webHidden/>
          </w:rPr>
          <w:fldChar w:fldCharType="separate"/>
        </w:r>
        <w:r w:rsidR="00F14BED">
          <w:rPr>
            <w:noProof/>
            <w:webHidden/>
          </w:rPr>
          <w:t>165</w:t>
        </w:r>
        <w:r w:rsidR="00EF72E6">
          <w:rPr>
            <w:noProof/>
            <w:webHidden/>
          </w:rPr>
          <w:fldChar w:fldCharType="end"/>
        </w:r>
      </w:hyperlink>
    </w:p>
    <w:p w14:paraId="5A4DA703" w14:textId="369FC8C7"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96" w:history="1">
        <w:r w:rsidR="00EF72E6" w:rsidRPr="00193896">
          <w:rPr>
            <w:rStyle w:val="Hipervnculo"/>
          </w:rPr>
          <w:t>13.2.1</w:t>
        </w:r>
        <w:r w:rsidR="00EF72E6">
          <w:rPr>
            <w:rFonts w:asciiTheme="minorHAnsi" w:eastAsiaTheme="minorEastAsia" w:hAnsiTheme="minorHAnsi" w:cstheme="minorBidi"/>
            <w:sz w:val="22"/>
            <w:szCs w:val="22"/>
            <w:lang w:val="es-CL" w:eastAsia="es-CL"/>
          </w:rPr>
          <w:tab/>
        </w:r>
        <w:r w:rsidR="00EF72E6" w:rsidRPr="00193896">
          <w:rPr>
            <w:rStyle w:val="Hipervnculo"/>
          </w:rPr>
          <w:t>Consideraciones Previas</w:t>
        </w:r>
        <w:r w:rsidR="00EF72E6">
          <w:rPr>
            <w:webHidden/>
          </w:rPr>
          <w:tab/>
        </w:r>
        <w:r w:rsidR="00EF72E6">
          <w:rPr>
            <w:webHidden/>
          </w:rPr>
          <w:fldChar w:fldCharType="begin"/>
        </w:r>
        <w:r w:rsidR="00EF72E6">
          <w:rPr>
            <w:webHidden/>
          </w:rPr>
          <w:instrText xml:space="preserve"> PAGEREF _Toc34687296 \h </w:instrText>
        </w:r>
        <w:r w:rsidR="00EF72E6">
          <w:rPr>
            <w:webHidden/>
          </w:rPr>
        </w:r>
        <w:r w:rsidR="00EF72E6">
          <w:rPr>
            <w:webHidden/>
          </w:rPr>
          <w:fldChar w:fldCharType="separate"/>
        </w:r>
        <w:r w:rsidR="00F14BED">
          <w:rPr>
            <w:webHidden/>
          </w:rPr>
          <w:t>165</w:t>
        </w:r>
        <w:r w:rsidR="00EF72E6">
          <w:rPr>
            <w:webHidden/>
          </w:rPr>
          <w:fldChar w:fldCharType="end"/>
        </w:r>
      </w:hyperlink>
    </w:p>
    <w:p w14:paraId="700CF83A" w14:textId="5DE0B46F" w:rsidR="00EF72E6" w:rsidRDefault="00F5226B">
      <w:pPr>
        <w:pStyle w:val="TDC3"/>
        <w:tabs>
          <w:tab w:val="left" w:pos="2268"/>
        </w:tabs>
        <w:rPr>
          <w:rFonts w:asciiTheme="minorHAnsi" w:eastAsiaTheme="minorEastAsia" w:hAnsiTheme="minorHAnsi" w:cstheme="minorBidi"/>
          <w:sz w:val="22"/>
          <w:szCs w:val="22"/>
          <w:lang w:val="es-CL" w:eastAsia="es-CL"/>
        </w:rPr>
      </w:pPr>
      <w:hyperlink w:anchor="_Toc34687297" w:history="1">
        <w:r w:rsidR="00EF72E6" w:rsidRPr="00193896">
          <w:rPr>
            <w:rStyle w:val="Hipervnculo"/>
          </w:rPr>
          <w:t>13.2.2</w:t>
        </w:r>
        <w:r w:rsidR="00EF72E6">
          <w:rPr>
            <w:rFonts w:asciiTheme="minorHAnsi" w:eastAsiaTheme="minorEastAsia" w:hAnsiTheme="minorHAnsi" w:cstheme="minorBidi"/>
            <w:sz w:val="22"/>
            <w:szCs w:val="22"/>
            <w:lang w:val="es-CL" w:eastAsia="es-CL"/>
          </w:rPr>
          <w:tab/>
        </w:r>
        <w:r w:rsidR="00EF72E6" w:rsidRPr="00193896">
          <w:rPr>
            <w:rStyle w:val="Hipervnculo"/>
          </w:rPr>
          <w:t>Deflactores</w:t>
        </w:r>
        <w:r w:rsidR="00EF72E6">
          <w:rPr>
            <w:webHidden/>
          </w:rPr>
          <w:tab/>
        </w:r>
        <w:r w:rsidR="00EF72E6">
          <w:rPr>
            <w:webHidden/>
          </w:rPr>
          <w:fldChar w:fldCharType="begin"/>
        </w:r>
        <w:r w:rsidR="00EF72E6">
          <w:rPr>
            <w:webHidden/>
          </w:rPr>
          <w:instrText xml:space="preserve"> PAGEREF _Toc34687297 \h </w:instrText>
        </w:r>
        <w:r w:rsidR="00EF72E6">
          <w:rPr>
            <w:webHidden/>
          </w:rPr>
        </w:r>
        <w:r w:rsidR="00EF72E6">
          <w:rPr>
            <w:webHidden/>
          </w:rPr>
          <w:fldChar w:fldCharType="separate"/>
        </w:r>
        <w:r w:rsidR="00F14BED">
          <w:rPr>
            <w:webHidden/>
          </w:rPr>
          <w:t>166</w:t>
        </w:r>
        <w:r w:rsidR="00EF72E6">
          <w:rPr>
            <w:webHidden/>
          </w:rPr>
          <w:fldChar w:fldCharType="end"/>
        </w:r>
      </w:hyperlink>
    </w:p>
    <w:p w14:paraId="3C9BB69E" w14:textId="3AE4640B"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98" w:history="1">
        <w:r w:rsidR="00EF72E6" w:rsidRPr="00193896">
          <w:rPr>
            <w:rStyle w:val="Hipervnculo"/>
            <w:noProof/>
          </w:rPr>
          <w:t>14.</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RESULTADOS del estudio</w:t>
        </w:r>
        <w:r w:rsidR="00EF72E6">
          <w:rPr>
            <w:noProof/>
            <w:webHidden/>
          </w:rPr>
          <w:tab/>
        </w:r>
        <w:r w:rsidR="00EF72E6">
          <w:rPr>
            <w:noProof/>
            <w:webHidden/>
          </w:rPr>
          <w:fldChar w:fldCharType="begin"/>
        </w:r>
        <w:r w:rsidR="00EF72E6">
          <w:rPr>
            <w:noProof/>
            <w:webHidden/>
          </w:rPr>
          <w:instrText xml:space="preserve"> PAGEREF _Toc34687298 \h </w:instrText>
        </w:r>
        <w:r w:rsidR="00EF72E6">
          <w:rPr>
            <w:noProof/>
            <w:webHidden/>
          </w:rPr>
        </w:r>
        <w:r w:rsidR="00EF72E6">
          <w:rPr>
            <w:noProof/>
            <w:webHidden/>
          </w:rPr>
          <w:fldChar w:fldCharType="separate"/>
        </w:r>
        <w:r w:rsidR="00F14BED">
          <w:rPr>
            <w:noProof/>
            <w:webHidden/>
          </w:rPr>
          <w:t>167</w:t>
        </w:r>
        <w:r w:rsidR="00EF72E6">
          <w:rPr>
            <w:noProof/>
            <w:webHidden/>
          </w:rPr>
          <w:fldChar w:fldCharType="end"/>
        </w:r>
      </w:hyperlink>
    </w:p>
    <w:p w14:paraId="3CB99474" w14:textId="0CD93146" w:rsidR="00EF72E6" w:rsidRDefault="00F5226B">
      <w:pPr>
        <w:pStyle w:val="TDC1"/>
        <w:rPr>
          <w:rFonts w:asciiTheme="minorHAnsi" w:eastAsiaTheme="minorEastAsia" w:hAnsiTheme="minorHAnsi" w:cstheme="minorBidi"/>
          <w:b w:val="0"/>
          <w:caps w:val="0"/>
          <w:noProof/>
          <w:spacing w:val="0"/>
          <w:szCs w:val="22"/>
          <w:lang w:val="es-CL" w:eastAsia="es-CL"/>
        </w:rPr>
      </w:pPr>
      <w:hyperlink w:anchor="_Toc34687299" w:history="1">
        <w:r w:rsidR="00EF72E6" w:rsidRPr="00193896">
          <w:rPr>
            <w:rStyle w:val="Hipervnculo"/>
            <w:noProof/>
          </w:rPr>
          <w:t>15.</w:t>
        </w:r>
        <w:r w:rsidR="00EF72E6">
          <w:rPr>
            <w:rFonts w:asciiTheme="minorHAnsi" w:eastAsiaTheme="minorEastAsia" w:hAnsiTheme="minorHAnsi" w:cstheme="minorBidi"/>
            <w:b w:val="0"/>
            <w:caps w:val="0"/>
            <w:noProof/>
            <w:spacing w:val="0"/>
            <w:szCs w:val="22"/>
            <w:lang w:val="es-CL" w:eastAsia="es-CL"/>
          </w:rPr>
          <w:tab/>
        </w:r>
        <w:r w:rsidR="00EF72E6" w:rsidRPr="00193896">
          <w:rPr>
            <w:rStyle w:val="Hipervnculo"/>
            <w:noProof/>
          </w:rPr>
          <w:t>ANEXOS</w:t>
        </w:r>
        <w:r w:rsidR="00EF72E6">
          <w:rPr>
            <w:noProof/>
            <w:webHidden/>
          </w:rPr>
          <w:tab/>
        </w:r>
        <w:r w:rsidR="00EF72E6">
          <w:rPr>
            <w:noProof/>
            <w:webHidden/>
          </w:rPr>
          <w:fldChar w:fldCharType="begin"/>
        </w:r>
        <w:r w:rsidR="00EF72E6">
          <w:rPr>
            <w:noProof/>
            <w:webHidden/>
          </w:rPr>
          <w:instrText xml:space="preserve"> PAGEREF _Toc34687299 \h </w:instrText>
        </w:r>
        <w:r w:rsidR="00EF72E6">
          <w:rPr>
            <w:noProof/>
            <w:webHidden/>
          </w:rPr>
        </w:r>
        <w:r w:rsidR="00EF72E6">
          <w:rPr>
            <w:noProof/>
            <w:webHidden/>
          </w:rPr>
          <w:fldChar w:fldCharType="separate"/>
        </w:r>
        <w:r w:rsidR="00F14BED">
          <w:rPr>
            <w:noProof/>
            <w:webHidden/>
          </w:rPr>
          <w:t>178</w:t>
        </w:r>
        <w:r w:rsidR="00EF72E6">
          <w:rPr>
            <w:noProof/>
            <w:webHidden/>
          </w:rPr>
          <w:fldChar w:fldCharType="end"/>
        </w:r>
      </w:hyperlink>
    </w:p>
    <w:p w14:paraId="4A5482D9" w14:textId="368103CD" w:rsidR="00230F1D" w:rsidRPr="00BD3452" w:rsidRDefault="00EA1674" w:rsidP="00230F1D">
      <w:pPr>
        <w:rPr>
          <w:lang w:val="es-CL"/>
        </w:rPr>
      </w:pPr>
      <w:r>
        <w:rPr>
          <w:lang w:val="es-CL"/>
        </w:rPr>
        <w:fldChar w:fldCharType="end"/>
      </w:r>
    </w:p>
    <w:p w14:paraId="272C94C7" w14:textId="77777777" w:rsidR="00FE3577" w:rsidRPr="00EE2F47" w:rsidRDefault="00FE3577" w:rsidP="00EE2F47">
      <w:r w:rsidRPr="00EE2F47">
        <w:br w:type="page"/>
      </w:r>
    </w:p>
    <w:p w14:paraId="745456E1" w14:textId="77777777" w:rsidR="00FE3577" w:rsidRPr="00053B4B" w:rsidRDefault="00FE3577" w:rsidP="00053B4B">
      <w:pPr>
        <w:spacing w:after="0" w:line="240" w:lineRule="auto"/>
        <w:jc w:val="center"/>
        <w:rPr>
          <w:b/>
          <w:bCs/>
          <w:sz w:val="36"/>
          <w:szCs w:val="36"/>
        </w:rPr>
      </w:pPr>
      <w:r w:rsidRPr="00053B4B">
        <w:rPr>
          <w:b/>
          <w:bCs/>
          <w:sz w:val="36"/>
          <w:szCs w:val="36"/>
        </w:rPr>
        <w:t>ESTUDIO DE VALORIZACIÓN DE LAS INSTALACIONES DEL SISTEMA DE TRANSMISIÓN NACIONAL</w:t>
      </w:r>
    </w:p>
    <w:p w14:paraId="6295E59B" w14:textId="77777777" w:rsidR="00FE3577" w:rsidRPr="00053B4B" w:rsidRDefault="00FE3577" w:rsidP="00FE3577">
      <w:pPr>
        <w:jc w:val="center"/>
        <w:rPr>
          <w:b/>
          <w:bCs/>
          <w:sz w:val="36"/>
          <w:szCs w:val="36"/>
        </w:rPr>
      </w:pPr>
      <w:r w:rsidRPr="00053B4B">
        <w:rPr>
          <w:b/>
          <w:bCs/>
          <w:sz w:val="36"/>
          <w:szCs w:val="36"/>
        </w:rPr>
        <w:t>INFORME DE AVANCE N°</w:t>
      </w:r>
      <w:r w:rsidR="005F38A2">
        <w:rPr>
          <w:b/>
          <w:bCs/>
          <w:sz w:val="36"/>
          <w:szCs w:val="36"/>
        </w:rPr>
        <w:t>2</w:t>
      </w:r>
    </w:p>
    <w:p w14:paraId="2B964C7E" w14:textId="77777777" w:rsidR="00FE3577" w:rsidRPr="00EE2F47" w:rsidRDefault="00FE3577" w:rsidP="00811926">
      <w:pPr>
        <w:pStyle w:val="Ttulo1"/>
      </w:pPr>
      <w:bookmarkStart w:id="2" w:name="_Toc20236666"/>
      <w:bookmarkStart w:id="3" w:name="_Toc34687157"/>
      <w:r w:rsidRPr="00EE2F47">
        <w:t>Introducción</w:t>
      </w:r>
      <w:bookmarkEnd w:id="2"/>
      <w:bookmarkEnd w:id="3"/>
    </w:p>
    <w:p w14:paraId="400147CE" w14:textId="77777777" w:rsidR="00FE3577" w:rsidRPr="00EE2F47" w:rsidRDefault="00FE3577" w:rsidP="00FE3577">
      <w:r w:rsidRPr="00EE2F47">
        <w:t>En junio de 2016 se reformó la Ley General de Servicios Eléctricos (LGSE) mediante la promulgación de la Ley N°20.936, del Ministerio de Energía, que “Establece un Nuevo Sistema de Transmisión Eléctrica y Crea un Organismo Coordinador Independiente del Sistema” y que, entre otros, introdujo una serie de perfeccionamientos a la regulación que rige el desarrollo y remuneración de los sistemas de transmisión eléctrica en el país.</w:t>
      </w:r>
    </w:p>
    <w:p w14:paraId="0C2C6F00" w14:textId="77777777" w:rsidR="00FE3577" w:rsidRPr="00EE2F47" w:rsidRDefault="00FE3577" w:rsidP="00FE3577">
      <w:r w:rsidRPr="00EE2F47">
        <w:t>Si bien la nueva ley mantiene conceptos esenciales de la normativa que modificó</w:t>
      </w:r>
      <w:r w:rsidRPr="0035440A">
        <w:rPr>
          <w:rStyle w:val="Refdenotaalpie"/>
        </w:rPr>
        <w:footnoteReference w:id="1"/>
      </w:r>
      <w:r w:rsidRPr="00EE2F47">
        <w:t>, introduce definiciones y procedimientos que buscan agilizar el desarrollo de la infraestructura de transmisión, así como diversas modificaciones en los criterios de asignación de su remuneración orientados a simplificar el sistema tarifario</w:t>
      </w:r>
      <w:r w:rsidRPr="0035440A">
        <w:rPr>
          <w:rStyle w:val="Refdenotaalpie"/>
        </w:rPr>
        <w:footnoteReference w:id="2"/>
      </w:r>
      <w:r w:rsidRPr="00EE2F47">
        <w:t>.</w:t>
      </w:r>
    </w:p>
    <w:p w14:paraId="1FAAF937" w14:textId="77777777" w:rsidR="00FE3577" w:rsidRPr="00EE2F47" w:rsidRDefault="00FE3577" w:rsidP="00FE3577">
      <w:r w:rsidRPr="00EE2F47">
        <w:t>En lo que respecta a la planificación y desarrollo de los sistemas, la ley mantiene para el sistema de transmisión nacional -ex troncal- un esquema de planificación centralizada y vinculante, extendiendo la aplicación de este esquema para incluir también a los sistemas zonales -ex subtransmisión- antes de planificación descentralizada por parte de sus operadores.</w:t>
      </w:r>
    </w:p>
    <w:p w14:paraId="7D277EE1" w14:textId="77777777" w:rsidR="00FE3577" w:rsidRPr="00EE2F47" w:rsidRDefault="00FE3577" w:rsidP="00EE2F47">
      <w:r w:rsidRPr="00EE2F47">
        <w:t>En relación a la remuneración de las instalaciones de transmisión, la norma establece que el valor anual de las instalaciones de transmisión nacional, zonal, de sistema de transmisión para polos de desarrollo</w:t>
      </w:r>
      <w:r w:rsidRPr="0035440A">
        <w:rPr>
          <w:rStyle w:val="Refdenotaalpie"/>
        </w:rPr>
        <w:footnoteReference w:id="3"/>
      </w:r>
      <w:r w:rsidRPr="00EE2F47">
        <w:t xml:space="preserve"> y el pago por uso de las instalaciones de transmisión dedicadas utilizadas por parte</w:t>
      </w:r>
      <w:r w:rsidR="00543D5C" w:rsidRPr="00EE2F47">
        <w:t xml:space="preserve"> </w:t>
      </w:r>
      <w:r w:rsidRPr="00EE2F47">
        <w:t>de los usuarios regulados será determinado por la CNE cada cuatro años</w:t>
      </w:r>
      <w:r w:rsidRPr="0035440A">
        <w:rPr>
          <w:rStyle w:val="Refdenotaalpie"/>
        </w:rPr>
        <w:footnoteReference w:id="4"/>
      </w:r>
      <w:r w:rsidRPr="00EE2F47">
        <w:t>. El procedimiento cuadrienal correspondiente se inicia con la emisión de las bases preliminares de los estudios de valorización respectivos, procedimiento que cuenta con la participación de usuarios e instituciones interesadas, y con la intervención del Panel de Expertos para la resolución de discrepancias.</w:t>
      </w:r>
    </w:p>
    <w:p w14:paraId="6F3B7E03" w14:textId="77777777" w:rsidR="00FE3577" w:rsidRPr="00EE2F47" w:rsidRDefault="00FE3577" w:rsidP="00FE3577">
      <w:r w:rsidRPr="00EE2F47">
        <w:t>En este contexto, la Comisión Nacional de Energía (CNE), efectuó en abril de 2019 un llamado a empresas consultoras nacionales e internacionales con experiencia en valorización de sistemas de transmisión eléctrica, a participar en la licitación para la realización del Estudio de Valorización de las Instalaciones del Sistema de Transmisión Nacional, y del Estudio de Valorización de las Instalaciones de los Sistemas de Transmisión Zonal y de los Sistemas de Transmisión Dedicados utilizadas por usuarios sometidos a regulación de precios.</w:t>
      </w:r>
    </w:p>
    <w:p w14:paraId="585E3818" w14:textId="77777777" w:rsidR="00FE3577" w:rsidRPr="00EE2F47" w:rsidRDefault="00FE3577" w:rsidP="00EE2F47">
      <w:r w:rsidRPr="00EE2F47">
        <w:t>La ejecución del Estudio de Valorización de las Instalaciones del Sistema de Transmisión Nacional fue adjudicada al consorcio compuesto por SYNEX Ingenieros Consultores Ltda., Estudios Energéticos Consultores S.A., y Elequipos Servicios de Ingeniería S.A., en adelante, el “Consorcio Synex-Estudios Energéticos-Elequipos”, el Consorcio, o el Consultor, dándose inicio formal a las actividades del estudio el día 9 de agosto de 2019.</w:t>
      </w:r>
    </w:p>
    <w:p w14:paraId="319AC610" w14:textId="77777777" w:rsidR="00FE3577" w:rsidRDefault="00FE3577" w:rsidP="00FE3577">
      <w:r w:rsidRPr="00EE2F47">
        <w:t xml:space="preserve">Conforme a las bases del estudio, </w:t>
      </w:r>
      <w:r w:rsidR="00073508">
        <w:t xml:space="preserve">establecidas mediante Resolución Exenta N°272 del 26 de abril de 2019, de la Comisión Nacional de Energía, </w:t>
      </w:r>
      <w:r w:rsidRPr="00EE2F47">
        <w:t>en adelante, las Bases, el consultor que lo desarrolle debe emitir los siguientes cuatro informes</w:t>
      </w:r>
      <w:r w:rsidRPr="0035440A">
        <w:rPr>
          <w:rStyle w:val="Refdenotaalpie"/>
        </w:rPr>
        <w:footnoteReference w:id="5"/>
      </w:r>
      <w:r w:rsidRPr="00EE2F47">
        <w:t>:</w:t>
      </w:r>
    </w:p>
    <w:p w14:paraId="19AD2962" w14:textId="77777777" w:rsidR="00073508" w:rsidRPr="00EE2F47" w:rsidRDefault="00073508" w:rsidP="00FE3577"/>
    <w:tbl>
      <w:tblPr>
        <w:tblW w:w="0" w:type="auto"/>
        <w:tblInd w:w="468" w:type="dxa"/>
        <w:tblLook w:val="04A0" w:firstRow="1" w:lastRow="0" w:firstColumn="1" w:lastColumn="0" w:noHBand="0" w:noVBand="1"/>
      </w:tblPr>
      <w:tblGrid>
        <w:gridCol w:w="4401"/>
        <w:gridCol w:w="4821"/>
      </w:tblGrid>
      <w:tr w:rsidR="007052C0" w:rsidRPr="002C2818" w14:paraId="5AE0BC4E" w14:textId="77777777">
        <w:tc>
          <w:tcPr>
            <w:tcW w:w="4492" w:type="dxa"/>
            <w:shd w:val="clear" w:color="auto" w:fill="auto"/>
          </w:tcPr>
          <w:p w14:paraId="231958B7" w14:textId="77777777" w:rsidR="007052C0" w:rsidRPr="002C2818" w:rsidRDefault="007052C0" w:rsidP="002C2818">
            <w:pPr>
              <w:numPr>
                <w:ilvl w:val="0"/>
                <w:numId w:val="1"/>
              </w:numPr>
              <w:spacing w:after="120" w:line="240" w:lineRule="auto"/>
              <w:ind w:left="38" w:firstLine="0"/>
            </w:pPr>
            <w:r w:rsidRPr="002C2818">
              <w:t>Informe de Avance N° 1:</w:t>
            </w:r>
          </w:p>
        </w:tc>
        <w:tc>
          <w:tcPr>
            <w:tcW w:w="4946" w:type="dxa"/>
            <w:shd w:val="clear" w:color="auto" w:fill="auto"/>
          </w:tcPr>
          <w:p w14:paraId="1E6D1C3B" w14:textId="77777777" w:rsidR="007052C0" w:rsidRPr="002C2818" w:rsidRDefault="007052C0" w:rsidP="002C2818">
            <w:pPr>
              <w:spacing w:after="120" w:line="240" w:lineRule="auto"/>
            </w:pPr>
            <w:r w:rsidRPr="002C2818">
              <w:t>A más tardar a los 60 días corridos contados desde la fecha de inicio del estudio.</w:t>
            </w:r>
          </w:p>
        </w:tc>
      </w:tr>
      <w:tr w:rsidR="007052C0" w:rsidRPr="002C2818" w14:paraId="46F864D3" w14:textId="77777777">
        <w:tc>
          <w:tcPr>
            <w:tcW w:w="4492" w:type="dxa"/>
            <w:shd w:val="clear" w:color="auto" w:fill="auto"/>
          </w:tcPr>
          <w:p w14:paraId="7AA4D100" w14:textId="77777777" w:rsidR="007052C0" w:rsidRPr="002C2818" w:rsidRDefault="007052C0" w:rsidP="002C2818">
            <w:pPr>
              <w:numPr>
                <w:ilvl w:val="0"/>
                <w:numId w:val="1"/>
              </w:numPr>
              <w:spacing w:after="120" w:line="240" w:lineRule="auto"/>
              <w:ind w:left="38" w:firstLine="0"/>
            </w:pPr>
            <w:r w:rsidRPr="002C2818">
              <w:t>Informe de Avance N° 2:</w:t>
            </w:r>
          </w:p>
        </w:tc>
        <w:tc>
          <w:tcPr>
            <w:tcW w:w="4946" w:type="dxa"/>
            <w:shd w:val="clear" w:color="auto" w:fill="auto"/>
          </w:tcPr>
          <w:p w14:paraId="1FF2F6F2" w14:textId="77777777" w:rsidR="007052C0" w:rsidRPr="002C2818" w:rsidRDefault="007052C0" w:rsidP="002C2818">
            <w:pPr>
              <w:spacing w:after="120" w:line="240" w:lineRule="auto"/>
            </w:pPr>
            <w:r w:rsidRPr="002C2818">
              <w:t>A más tardar a los 150 días corridos contados desde la fecha de inicio del estudio.</w:t>
            </w:r>
          </w:p>
        </w:tc>
      </w:tr>
      <w:tr w:rsidR="007052C0" w:rsidRPr="002C2818" w14:paraId="74919052" w14:textId="77777777">
        <w:tc>
          <w:tcPr>
            <w:tcW w:w="4492" w:type="dxa"/>
            <w:shd w:val="clear" w:color="auto" w:fill="auto"/>
          </w:tcPr>
          <w:p w14:paraId="4240D45C" w14:textId="77777777" w:rsidR="007052C0" w:rsidRPr="002C2818" w:rsidRDefault="007052C0" w:rsidP="002C2818">
            <w:pPr>
              <w:numPr>
                <w:ilvl w:val="0"/>
                <w:numId w:val="1"/>
              </w:numPr>
              <w:spacing w:after="120" w:line="240" w:lineRule="auto"/>
              <w:ind w:left="38" w:firstLine="0"/>
            </w:pPr>
            <w:r w:rsidRPr="002C2818">
              <w:t>Informe Final Preliminar:</w:t>
            </w:r>
          </w:p>
        </w:tc>
        <w:tc>
          <w:tcPr>
            <w:tcW w:w="4946" w:type="dxa"/>
            <w:shd w:val="clear" w:color="auto" w:fill="auto"/>
          </w:tcPr>
          <w:p w14:paraId="4C1FA1DE" w14:textId="77777777" w:rsidR="007052C0" w:rsidRPr="002C2818" w:rsidRDefault="007052C0" w:rsidP="002C2818">
            <w:pPr>
              <w:spacing w:after="120" w:line="240" w:lineRule="auto"/>
            </w:pPr>
            <w:r w:rsidRPr="002C2818">
              <w:t>A más tardar a los 200 días corridos contados desde la fecha de inicio del estudio.</w:t>
            </w:r>
          </w:p>
        </w:tc>
      </w:tr>
      <w:tr w:rsidR="007052C0" w:rsidRPr="002C2818" w14:paraId="771E1EB2" w14:textId="77777777">
        <w:tc>
          <w:tcPr>
            <w:tcW w:w="4492" w:type="dxa"/>
            <w:shd w:val="clear" w:color="auto" w:fill="auto"/>
          </w:tcPr>
          <w:p w14:paraId="0F5A8F5B" w14:textId="77777777" w:rsidR="007052C0" w:rsidRPr="002C2818" w:rsidRDefault="007052C0" w:rsidP="002C2818">
            <w:pPr>
              <w:numPr>
                <w:ilvl w:val="0"/>
                <w:numId w:val="1"/>
              </w:numPr>
              <w:spacing w:after="120" w:line="240" w:lineRule="auto"/>
              <w:ind w:left="38" w:firstLine="0"/>
            </w:pPr>
            <w:r w:rsidRPr="002C2818">
              <w:t>Informe Final Definitivo:</w:t>
            </w:r>
          </w:p>
        </w:tc>
        <w:tc>
          <w:tcPr>
            <w:tcW w:w="4946" w:type="dxa"/>
            <w:shd w:val="clear" w:color="auto" w:fill="auto"/>
          </w:tcPr>
          <w:p w14:paraId="203A4963" w14:textId="77777777" w:rsidR="007052C0" w:rsidRPr="002C2818" w:rsidRDefault="007052C0" w:rsidP="002C2818">
            <w:pPr>
              <w:spacing w:after="120" w:line="240" w:lineRule="auto"/>
            </w:pPr>
            <w:r w:rsidRPr="002C2818">
              <w:t>A más tardar a los 220 días corridos contados desde la fecha de inicio del estudio.</w:t>
            </w:r>
          </w:p>
        </w:tc>
      </w:tr>
    </w:tbl>
    <w:p w14:paraId="598C9AA8" w14:textId="77777777" w:rsidR="00073508" w:rsidRDefault="00073508" w:rsidP="005F38A2"/>
    <w:p w14:paraId="021612F3" w14:textId="77777777" w:rsidR="005F38A2" w:rsidRDefault="007052C0" w:rsidP="005F38A2">
      <w:r w:rsidRPr="00EE2F47">
        <w:t>El presente documento corresponde al Informe de Avance N°</w:t>
      </w:r>
      <w:r w:rsidR="005F38A2">
        <w:t>2</w:t>
      </w:r>
      <w:r w:rsidRPr="00EE2F47">
        <w:t>, el que de acuerdo a lo</w:t>
      </w:r>
      <w:r w:rsidR="005F38A2">
        <w:t xml:space="preserve"> establecido en las Bases, debe contener</w:t>
      </w:r>
      <w:r w:rsidR="00073508">
        <w:t xml:space="preserve"> todos las materias desarrolladas para la determinación del Valor Anual de la Transmisión por Tramo (V.A.T.T.), sus resultados, y el estado de avance del trabajo del Consultor</w:t>
      </w:r>
      <w:r w:rsidR="007C4A83">
        <w:t xml:space="preserve"> a esta fecha</w:t>
      </w:r>
      <w:r w:rsidR="00887D2D">
        <w:rPr>
          <w:rStyle w:val="Refdenotaalpie"/>
        </w:rPr>
        <w:footnoteReference w:id="6"/>
      </w:r>
      <w:r w:rsidR="00073508">
        <w:t>.</w:t>
      </w:r>
    </w:p>
    <w:p w14:paraId="23E1A7AE" w14:textId="13104932" w:rsidR="007C4A83" w:rsidRDefault="00DF1877" w:rsidP="005F38A2">
      <w:r>
        <w:t xml:space="preserve">El presente informe se ha organizado conforme a la estructura presentada por el Consultor en la propuesta técnica con la cual el estudio </w:t>
      </w:r>
      <w:r w:rsidR="007C4A83">
        <w:t xml:space="preserve">fue adjudicado. Además, visto el gran volumen del </w:t>
      </w:r>
      <w:r>
        <w:t>material</w:t>
      </w:r>
      <w:r w:rsidR="007C4A83">
        <w:t xml:space="preserve"> que soporta los resultados del </w:t>
      </w:r>
      <w:r w:rsidR="00B34194">
        <w:t>estudio</w:t>
      </w:r>
      <w:r w:rsidR="007C4A83">
        <w:t>, y con objeto de facilitar su lectura y compresión, se ha optado por presentar el estudio en versión electrónica, estructurándolo en la forma de un documento principal</w:t>
      </w:r>
      <w:r w:rsidR="00B34194">
        <w:t xml:space="preserve"> y ejecutivo </w:t>
      </w:r>
      <w:r w:rsidR="00B30516">
        <w:t>-</w:t>
      </w:r>
      <w:r w:rsidR="00B34194">
        <w:t>correspondiente al presente documento</w:t>
      </w:r>
      <w:r w:rsidR="00B30516">
        <w:t>-</w:t>
      </w:r>
      <w:r w:rsidR="00B34194">
        <w:t xml:space="preserve"> y un cuerpo de anexos conformado</w:t>
      </w:r>
      <w:r w:rsidR="007C4A83">
        <w:t xml:space="preserve"> </w:t>
      </w:r>
      <w:r w:rsidR="00B34194">
        <w:t xml:space="preserve">por carpetas </w:t>
      </w:r>
      <w:r w:rsidR="00791F78">
        <w:t xml:space="preserve">identificadas por actividad y/o materia -VI, COMA, VATT, etc- </w:t>
      </w:r>
      <w:r w:rsidR="00B34194">
        <w:t xml:space="preserve">según </w:t>
      </w:r>
      <w:r w:rsidR="00791F78">
        <w:t>señala en el capítulo 15.</w:t>
      </w:r>
    </w:p>
    <w:p w14:paraId="22EA88EB" w14:textId="77777777" w:rsidR="007A7455" w:rsidRDefault="00B34194" w:rsidP="005F38A2">
      <w:r>
        <w:t>Si bien la presente entrega corresponde a un segundo informe de avance, la misma, según las Bases</w:t>
      </w:r>
      <w:r w:rsidR="00175E8F">
        <w:t>, ya debe dar</w:t>
      </w:r>
      <w:r>
        <w:t xml:space="preserve"> cuenta del panorama total del trabajo, incluidos sus resultados preliminares.</w:t>
      </w:r>
      <w:r w:rsidR="00175E8F">
        <w:t xml:space="preserve"> </w:t>
      </w:r>
    </w:p>
    <w:p w14:paraId="5E081EEA" w14:textId="77777777" w:rsidR="009D12B8" w:rsidRPr="00CF4498" w:rsidRDefault="00175E8F" w:rsidP="009D12B8">
      <w:pPr>
        <w:rPr>
          <w:highlight w:val="yellow"/>
        </w:rPr>
      </w:pPr>
      <w:r>
        <w:t xml:space="preserve">Respecto del estado de avance del trabajo, el mismo ha estado, y está todavía, fuertemente condicionado al trabajo sostenido de adecuación de la Base de Datos que sirve de inventario oficial de las instalaciones que deben ser valorizadas, instrumento que fue entregado al Consultor al inicio del estudio, y que ha debido ser </w:t>
      </w:r>
      <w:r w:rsidR="008551D4">
        <w:t xml:space="preserve">adaptada, corregida y/o complementada por éste en base a su propio conocimiento del sistema eléctrico nacional vistas las innumerables </w:t>
      </w:r>
      <w:r w:rsidR="0071621B">
        <w:t xml:space="preserve">y severas </w:t>
      </w:r>
      <w:r w:rsidR="008551D4">
        <w:t xml:space="preserve">deficiencias </w:t>
      </w:r>
      <w:r w:rsidR="007A7455">
        <w:t xml:space="preserve">tanto de </w:t>
      </w:r>
      <w:r w:rsidR="008551D4">
        <w:t xml:space="preserve">contenido </w:t>
      </w:r>
      <w:r w:rsidR="007A7455">
        <w:t>como</w:t>
      </w:r>
      <w:r w:rsidR="008551D4">
        <w:t xml:space="preserve"> relacionales que ésta present</w:t>
      </w:r>
      <w:r w:rsidR="008551D4" w:rsidRPr="00791F78">
        <w:t>a</w:t>
      </w:r>
      <w:r w:rsidR="009D12B8" w:rsidRPr="00791F78">
        <w:t xml:space="preserve">. </w:t>
      </w:r>
    </w:p>
    <w:p w14:paraId="60FC9B06" w14:textId="75A9B063" w:rsidR="00254DBB" w:rsidRDefault="00254DBB" w:rsidP="009D12B8">
      <w:r w:rsidRPr="00254DBB">
        <w:t>Debe tenerse presente que, de acuerdo con la LGSE (artículo vigesimoprimero transitorio), las empresas transmisoras debían presentar en un plazo determinado al CEN el inventario y características de sus instalaciones y este organismo incorporar esta información en un registro (base de datos) so pena de que las instalaciones no informadas no serán consideradas en el primer proceso de valorización. Lo anterior exige a los propietarios informar y al CEN la responsabilidad de tener un registro para acoger la información suministrada, así como verificar la completitud, calidad, exactitud y oportunidad de la información publicada en los respectivos sistemas de información (último inciso del artículo 72-8 de la LGSE). Sin embargo, en vista del diagnóstico presentado en este anexo, es evidente que lo dispuesto en la ley para la información de la base de datos no se ha cumplido en ninguno de los atributos exigidos. El detalle del análisis se presenta en el capítulo 6 y Anexo VI_1.</w:t>
      </w:r>
    </w:p>
    <w:p w14:paraId="345919F2" w14:textId="27CB340F" w:rsidR="005A1E5C" w:rsidRDefault="009D12B8" w:rsidP="009D12B8">
      <w:r w:rsidRPr="005A1E5C">
        <w:t>En línea con lo anterior, el enorme esfuerzo dedicado por el Consorcio a efectuar adecuaciones y reparaciones de la información de la Base de Datos, así como a identificar por fuera de ella componentes no incluidas, ha significado una reorientación importante de recursos originalmente presupuestados para el cumplimiento de los objetivos de fondo del estudio, cual es efectuar una correcta valorización de las instalaciones del STN. Consecuentemente, una porción no menor de las adecuaciones del inventario y de los parámetros de costo utilizados para determinar los valores presentados en este informe lo son en carácter preliminar y/o provisorios, esperando contar con parámetros definitivos en la siguiente entrega. Cabe señalar que la colaboración de las empresas transmisoras será importante, en cuanto a aportar la información necesaria sobre el inventario de instalaciones y sus componentes de manera que se pueda mejorar la completitud, exactitud y calidad de la información de la BD, en orden a llegar a un resultado que refleje lo más razonablemente posible la valorización de las instalciojnes del STN que estaban en servicio al 31 de Diciembre de 2017, horizonte de cierre del presente estudio.</w:t>
      </w:r>
    </w:p>
    <w:p w14:paraId="28519D31" w14:textId="5FF77BE6" w:rsidR="009D12B8" w:rsidRDefault="007A7455" w:rsidP="009D12B8">
      <w:r>
        <w:t xml:space="preserve"> </w:t>
      </w:r>
    </w:p>
    <w:p w14:paraId="5E7D0F54" w14:textId="77777777" w:rsidR="00680717" w:rsidRPr="00680717" w:rsidRDefault="00680717" w:rsidP="00680717">
      <w:pPr>
        <w:pStyle w:val="Ttulo1"/>
      </w:pPr>
      <w:bookmarkStart w:id="4" w:name="_Toc34687158"/>
      <w:r w:rsidRPr="00680717">
        <w:t>DEFINICIONES Y ABREVIATURAS</w:t>
      </w:r>
      <w:bookmarkEnd w:id="4"/>
    </w:p>
    <w:p w14:paraId="7EC1EA05" w14:textId="77777777" w:rsidR="00680717" w:rsidRPr="00680717" w:rsidRDefault="00680717" w:rsidP="00680717">
      <w:pPr>
        <w:pStyle w:val="Ttulo2"/>
        <w:rPr>
          <w:sz w:val="24"/>
          <w:szCs w:val="24"/>
        </w:rPr>
      </w:pPr>
      <w:bookmarkStart w:id="5" w:name="_Toc34687159"/>
      <w:r w:rsidRPr="00680717">
        <w:rPr>
          <w:sz w:val="24"/>
          <w:szCs w:val="24"/>
        </w:rPr>
        <w:t>Definiciones</w:t>
      </w:r>
      <w:bookmarkEnd w:id="5"/>
    </w:p>
    <w:p w14:paraId="703BC038" w14:textId="77777777" w:rsidR="00B2633F" w:rsidRPr="00D570CB" w:rsidRDefault="00B2633F" w:rsidP="00B2633F">
      <w:pPr>
        <w:rPr>
          <w:rFonts w:cs="Arial"/>
          <w:lang w:val="es-CL"/>
        </w:rPr>
      </w:pPr>
      <w:r w:rsidRPr="00D570CB">
        <w:rPr>
          <w:rFonts w:cs="Arial"/>
          <w:lang w:val="es-CL"/>
        </w:rPr>
        <w:t xml:space="preserve">De acuerdo a lo establecido en la normativa </w:t>
      </w:r>
      <w:r>
        <w:rPr>
          <w:rFonts w:cs="Arial"/>
          <w:lang w:val="es-CL"/>
        </w:rPr>
        <w:t>aplicable a las actividades del estudio</w:t>
      </w:r>
      <w:r w:rsidRPr="00D570CB">
        <w:rPr>
          <w:rFonts w:cs="Arial"/>
          <w:lang w:val="es-CL"/>
        </w:rPr>
        <w:t xml:space="preserve"> y, en particular, a lo indicado en las </w:t>
      </w:r>
      <w:r>
        <w:rPr>
          <w:rFonts w:cs="Arial"/>
          <w:lang w:val="es-CL"/>
        </w:rPr>
        <w:t>b</w:t>
      </w:r>
      <w:r w:rsidRPr="00D570CB">
        <w:rPr>
          <w:rFonts w:cs="Arial"/>
          <w:lang w:val="es-CL"/>
        </w:rPr>
        <w:t>ases</w:t>
      </w:r>
      <w:r>
        <w:rPr>
          <w:rFonts w:cs="Arial"/>
          <w:lang w:val="es-CL"/>
        </w:rPr>
        <w:t xml:space="preserve"> de los estudios</w:t>
      </w:r>
      <w:r w:rsidRPr="00D570CB">
        <w:rPr>
          <w:rFonts w:cs="Arial"/>
          <w:lang w:val="es-CL"/>
        </w:rPr>
        <w:t xml:space="preserve">, </w:t>
      </w:r>
      <w:r>
        <w:rPr>
          <w:rFonts w:cs="Arial"/>
          <w:lang w:val="es-CL"/>
        </w:rPr>
        <w:t>se</w:t>
      </w:r>
      <w:r w:rsidRPr="00D570CB">
        <w:rPr>
          <w:rFonts w:cs="Arial"/>
          <w:lang w:val="es-CL"/>
        </w:rPr>
        <w:t xml:space="preserve"> considerará las siguientes definiciones generales:</w:t>
      </w:r>
    </w:p>
    <w:p w14:paraId="3F4A0EAB" w14:textId="77777777" w:rsidR="00B2633F" w:rsidRPr="00D570CB" w:rsidRDefault="00B2633F" w:rsidP="002E20CA">
      <w:pPr>
        <w:numPr>
          <w:ilvl w:val="0"/>
          <w:numId w:val="9"/>
        </w:numPr>
        <w:rPr>
          <w:rFonts w:cs="Arial"/>
          <w:lang w:val="es-CL"/>
        </w:rPr>
      </w:pPr>
      <w:r w:rsidRPr="00D570CB">
        <w:rPr>
          <w:rFonts w:cs="Arial"/>
          <w:b/>
          <w:lang w:val="es-CL"/>
        </w:rPr>
        <w:t>Valor Anual de la Transmisión por Tramo, o V.A.T.T</w:t>
      </w:r>
      <w:r w:rsidRPr="00D570CB">
        <w:rPr>
          <w:rFonts w:cs="Arial"/>
          <w:lang w:val="es-CL"/>
        </w:rPr>
        <w:t>.: Se entenderá la suma de la Anualidad del Valor de Inversión del tramo en estudio (A.V.I.), más los costos anuales de operación, mantenimiento y administración del tramo respectivo (C.O.M.A.), ajustados por los efectos de impuestos a la renta.</w:t>
      </w:r>
    </w:p>
    <w:p w14:paraId="1721865F" w14:textId="77777777" w:rsidR="00B2633F" w:rsidRPr="00D570CB" w:rsidRDefault="00B2633F" w:rsidP="002E20CA">
      <w:pPr>
        <w:numPr>
          <w:ilvl w:val="0"/>
          <w:numId w:val="9"/>
        </w:numPr>
        <w:rPr>
          <w:rFonts w:cs="Arial"/>
          <w:lang w:val="es-CL"/>
        </w:rPr>
      </w:pPr>
      <w:r w:rsidRPr="00D570CB">
        <w:rPr>
          <w:rFonts w:cs="Arial"/>
          <w:b/>
          <w:lang w:val="es-CL"/>
        </w:rPr>
        <w:t>Valor de Inversión, o V.I.</w:t>
      </w:r>
      <w:r w:rsidRPr="00D570CB">
        <w:rPr>
          <w:rFonts w:cs="Arial"/>
          <w:lang w:val="es-CL"/>
        </w:rPr>
        <w:t>: Se define el V.I. como la suma de los costos de adquisición e instalación eficientes de sus componentes y equipos, de acuerdo con valores de mercado, incluyendo fletes, bodegaje, montaje, ingeniería, gastos generales, intereses intercalarios, los derechos relacionados con el uso del suelo y medio ambiente, los bienes intangibles y el capital de explotación.</w:t>
      </w:r>
    </w:p>
    <w:p w14:paraId="7C2CB297" w14:textId="77777777" w:rsidR="00B2633F" w:rsidRPr="00D570CB" w:rsidRDefault="00B2633F" w:rsidP="002E20CA">
      <w:pPr>
        <w:numPr>
          <w:ilvl w:val="0"/>
          <w:numId w:val="9"/>
        </w:numPr>
        <w:rPr>
          <w:rFonts w:cs="Arial"/>
          <w:lang w:val="es-CL"/>
        </w:rPr>
      </w:pPr>
      <w:r w:rsidRPr="00D570CB">
        <w:rPr>
          <w:rFonts w:cs="Arial"/>
          <w:b/>
          <w:lang w:val="es-CL"/>
        </w:rPr>
        <w:t>Anualidad del Valor de Inversión por Tramo, o A.V.I.</w:t>
      </w:r>
      <w:r w:rsidRPr="00D570CB">
        <w:rPr>
          <w:rFonts w:cs="Arial"/>
          <w:lang w:val="es-CL"/>
        </w:rPr>
        <w:t>: Se define la anualidad del valor de inversión de un tramo de transporte o de subestación, o anualidad del V.I. del tramo de transporte o de subestación, como la suma de las anualidades del valor de inversión de cada tipo de instalación que componen el tramo de transporte o de subestación, incluida la anualidad de los derechos relacionados con el uso de suelo y medio ambiente, según se define su cálculo en el punto 3.4 de las Bases.</w:t>
      </w:r>
      <w:r w:rsidR="00694C46">
        <w:rPr>
          <w:rFonts w:cs="Arial"/>
          <w:lang w:val="es-CL"/>
        </w:rPr>
        <w:t xml:space="preserve"> </w:t>
      </w:r>
      <w:r w:rsidR="00694C46" w:rsidRPr="00D570CB">
        <w:rPr>
          <w:rFonts w:cs="Arial"/>
          <w:lang w:val="es-CL"/>
        </w:rPr>
        <w:t xml:space="preserve">El A.V.I. de las instalaciones existentes se calculará considerando la vida útil de cada tipo de </w:t>
      </w:r>
      <w:r w:rsidR="00694C46">
        <w:rPr>
          <w:rFonts w:cs="Arial"/>
          <w:lang w:val="es-CL"/>
        </w:rPr>
        <w:t xml:space="preserve">componente o </w:t>
      </w:r>
      <w:r w:rsidR="00694C46" w:rsidRPr="00D570CB">
        <w:rPr>
          <w:rFonts w:cs="Arial"/>
          <w:lang w:val="es-CL"/>
        </w:rPr>
        <w:t xml:space="preserve">instalación, teniendo en cuenta la tasa de descuento señalada en el </w:t>
      </w:r>
      <w:r w:rsidR="00694C46">
        <w:rPr>
          <w:rFonts w:cs="Arial"/>
          <w:lang w:val="es-CL"/>
        </w:rPr>
        <w:t xml:space="preserve">Artículo </w:t>
      </w:r>
      <w:r w:rsidR="00694C46" w:rsidRPr="000D2099">
        <w:rPr>
          <w:rFonts w:cs="Arial"/>
          <w:lang w:val="es-CL"/>
        </w:rPr>
        <w:t xml:space="preserve">119° de la </w:t>
      </w:r>
      <w:r w:rsidR="00694C46">
        <w:rPr>
          <w:rFonts w:cs="Arial"/>
          <w:lang w:val="es-CL"/>
        </w:rPr>
        <w:t>ley.</w:t>
      </w:r>
    </w:p>
    <w:p w14:paraId="59CC4104" w14:textId="77777777" w:rsidR="00B2633F" w:rsidRPr="00D570CB" w:rsidRDefault="00B2633F" w:rsidP="002E20CA">
      <w:pPr>
        <w:numPr>
          <w:ilvl w:val="0"/>
          <w:numId w:val="9"/>
        </w:numPr>
        <w:rPr>
          <w:rFonts w:cs="Arial"/>
          <w:lang w:val="es-CL"/>
        </w:rPr>
      </w:pPr>
      <w:r w:rsidRPr="00D570CB">
        <w:rPr>
          <w:rFonts w:cs="Arial"/>
          <w:b/>
          <w:lang w:val="es-CL"/>
        </w:rPr>
        <w:t>Costo Anual de Operación, Mantenimiento y Administración, C.O.M.A</w:t>
      </w:r>
      <w:r w:rsidRPr="00D570CB">
        <w:rPr>
          <w:rFonts w:cs="Arial"/>
          <w:lang w:val="es-CL"/>
        </w:rPr>
        <w:t xml:space="preserve">: </w:t>
      </w:r>
      <w:r w:rsidR="00AA5242">
        <w:rPr>
          <w:rFonts w:cs="Arial"/>
          <w:lang w:val="es-CL"/>
        </w:rPr>
        <w:t>Corresponde a los costos anuales de operación, mantenimiento y administación</w:t>
      </w:r>
      <w:r w:rsidRPr="00D570CB">
        <w:rPr>
          <w:rFonts w:cs="Arial"/>
          <w:lang w:val="es-CL"/>
        </w:rPr>
        <w:t xml:space="preserve"> para cada segmento de transmisión señalado en el artículo 100° de la Ley General de Servicios Eléctricos</w:t>
      </w:r>
      <w:r w:rsidR="00AA5242">
        <w:rPr>
          <w:rFonts w:cs="Arial"/>
          <w:lang w:val="es-CL"/>
        </w:rPr>
        <w:t>.</w:t>
      </w:r>
      <w:r w:rsidRPr="00D570CB">
        <w:rPr>
          <w:rFonts w:cs="Arial"/>
          <w:lang w:val="es-CL"/>
        </w:rPr>
        <w:t xml:space="preserve"> </w:t>
      </w:r>
      <w:r w:rsidR="00AA5242">
        <w:rPr>
          <w:rFonts w:cs="Arial"/>
          <w:lang w:val="es-CL"/>
        </w:rPr>
        <w:t>S</w:t>
      </w:r>
      <w:r w:rsidRPr="00D570CB">
        <w:rPr>
          <w:rFonts w:cs="Arial"/>
          <w:lang w:val="es-CL"/>
        </w:rPr>
        <w:t>e determina como los costos anuales de operación, mantenimiento y administración de una única empresa eficiente y que opera las instalaciones bajo los estándares de seguridad y calidad de servicio establecidas en la normativa vigente.</w:t>
      </w:r>
    </w:p>
    <w:p w14:paraId="0BE72187" w14:textId="77777777" w:rsidR="00B2633F" w:rsidRPr="00D570CB" w:rsidRDefault="00B2633F" w:rsidP="002E20CA">
      <w:pPr>
        <w:numPr>
          <w:ilvl w:val="0"/>
          <w:numId w:val="9"/>
        </w:numPr>
        <w:rPr>
          <w:rFonts w:cs="Arial"/>
          <w:lang w:val="es-CL"/>
        </w:rPr>
      </w:pPr>
      <w:r w:rsidRPr="00D570CB">
        <w:rPr>
          <w:rFonts w:cs="Arial"/>
          <w:b/>
          <w:lang w:val="es-CL"/>
        </w:rPr>
        <w:t>Tramo del Sistema de Transmisión</w:t>
      </w:r>
      <w:r w:rsidRPr="00D570CB">
        <w:rPr>
          <w:rFonts w:cs="Arial"/>
          <w:lang w:val="es-CL"/>
        </w:rPr>
        <w:t>: Se ent</w:t>
      </w:r>
      <w:r w:rsidR="00AA5242">
        <w:rPr>
          <w:rFonts w:cs="Arial"/>
          <w:lang w:val="es-CL"/>
        </w:rPr>
        <w:t>ie</w:t>
      </w:r>
      <w:r w:rsidRPr="00D570CB">
        <w:rPr>
          <w:rFonts w:cs="Arial"/>
          <w:lang w:val="es-CL"/>
        </w:rPr>
        <w:t>nd</w:t>
      </w:r>
      <w:r w:rsidR="00AA5242">
        <w:rPr>
          <w:rFonts w:cs="Arial"/>
          <w:lang w:val="es-CL"/>
        </w:rPr>
        <w:t>e</w:t>
      </w:r>
      <w:r w:rsidRPr="00D570CB">
        <w:rPr>
          <w:rFonts w:cs="Arial"/>
          <w:lang w:val="es-CL"/>
        </w:rPr>
        <w:t xml:space="preserve"> por tramo del sistema de transmisión aquel que está compuesto por un conjunto mínimo de instalaciones económicamente identificables. Los tramos del sistema de transmisión se clasifican en tramos de subestación y tramos de transporte.</w:t>
      </w:r>
    </w:p>
    <w:p w14:paraId="3CFE012C" w14:textId="77777777" w:rsidR="00B2633F" w:rsidRPr="00D570CB" w:rsidRDefault="00B2633F" w:rsidP="002E20CA">
      <w:pPr>
        <w:numPr>
          <w:ilvl w:val="0"/>
          <w:numId w:val="9"/>
        </w:numPr>
        <w:rPr>
          <w:rFonts w:cs="Arial"/>
          <w:lang w:val="es-CL"/>
        </w:rPr>
      </w:pPr>
      <w:r w:rsidRPr="00D570CB">
        <w:rPr>
          <w:rFonts w:cs="Arial"/>
          <w:b/>
          <w:lang w:val="es-CL"/>
        </w:rPr>
        <w:t>Tramo de Subestación</w:t>
      </w:r>
      <w:r w:rsidRPr="00D570CB">
        <w:rPr>
          <w:rFonts w:cs="Arial"/>
          <w:lang w:val="es-CL"/>
        </w:rPr>
        <w:t xml:space="preserve">: Se </w:t>
      </w:r>
      <w:r w:rsidR="00AA5242" w:rsidRPr="00D570CB">
        <w:rPr>
          <w:rFonts w:cs="Arial"/>
          <w:lang w:val="es-CL"/>
        </w:rPr>
        <w:t>ent</w:t>
      </w:r>
      <w:r w:rsidR="00AA5242">
        <w:rPr>
          <w:rFonts w:cs="Arial"/>
          <w:lang w:val="es-CL"/>
        </w:rPr>
        <w:t>ie</w:t>
      </w:r>
      <w:r w:rsidR="00AA5242" w:rsidRPr="00D570CB">
        <w:rPr>
          <w:rFonts w:cs="Arial"/>
          <w:lang w:val="es-CL"/>
        </w:rPr>
        <w:t>nd</w:t>
      </w:r>
      <w:r w:rsidR="00AA5242">
        <w:rPr>
          <w:rFonts w:cs="Arial"/>
          <w:lang w:val="es-CL"/>
        </w:rPr>
        <w:t>e</w:t>
      </w:r>
      <w:r w:rsidRPr="00D570CB">
        <w:rPr>
          <w:rFonts w:cs="Arial"/>
          <w:lang w:val="es-CL"/>
        </w:rPr>
        <w:t xml:space="preserve"> por tramo de subestación aquel que está constituido por un conjunto de instalaciones comunes, económicamente identificables, ubicadas al interior de una subestación, cuyo uso no es atribuible a un tramo de transporte en particular, y que presta servicio a todos los tramos de transporte que se conecten a la misma, independiente de la calificación de estos.</w:t>
      </w:r>
    </w:p>
    <w:p w14:paraId="777FD99C" w14:textId="77777777" w:rsidR="00B2633F" w:rsidRDefault="00B2633F" w:rsidP="002E20CA">
      <w:pPr>
        <w:numPr>
          <w:ilvl w:val="0"/>
          <w:numId w:val="9"/>
        </w:numPr>
        <w:rPr>
          <w:rFonts w:cs="Arial"/>
          <w:lang w:val="es-CL"/>
        </w:rPr>
      </w:pPr>
      <w:r w:rsidRPr="00D570CB">
        <w:rPr>
          <w:rFonts w:cs="Arial"/>
          <w:b/>
          <w:lang w:val="es-CL"/>
        </w:rPr>
        <w:t>Tramo de Transporte</w:t>
      </w:r>
      <w:r w:rsidRPr="00D570CB">
        <w:rPr>
          <w:rFonts w:cs="Arial"/>
          <w:lang w:val="es-CL"/>
        </w:rPr>
        <w:t xml:space="preserve">: Se </w:t>
      </w:r>
      <w:r w:rsidR="00AA5242" w:rsidRPr="00D570CB">
        <w:rPr>
          <w:rFonts w:cs="Arial"/>
          <w:lang w:val="es-CL"/>
        </w:rPr>
        <w:t>ent</w:t>
      </w:r>
      <w:r w:rsidR="00AA5242">
        <w:rPr>
          <w:rFonts w:cs="Arial"/>
          <w:lang w:val="es-CL"/>
        </w:rPr>
        <w:t>ie</w:t>
      </w:r>
      <w:r w:rsidR="00AA5242" w:rsidRPr="00D570CB">
        <w:rPr>
          <w:rFonts w:cs="Arial"/>
          <w:lang w:val="es-CL"/>
        </w:rPr>
        <w:t>nd</w:t>
      </w:r>
      <w:r w:rsidR="00AA5242">
        <w:rPr>
          <w:rFonts w:cs="Arial"/>
          <w:lang w:val="es-CL"/>
        </w:rPr>
        <w:t>e</w:t>
      </w:r>
      <w:r w:rsidRPr="00D570CB">
        <w:rPr>
          <w:rFonts w:cs="Arial"/>
          <w:lang w:val="es-CL"/>
        </w:rPr>
        <w:t xml:space="preserve"> por tramo de transporte como aquel compuesto por el conjunto mínimo de instalaciones económicamente identificables para conformar una línea de transmisión, y que puede incluir todas aquellas instalaciones que no se encuentran contenidas en la definición de tramo de subestación.</w:t>
      </w:r>
    </w:p>
    <w:p w14:paraId="7ECC33B3" w14:textId="77777777" w:rsidR="00783A29" w:rsidRPr="00D570CB" w:rsidRDefault="00783A29" w:rsidP="002E20CA">
      <w:pPr>
        <w:numPr>
          <w:ilvl w:val="0"/>
          <w:numId w:val="9"/>
        </w:numPr>
        <w:rPr>
          <w:rFonts w:cs="Arial"/>
          <w:lang w:val="es-CL"/>
        </w:rPr>
      </w:pPr>
      <w:r w:rsidRPr="00783A29">
        <w:rPr>
          <w:rFonts w:cs="Arial"/>
          <w:b/>
          <w:bCs/>
          <w:lang w:val="es-CL"/>
        </w:rPr>
        <w:t xml:space="preserve">Instalaciones </w:t>
      </w:r>
      <w:r>
        <w:rPr>
          <w:rFonts w:cs="Arial"/>
          <w:b/>
          <w:bCs/>
          <w:lang w:val="es-CL"/>
        </w:rPr>
        <w:t>E</w:t>
      </w:r>
      <w:r w:rsidRPr="00783A29">
        <w:rPr>
          <w:rFonts w:cs="Arial"/>
          <w:b/>
          <w:bCs/>
          <w:lang w:val="es-CL"/>
        </w:rPr>
        <w:t xml:space="preserve">conómicamente </w:t>
      </w:r>
      <w:r>
        <w:rPr>
          <w:rFonts w:cs="Arial"/>
          <w:b/>
          <w:bCs/>
          <w:lang w:val="es-CL"/>
        </w:rPr>
        <w:t>I</w:t>
      </w:r>
      <w:r w:rsidRPr="00783A29">
        <w:rPr>
          <w:rFonts w:cs="Arial"/>
          <w:b/>
          <w:bCs/>
          <w:lang w:val="es-CL"/>
        </w:rPr>
        <w:t>dentificables</w:t>
      </w:r>
      <w:r>
        <w:rPr>
          <w:rFonts w:cs="Arial"/>
          <w:lang w:val="es-CL"/>
        </w:rPr>
        <w:t>: Se refiere al conjunto de categorías de instalaciones establecidas en el Artículo 5° de la Resolución N°380, y que se identifcan como componentes de un tramo de transmisión.</w:t>
      </w:r>
    </w:p>
    <w:p w14:paraId="3C1CFABD" w14:textId="77777777" w:rsidR="00B2633F" w:rsidRDefault="00B2633F" w:rsidP="00680717">
      <w:pPr>
        <w:rPr>
          <w:lang w:val="es-CL"/>
        </w:rPr>
      </w:pPr>
    </w:p>
    <w:p w14:paraId="3ECBE6D2" w14:textId="77777777" w:rsidR="00680717" w:rsidRPr="00680717" w:rsidRDefault="00680717" w:rsidP="00680717">
      <w:pPr>
        <w:pStyle w:val="Ttulo2"/>
        <w:rPr>
          <w:sz w:val="24"/>
          <w:szCs w:val="24"/>
        </w:rPr>
      </w:pPr>
      <w:bookmarkStart w:id="6" w:name="_Toc34687160"/>
      <w:r w:rsidRPr="00680717">
        <w:rPr>
          <w:sz w:val="24"/>
          <w:szCs w:val="24"/>
        </w:rPr>
        <w:t>Abreviaturas</w:t>
      </w:r>
      <w:bookmarkEnd w:id="6"/>
    </w:p>
    <w:p w14:paraId="2F62EF0A" w14:textId="77777777" w:rsidR="00783A29" w:rsidRDefault="00783A29" w:rsidP="00783A29">
      <w:pPr>
        <w:rPr>
          <w:rFonts w:cs="Arial"/>
          <w:lang w:val="es-CL"/>
        </w:rPr>
      </w:pPr>
      <w:r>
        <w:rPr>
          <w:rFonts w:cs="Arial"/>
          <w:lang w:val="es-CL"/>
        </w:rPr>
        <w:t xml:space="preserve">En el presente informe se </w:t>
      </w:r>
      <w:r w:rsidR="001E13FF">
        <w:rPr>
          <w:rFonts w:cs="Arial"/>
          <w:lang w:val="es-CL"/>
        </w:rPr>
        <w:t>utilizan</w:t>
      </w:r>
      <w:r>
        <w:rPr>
          <w:rFonts w:cs="Arial"/>
          <w:lang w:val="es-CL"/>
        </w:rPr>
        <w:t xml:space="preserve"> las siguientes abreviaturas:</w:t>
      </w:r>
    </w:p>
    <w:tbl>
      <w:tblPr>
        <w:tblW w:w="0" w:type="auto"/>
        <w:tblInd w:w="108" w:type="dxa"/>
        <w:tblLook w:val="04A0" w:firstRow="1" w:lastRow="0" w:firstColumn="1" w:lastColumn="0" w:noHBand="0" w:noVBand="1"/>
      </w:tblPr>
      <w:tblGrid>
        <w:gridCol w:w="2315"/>
        <w:gridCol w:w="7267"/>
      </w:tblGrid>
      <w:tr w:rsidR="009D12B8" w:rsidRPr="00A62C15" w14:paraId="3FA34932" w14:textId="77777777" w:rsidTr="009D12B8">
        <w:tc>
          <w:tcPr>
            <w:tcW w:w="2340" w:type="dxa"/>
            <w:shd w:val="clear" w:color="auto" w:fill="auto"/>
          </w:tcPr>
          <w:p w14:paraId="176CDAB3" w14:textId="77777777" w:rsidR="009D12B8" w:rsidRPr="006B5F45" w:rsidRDefault="009D12B8" w:rsidP="009D12B8">
            <w:pPr>
              <w:jc w:val="left"/>
              <w:rPr>
                <w:rFonts w:cs="Arial"/>
                <w:lang w:val="es-CL"/>
              </w:rPr>
            </w:pPr>
            <w:r w:rsidRPr="006B5F45">
              <w:rPr>
                <w:rFonts w:cs="Arial"/>
                <w:b/>
                <w:bCs/>
                <w:lang w:val="es-CL"/>
              </w:rPr>
              <w:t>CNE</w:t>
            </w:r>
            <w:r w:rsidRPr="006B5F45">
              <w:rPr>
                <w:rFonts w:cs="Arial"/>
                <w:lang w:val="es-CL"/>
              </w:rPr>
              <w:t xml:space="preserve">             :</w:t>
            </w:r>
          </w:p>
        </w:tc>
        <w:tc>
          <w:tcPr>
            <w:tcW w:w="7382" w:type="dxa"/>
            <w:shd w:val="clear" w:color="auto" w:fill="auto"/>
          </w:tcPr>
          <w:p w14:paraId="460EC4DE" w14:textId="77777777" w:rsidR="009D12B8" w:rsidRPr="00A62C15" w:rsidRDefault="009D12B8" w:rsidP="009D12B8">
            <w:pPr>
              <w:rPr>
                <w:rFonts w:cs="Arial"/>
                <w:lang w:val="es-CL"/>
              </w:rPr>
            </w:pPr>
            <w:r w:rsidRPr="006B5F45">
              <w:rPr>
                <w:rFonts w:cs="Arial"/>
                <w:lang w:val="es-CL"/>
              </w:rPr>
              <w:t>Comisión Nacional de Energía.</w:t>
            </w:r>
          </w:p>
        </w:tc>
      </w:tr>
      <w:tr w:rsidR="009D12B8" w:rsidRPr="005A1E5C" w14:paraId="6CDFA6F9" w14:textId="77777777" w:rsidTr="009D12B8">
        <w:tc>
          <w:tcPr>
            <w:tcW w:w="2340" w:type="dxa"/>
            <w:shd w:val="clear" w:color="auto" w:fill="auto"/>
          </w:tcPr>
          <w:p w14:paraId="763BE71E" w14:textId="77777777" w:rsidR="009D12B8" w:rsidRPr="005A1E5C" w:rsidRDefault="009D12B8" w:rsidP="009D12B8">
            <w:pPr>
              <w:jc w:val="left"/>
              <w:rPr>
                <w:rFonts w:cs="Arial"/>
                <w:b/>
                <w:bCs/>
                <w:lang w:val="es-CL"/>
              </w:rPr>
            </w:pPr>
            <w:r w:rsidRPr="005A1E5C">
              <w:rPr>
                <w:rFonts w:cs="Arial"/>
                <w:b/>
                <w:bCs/>
                <w:lang w:val="es-CL"/>
              </w:rPr>
              <w:t>CEN</w:t>
            </w:r>
            <w:r w:rsidRPr="005A1E5C">
              <w:rPr>
                <w:rFonts w:cs="Arial"/>
                <w:lang w:val="es-CL"/>
              </w:rPr>
              <w:t xml:space="preserve">             :</w:t>
            </w:r>
          </w:p>
        </w:tc>
        <w:tc>
          <w:tcPr>
            <w:tcW w:w="7382" w:type="dxa"/>
            <w:shd w:val="clear" w:color="auto" w:fill="auto"/>
          </w:tcPr>
          <w:p w14:paraId="731E4F93" w14:textId="26ADDC1C" w:rsidR="009D12B8" w:rsidRPr="005A1E5C" w:rsidRDefault="009D12B8" w:rsidP="009D12B8">
            <w:pPr>
              <w:rPr>
                <w:rFonts w:cs="Arial"/>
                <w:lang w:val="es-CL"/>
              </w:rPr>
            </w:pPr>
            <w:r w:rsidRPr="005A1E5C">
              <w:rPr>
                <w:rFonts w:cs="Arial"/>
                <w:lang w:val="es-CL"/>
              </w:rPr>
              <w:t>Coordinador Eléctrico Nadional.</w:t>
            </w:r>
          </w:p>
        </w:tc>
      </w:tr>
      <w:tr w:rsidR="009D12B8" w:rsidRPr="005A1E5C" w14:paraId="60452D43" w14:textId="77777777" w:rsidTr="009D12B8">
        <w:tc>
          <w:tcPr>
            <w:tcW w:w="2340" w:type="dxa"/>
            <w:shd w:val="clear" w:color="auto" w:fill="auto"/>
          </w:tcPr>
          <w:p w14:paraId="5B157FF0" w14:textId="77777777" w:rsidR="009D12B8" w:rsidRPr="005A1E5C" w:rsidRDefault="009D12B8" w:rsidP="009D12B8">
            <w:pPr>
              <w:jc w:val="left"/>
              <w:rPr>
                <w:rFonts w:cs="Arial"/>
                <w:lang w:val="es-CL"/>
              </w:rPr>
            </w:pPr>
            <w:r w:rsidRPr="005A1E5C">
              <w:rPr>
                <w:rFonts w:cs="Arial"/>
                <w:b/>
                <w:bCs/>
                <w:lang w:val="es-CL"/>
              </w:rPr>
              <w:t>INE</w:t>
            </w:r>
            <w:r w:rsidRPr="005A1E5C">
              <w:rPr>
                <w:rFonts w:cs="Arial"/>
                <w:lang w:val="es-CL"/>
              </w:rPr>
              <w:t xml:space="preserve">              :</w:t>
            </w:r>
          </w:p>
        </w:tc>
        <w:tc>
          <w:tcPr>
            <w:tcW w:w="7382" w:type="dxa"/>
            <w:shd w:val="clear" w:color="auto" w:fill="auto"/>
          </w:tcPr>
          <w:p w14:paraId="62DA002A" w14:textId="77777777" w:rsidR="009D12B8" w:rsidRPr="005A1E5C" w:rsidRDefault="009D12B8" w:rsidP="009D12B8">
            <w:pPr>
              <w:rPr>
                <w:rFonts w:cs="Arial"/>
                <w:lang w:val="es-CL"/>
              </w:rPr>
            </w:pPr>
            <w:r w:rsidRPr="005A1E5C">
              <w:rPr>
                <w:rFonts w:cs="Arial"/>
                <w:lang w:val="es-CL"/>
              </w:rPr>
              <w:t>Instituto Nacional de Estadísticas</w:t>
            </w:r>
          </w:p>
        </w:tc>
      </w:tr>
      <w:tr w:rsidR="009D12B8" w:rsidRPr="005A1E5C" w14:paraId="639BA330" w14:textId="77777777" w:rsidTr="009D12B8">
        <w:tc>
          <w:tcPr>
            <w:tcW w:w="2340" w:type="dxa"/>
            <w:shd w:val="clear" w:color="auto" w:fill="auto"/>
          </w:tcPr>
          <w:p w14:paraId="58E653A8" w14:textId="77777777" w:rsidR="009D12B8" w:rsidRPr="005A1E5C" w:rsidRDefault="009D12B8" w:rsidP="009D12B8">
            <w:pPr>
              <w:jc w:val="left"/>
              <w:rPr>
                <w:rFonts w:cs="Arial"/>
                <w:lang w:val="es-CL"/>
              </w:rPr>
            </w:pPr>
            <w:r w:rsidRPr="005A1E5C">
              <w:rPr>
                <w:rFonts w:cs="Arial"/>
                <w:b/>
                <w:bCs/>
                <w:lang w:val="es-CL"/>
              </w:rPr>
              <w:t>SII</w:t>
            </w:r>
            <w:r w:rsidRPr="005A1E5C">
              <w:rPr>
                <w:rFonts w:cs="Arial"/>
                <w:lang w:val="es-CL"/>
              </w:rPr>
              <w:t xml:space="preserve">                :</w:t>
            </w:r>
          </w:p>
        </w:tc>
        <w:tc>
          <w:tcPr>
            <w:tcW w:w="7382" w:type="dxa"/>
            <w:shd w:val="clear" w:color="auto" w:fill="auto"/>
          </w:tcPr>
          <w:p w14:paraId="17243896" w14:textId="77777777" w:rsidR="009D12B8" w:rsidRPr="005A1E5C" w:rsidRDefault="009D12B8" w:rsidP="009D12B8">
            <w:pPr>
              <w:rPr>
                <w:rFonts w:cs="Arial"/>
                <w:lang w:val="es-CL"/>
              </w:rPr>
            </w:pPr>
            <w:r w:rsidRPr="005A1E5C">
              <w:rPr>
                <w:rFonts w:cs="Arial"/>
                <w:lang w:val="es-CL"/>
              </w:rPr>
              <w:t>Servicio de Impuestos Internos</w:t>
            </w:r>
          </w:p>
        </w:tc>
      </w:tr>
      <w:tr w:rsidR="009D12B8" w:rsidRPr="005A1E5C" w14:paraId="5A8AC886" w14:textId="77777777" w:rsidTr="009D12B8">
        <w:tc>
          <w:tcPr>
            <w:tcW w:w="2340" w:type="dxa"/>
            <w:shd w:val="clear" w:color="auto" w:fill="auto"/>
          </w:tcPr>
          <w:p w14:paraId="64D05A54" w14:textId="77777777" w:rsidR="009D12B8" w:rsidRPr="005A1E5C" w:rsidRDefault="009D12B8" w:rsidP="009D12B8">
            <w:pPr>
              <w:jc w:val="left"/>
              <w:rPr>
                <w:rFonts w:cs="Arial"/>
                <w:b/>
                <w:bCs/>
                <w:lang w:val="es-CL"/>
              </w:rPr>
            </w:pPr>
            <w:r w:rsidRPr="005A1E5C">
              <w:rPr>
                <w:rFonts w:cs="Arial"/>
                <w:b/>
                <w:bCs/>
                <w:lang w:val="es-CL"/>
              </w:rPr>
              <w:t>STN</w:t>
            </w:r>
            <w:r w:rsidRPr="005A1E5C">
              <w:rPr>
                <w:rFonts w:cs="Arial"/>
                <w:lang w:val="es-CL"/>
              </w:rPr>
              <w:t xml:space="preserve">                :</w:t>
            </w:r>
          </w:p>
        </w:tc>
        <w:tc>
          <w:tcPr>
            <w:tcW w:w="7382" w:type="dxa"/>
            <w:shd w:val="clear" w:color="auto" w:fill="auto"/>
          </w:tcPr>
          <w:p w14:paraId="282625F4" w14:textId="52B5A223" w:rsidR="009D12B8" w:rsidRPr="005A1E5C" w:rsidRDefault="009D12B8" w:rsidP="009D12B8">
            <w:pPr>
              <w:rPr>
                <w:rFonts w:cs="Arial"/>
                <w:lang w:val="es-CL"/>
              </w:rPr>
            </w:pPr>
            <w:r w:rsidRPr="005A1E5C">
              <w:rPr>
                <w:rFonts w:cs="Arial"/>
                <w:lang w:val="es-CL"/>
              </w:rPr>
              <w:t>Sistema de Transmisión Nacional</w:t>
            </w:r>
          </w:p>
        </w:tc>
      </w:tr>
      <w:tr w:rsidR="009D12B8" w:rsidRPr="006B5F45" w14:paraId="7E5159B3" w14:textId="77777777" w:rsidTr="009D12B8">
        <w:tc>
          <w:tcPr>
            <w:tcW w:w="2340" w:type="dxa"/>
            <w:shd w:val="clear" w:color="auto" w:fill="auto"/>
          </w:tcPr>
          <w:p w14:paraId="193B9014" w14:textId="77777777" w:rsidR="009D12B8" w:rsidRPr="006B5F45" w:rsidRDefault="009D12B8" w:rsidP="009D12B8">
            <w:pPr>
              <w:jc w:val="left"/>
              <w:rPr>
                <w:rFonts w:cs="Arial"/>
                <w:lang w:val="es-CL"/>
              </w:rPr>
            </w:pPr>
            <w:r w:rsidRPr="006B5F45">
              <w:rPr>
                <w:rFonts w:cs="Arial"/>
                <w:b/>
                <w:bCs/>
                <w:lang w:val="es-CL"/>
              </w:rPr>
              <w:t>V.I.</w:t>
            </w:r>
            <w:r w:rsidRPr="006B5F45">
              <w:rPr>
                <w:rFonts w:cs="Arial"/>
                <w:lang w:val="es-CL"/>
              </w:rPr>
              <w:t xml:space="preserve">               :</w:t>
            </w:r>
          </w:p>
        </w:tc>
        <w:tc>
          <w:tcPr>
            <w:tcW w:w="7382" w:type="dxa"/>
            <w:shd w:val="clear" w:color="auto" w:fill="auto"/>
          </w:tcPr>
          <w:p w14:paraId="1D13091D" w14:textId="77777777" w:rsidR="009D12B8" w:rsidRPr="006B5F45" w:rsidRDefault="009D12B8" w:rsidP="009D12B8">
            <w:pPr>
              <w:rPr>
                <w:rFonts w:cs="Arial"/>
              </w:rPr>
            </w:pPr>
            <w:r w:rsidRPr="006B5F45">
              <w:rPr>
                <w:rFonts w:cs="Arial"/>
                <w:lang w:val="es-CL"/>
              </w:rPr>
              <w:t>Valor de Inversión.</w:t>
            </w:r>
          </w:p>
        </w:tc>
      </w:tr>
      <w:tr w:rsidR="009D12B8" w:rsidRPr="006B5F45" w14:paraId="3D213FEC" w14:textId="77777777" w:rsidTr="009D12B8">
        <w:tc>
          <w:tcPr>
            <w:tcW w:w="2340" w:type="dxa"/>
            <w:shd w:val="clear" w:color="auto" w:fill="auto"/>
          </w:tcPr>
          <w:p w14:paraId="11EB22C3" w14:textId="77777777" w:rsidR="009D12B8" w:rsidRPr="006B5F45" w:rsidRDefault="009D12B8" w:rsidP="009D12B8">
            <w:pPr>
              <w:jc w:val="left"/>
              <w:rPr>
                <w:rFonts w:cs="Arial"/>
                <w:lang w:val="es-CL"/>
              </w:rPr>
            </w:pPr>
            <w:r w:rsidRPr="006B5F45">
              <w:rPr>
                <w:rFonts w:cs="Arial"/>
                <w:b/>
                <w:bCs/>
                <w:lang w:val="es-CL"/>
              </w:rPr>
              <w:t>A.V.I.</w:t>
            </w:r>
            <w:r w:rsidRPr="006B5F45">
              <w:rPr>
                <w:rFonts w:cs="Arial"/>
                <w:lang w:val="es-CL"/>
              </w:rPr>
              <w:t xml:space="preserve">           :</w:t>
            </w:r>
          </w:p>
        </w:tc>
        <w:tc>
          <w:tcPr>
            <w:tcW w:w="7382" w:type="dxa"/>
            <w:shd w:val="clear" w:color="auto" w:fill="auto"/>
          </w:tcPr>
          <w:p w14:paraId="04A15AB3" w14:textId="77777777" w:rsidR="009D12B8" w:rsidRPr="006B5F45" w:rsidRDefault="009D12B8" w:rsidP="009D12B8">
            <w:pPr>
              <w:rPr>
                <w:rFonts w:cs="Arial"/>
              </w:rPr>
            </w:pPr>
            <w:r w:rsidRPr="006B5F45">
              <w:rPr>
                <w:rFonts w:cs="Arial"/>
                <w:lang w:val="es-CL"/>
              </w:rPr>
              <w:t>Anualidad del Valor de Inversión.</w:t>
            </w:r>
          </w:p>
        </w:tc>
      </w:tr>
      <w:tr w:rsidR="009D12B8" w:rsidRPr="006B5F45" w14:paraId="60CE2231" w14:textId="77777777" w:rsidTr="009D12B8">
        <w:tc>
          <w:tcPr>
            <w:tcW w:w="2340" w:type="dxa"/>
            <w:shd w:val="clear" w:color="auto" w:fill="auto"/>
          </w:tcPr>
          <w:p w14:paraId="3F9E11BB" w14:textId="77777777" w:rsidR="009D12B8" w:rsidRPr="006B5F45" w:rsidRDefault="009D12B8" w:rsidP="009D12B8">
            <w:pPr>
              <w:jc w:val="left"/>
              <w:rPr>
                <w:rFonts w:cs="Arial"/>
                <w:lang w:val="es-CL"/>
              </w:rPr>
            </w:pPr>
            <w:r w:rsidRPr="006B5F45">
              <w:rPr>
                <w:rFonts w:cs="Arial"/>
                <w:b/>
                <w:bCs/>
                <w:lang w:val="es-CL"/>
              </w:rPr>
              <w:t>C.O.M.A.</w:t>
            </w:r>
            <w:r w:rsidRPr="006B5F45">
              <w:rPr>
                <w:rFonts w:cs="Arial"/>
                <w:lang w:val="es-CL"/>
              </w:rPr>
              <w:t xml:space="preserve">     :</w:t>
            </w:r>
          </w:p>
        </w:tc>
        <w:tc>
          <w:tcPr>
            <w:tcW w:w="7382" w:type="dxa"/>
            <w:shd w:val="clear" w:color="auto" w:fill="auto"/>
          </w:tcPr>
          <w:p w14:paraId="2E1B1A56" w14:textId="77777777" w:rsidR="009D12B8" w:rsidRPr="006B5F45" w:rsidRDefault="009D12B8" w:rsidP="009D12B8">
            <w:pPr>
              <w:rPr>
                <w:rFonts w:cs="Arial"/>
              </w:rPr>
            </w:pPr>
            <w:r w:rsidRPr="006B5F45">
              <w:rPr>
                <w:rFonts w:cs="Arial"/>
                <w:lang w:val="es-CL"/>
              </w:rPr>
              <w:t>Costo de Operación, Mantenimiento y Administración.</w:t>
            </w:r>
          </w:p>
        </w:tc>
      </w:tr>
      <w:tr w:rsidR="009D12B8" w:rsidRPr="006B5F45" w14:paraId="6205AC22" w14:textId="77777777" w:rsidTr="009D12B8">
        <w:tc>
          <w:tcPr>
            <w:tcW w:w="2340" w:type="dxa"/>
            <w:shd w:val="clear" w:color="auto" w:fill="auto"/>
          </w:tcPr>
          <w:p w14:paraId="5F02A08B" w14:textId="77777777" w:rsidR="009D12B8" w:rsidRPr="006B5F45" w:rsidRDefault="009D12B8" w:rsidP="009D12B8">
            <w:pPr>
              <w:jc w:val="left"/>
              <w:rPr>
                <w:rFonts w:cs="Arial"/>
                <w:lang w:val="es-CL"/>
              </w:rPr>
            </w:pPr>
            <w:r w:rsidRPr="006B5F45">
              <w:rPr>
                <w:rFonts w:cs="Arial"/>
                <w:b/>
                <w:bCs/>
                <w:lang w:val="es-CL"/>
              </w:rPr>
              <w:t>V.A.T.T.</w:t>
            </w:r>
            <w:r w:rsidRPr="006B5F45">
              <w:rPr>
                <w:rFonts w:cs="Arial"/>
                <w:lang w:val="es-CL"/>
              </w:rPr>
              <w:t xml:space="preserve">       :</w:t>
            </w:r>
          </w:p>
        </w:tc>
        <w:tc>
          <w:tcPr>
            <w:tcW w:w="7382" w:type="dxa"/>
            <w:shd w:val="clear" w:color="auto" w:fill="auto"/>
          </w:tcPr>
          <w:p w14:paraId="02D5E02C" w14:textId="77777777" w:rsidR="009D12B8" w:rsidRPr="006B5F45" w:rsidRDefault="009D12B8" w:rsidP="009D12B8">
            <w:pPr>
              <w:rPr>
                <w:rFonts w:cs="Arial"/>
              </w:rPr>
            </w:pPr>
            <w:r w:rsidRPr="006B5F45">
              <w:rPr>
                <w:rFonts w:cs="Arial"/>
                <w:lang w:val="es-CL"/>
              </w:rPr>
              <w:t>Valor anual de la transmisión por tramo.</w:t>
            </w:r>
          </w:p>
        </w:tc>
      </w:tr>
      <w:tr w:rsidR="009D12B8" w:rsidRPr="006B5F45" w14:paraId="29A10F07" w14:textId="77777777" w:rsidTr="009D12B8">
        <w:tc>
          <w:tcPr>
            <w:tcW w:w="2340" w:type="dxa"/>
            <w:shd w:val="clear" w:color="auto" w:fill="auto"/>
          </w:tcPr>
          <w:p w14:paraId="0EA97E61" w14:textId="77777777" w:rsidR="009D12B8" w:rsidRPr="006B5F45" w:rsidRDefault="009D12B8" w:rsidP="009D12B8">
            <w:pPr>
              <w:jc w:val="left"/>
              <w:rPr>
                <w:rFonts w:cs="Arial"/>
                <w:lang w:val="es-CL"/>
              </w:rPr>
            </w:pPr>
            <w:r w:rsidRPr="006B5F45">
              <w:rPr>
                <w:rFonts w:cs="Arial"/>
                <w:b/>
                <w:bCs/>
                <w:lang w:val="es-CL"/>
              </w:rPr>
              <w:t>LGSE</w:t>
            </w:r>
            <w:r w:rsidRPr="006B5F45">
              <w:rPr>
                <w:rFonts w:cs="Arial"/>
                <w:lang w:val="es-CL"/>
              </w:rPr>
              <w:t xml:space="preserve">            :</w:t>
            </w:r>
          </w:p>
        </w:tc>
        <w:tc>
          <w:tcPr>
            <w:tcW w:w="7382" w:type="dxa"/>
            <w:shd w:val="clear" w:color="auto" w:fill="auto"/>
          </w:tcPr>
          <w:p w14:paraId="17621A8B" w14:textId="77777777" w:rsidR="009D12B8" w:rsidRPr="006B5F45" w:rsidRDefault="009D12B8" w:rsidP="009D12B8">
            <w:pPr>
              <w:rPr>
                <w:rFonts w:cs="Arial"/>
              </w:rPr>
            </w:pPr>
            <w:r w:rsidRPr="006B5F45">
              <w:rPr>
                <w:rFonts w:cs="Arial"/>
                <w:lang w:val="es-CL"/>
              </w:rPr>
              <w:t>Ley General de Servicios Eléctricos.</w:t>
            </w:r>
          </w:p>
        </w:tc>
      </w:tr>
      <w:tr w:rsidR="009D12B8" w:rsidRPr="00812DAD" w14:paraId="3C9BAE71" w14:textId="77777777" w:rsidTr="009D12B8">
        <w:tc>
          <w:tcPr>
            <w:tcW w:w="2340" w:type="dxa"/>
            <w:shd w:val="clear" w:color="auto" w:fill="auto"/>
          </w:tcPr>
          <w:p w14:paraId="22CA52CA" w14:textId="77777777" w:rsidR="009D12B8" w:rsidRPr="006B5F45" w:rsidRDefault="009D12B8" w:rsidP="009D12B8">
            <w:pPr>
              <w:jc w:val="left"/>
              <w:rPr>
                <w:rFonts w:cs="Arial"/>
                <w:lang w:val="es-CL"/>
              </w:rPr>
            </w:pPr>
            <w:r w:rsidRPr="006B5F45">
              <w:rPr>
                <w:rFonts w:cs="Arial"/>
                <w:b/>
                <w:bCs/>
                <w:lang w:val="es-CL"/>
              </w:rPr>
              <w:t>A.E.I.R.</w:t>
            </w:r>
            <w:r w:rsidRPr="006B5F45">
              <w:rPr>
                <w:rFonts w:cs="Arial"/>
                <w:lang w:val="es-CL"/>
              </w:rPr>
              <w:t xml:space="preserve">        :</w:t>
            </w:r>
          </w:p>
        </w:tc>
        <w:tc>
          <w:tcPr>
            <w:tcW w:w="7382" w:type="dxa"/>
            <w:shd w:val="clear" w:color="auto" w:fill="auto"/>
          </w:tcPr>
          <w:p w14:paraId="46D6E1A7" w14:textId="77777777" w:rsidR="009D12B8" w:rsidRPr="00812DAD" w:rsidRDefault="009D12B8" w:rsidP="009D12B8">
            <w:r w:rsidRPr="006B5F45">
              <w:rPr>
                <w:lang w:val="es-CL"/>
              </w:rPr>
              <w:t>Ajuste por efecto de impuesto a la renta.</w:t>
            </w:r>
          </w:p>
        </w:tc>
      </w:tr>
      <w:tr w:rsidR="009D12B8" w:rsidRPr="00812DAD" w14:paraId="6BC9ACF6" w14:textId="77777777" w:rsidTr="009D12B8">
        <w:tc>
          <w:tcPr>
            <w:tcW w:w="2340" w:type="dxa"/>
            <w:shd w:val="clear" w:color="auto" w:fill="auto"/>
          </w:tcPr>
          <w:p w14:paraId="3B7FF8AC" w14:textId="77777777" w:rsidR="009D12B8" w:rsidRPr="006B5F45" w:rsidRDefault="009D12B8" w:rsidP="009D12B8">
            <w:pPr>
              <w:jc w:val="left"/>
              <w:rPr>
                <w:rFonts w:cs="Arial"/>
                <w:lang w:val="es-CL"/>
              </w:rPr>
            </w:pPr>
            <w:r w:rsidRPr="006B5F45">
              <w:rPr>
                <w:rFonts w:cs="Arial"/>
                <w:b/>
                <w:bCs/>
                <w:lang w:val="es-CL"/>
              </w:rPr>
              <w:t>IPC</w:t>
            </w:r>
            <w:r w:rsidRPr="006B5F45">
              <w:rPr>
                <w:rFonts w:cs="Arial"/>
                <w:lang w:val="es-CL"/>
              </w:rPr>
              <w:t xml:space="preserve">               :</w:t>
            </w:r>
          </w:p>
        </w:tc>
        <w:tc>
          <w:tcPr>
            <w:tcW w:w="7382" w:type="dxa"/>
            <w:shd w:val="clear" w:color="auto" w:fill="auto"/>
          </w:tcPr>
          <w:p w14:paraId="3773AD3C" w14:textId="77777777" w:rsidR="009D12B8" w:rsidRPr="00812DAD" w:rsidRDefault="009D12B8" w:rsidP="009D12B8">
            <w:r w:rsidRPr="006B5F45">
              <w:rPr>
                <w:lang w:val="es-CL"/>
              </w:rPr>
              <w:t>Índice de Precios al Consumidor, publicado por el Instituto Nacional de Estadística de Chile.</w:t>
            </w:r>
          </w:p>
        </w:tc>
      </w:tr>
      <w:tr w:rsidR="009D12B8" w14:paraId="1BDD8CB9" w14:textId="77777777" w:rsidTr="009D12B8">
        <w:tc>
          <w:tcPr>
            <w:tcW w:w="2340" w:type="dxa"/>
            <w:shd w:val="clear" w:color="auto" w:fill="auto"/>
          </w:tcPr>
          <w:p w14:paraId="32FD553A" w14:textId="77777777" w:rsidR="009D12B8" w:rsidRPr="006B5F45" w:rsidRDefault="009D12B8" w:rsidP="009D12B8">
            <w:pPr>
              <w:jc w:val="left"/>
              <w:rPr>
                <w:rFonts w:cs="Arial"/>
                <w:lang w:val="es-CL"/>
              </w:rPr>
            </w:pPr>
            <w:r w:rsidRPr="006B5F45">
              <w:rPr>
                <w:rFonts w:cs="Arial"/>
                <w:b/>
                <w:bCs/>
                <w:lang w:val="es-CL"/>
              </w:rPr>
              <w:t>CPI</w:t>
            </w:r>
            <w:r w:rsidRPr="006B5F45">
              <w:rPr>
                <w:rFonts w:cs="Arial"/>
                <w:lang w:val="es-CL"/>
              </w:rPr>
              <w:t xml:space="preserve">               :</w:t>
            </w:r>
          </w:p>
        </w:tc>
        <w:tc>
          <w:tcPr>
            <w:tcW w:w="7382" w:type="dxa"/>
            <w:shd w:val="clear" w:color="auto" w:fill="auto"/>
          </w:tcPr>
          <w:p w14:paraId="3BBB4F4A" w14:textId="77777777" w:rsidR="009D12B8" w:rsidRDefault="009D12B8" w:rsidP="009D12B8">
            <w:r w:rsidRPr="006B5F45">
              <w:rPr>
                <w:lang w:val="es-CL"/>
              </w:rPr>
              <w:t xml:space="preserve">Consumer Price Index </w:t>
            </w:r>
            <w:r w:rsidRPr="00812DAD">
              <w:t>(All Urban Consumers), publicado por el Bureau of Labor Statistics (BLS) del Gobierno de los Estados Unidos de América.</w:t>
            </w:r>
          </w:p>
        </w:tc>
      </w:tr>
    </w:tbl>
    <w:p w14:paraId="382A97D9" w14:textId="77777777" w:rsidR="002568FF" w:rsidRDefault="002568FF" w:rsidP="002568FF">
      <w:pPr>
        <w:pStyle w:val="Ttulo1"/>
        <w:numPr>
          <w:ilvl w:val="0"/>
          <w:numId w:val="0"/>
        </w:numPr>
      </w:pPr>
    </w:p>
    <w:p w14:paraId="55103B05" w14:textId="77777777" w:rsidR="001339DD" w:rsidRPr="001339DD" w:rsidRDefault="001339DD" w:rsidP="001339DD">
      <w:pPr>
        <w:pStyle w:val="Ttulo1"/>
      </w:pPr>
      <w:bookmarkStart w:id="7" w:name="_Toc34687161"/>
      <w:r w:rsidRPr="001339DD">
        <w:t>OBJETIVOS DEL ESTUDIO</w:t>
      </w:r>
      <w:bookmarkEnd w:id="7"/>
    </w:p>
    <w:p w14:paraId="6AB50AD3" w14:textId="77777777" w:rsidR="001339DD" w:rsidRPr="006444E7" w:rsidRDefault="001339DD" w:rsidP="006444E7">
      <w:pPr>
        <w:pStyle w:val="Ttulo2"/>
        <w:rPr>
          <w:sz w:val="24"/>
          <w:szCs w:val="24"/>
        </w:rPr>
      </w:pPr>
      <w:bookmarkStart w:id="8" w:name="_Toc34687162"/>
      <w:r w:rsidRPr="006444E7">
        <w:rPr>
          <w:sz w:val="24"/>
          <w:szCs w:val="24"/>
        </w:rPr>
        <w:t>Objetivo General</w:t>
      </w:r>
      <w:bookmarkEnd w:id="8"/>
    </w:p>
    <w:p w14:paraId="3E6D42F4" w14:textId="77777777" w:rsidR="00D22202" w:rsidRPr="0017242A" w:rsidRDefault="00223637" w:rsidP="00D22202">
      <w:pPr>
        <w:rPr>
          <w:rFonts w:cs="Arial"/>
          <w:lang w:val="es-CL"/>
        </w:rPr>
      </w:pPr>
      <w:r>
        <w:rPr>
          <w:rFonts w:cs="Arial"/>
          <w:lang w:val="es-CL"/>
        </w:rPr>
        <w:t>E</w:t>
      </w:r>
      <w:r w:rsidR="00D22202" w:rsidRPr="0017242A">
        <w:rPr>
          <w:rFonts w:cs="Arial"/>
          <w:lang w:val="es-CL"/>
        </w:rPr>
        <w:t>l objetivo general de</w:t>
      </w:r>
      <w:r w:rsidR="00D22202">
        <w:rPr>
          <w:rFonts w:cs="Arial"/>
          <w:lang w:val="es-CL"/>
        </w:rPr>
        <w:t>l</w:t>
      </w:r>
      <w:r w:rsidR="00D22202" w:rsidRPr="0017242A">
        <w:rPr>
          <w:rFonts w:cs="Arial"/>
          <w:lang w:val="es-CL"/>
        </w:rPr>
        <w:t xml:space="preserve"> </w:t>
      </w:r>
      <w:r w:rsidR="00D22202">
        <w:rPr>
          <w:rFonts w:cs="Arial"/>
          <w:lang w:val="es-CL"/>
        </w:rPr>
        <w:t>estudio</w:t>
      </w:r>
      <w:r w:rsidR="00D22202" w:rsidRPr="0017242A">
        <w:rPr>
          <w:rFonts w:cs="Arial"/>
          <w:lang w:val="es-CL"/>
        </w:rPr>
        <w:t xml:space="preserve"> es la valorización de las instalaciones calificadas como de transmisión nacional</w:t>
      </w:r>
      <w:r w:rsidR="00D22202">
        <w:rPr>
          <w:rFonts w:cs="Arial"/>
          <w:lang w:val="es-CL"/>
        </w:rPr>
        <w:t xml:space="preserve"> para el cuadrienio tarifario 2020-2023</w:t>
      </w:r>
      <w:r w:rsidR="00D22202" w:rsidRPr="0017242A">
        <w:rPr>
          <w:rFonts w:cs="Arial"/>
          <w:lang w:val="es-CL"/>
        </w:rPr>
        <w:t>.</w:t>
      </w:r>
    </w:p>
    <w:p w14:paraId="7DD45D8D" w14:textId="0A37616B" w:rsidR="002568FF" w:rsidRPr="0088776A" w:rsidRDefault="00D22202" w:rsidP="001339DD">
      <w:pPr>
        <w:rPr>
          <w:rFonts w:cs="Arial"/>
          <w:lang w:val="es-CL"/>
        </w:rPr>
      </w:pPr>
      <w:r w:rsidRPr="0017242A">
        <w:rPr>
          <w:rFonts w:cs="Arial"/>
          <w:lang w:val="es-CL"/>
        </w:rPr>
        <w:t>De conformidad a lo indicado en los artículos 100° y 101° de la LGSE, estas instalaciones se especificaron en la Resolución Exenta N°244 de la CNE de abril de 2019</w:t>
      </w:r>
      <w:r w:rsidR="00223637">
        <w:rPr>
          <w:rFonts w:cs="Arial"/>
          <w:lang w:val="es-CL"/>
        </w:rPr>
        <w:t xml:space="preserve">, y en la forma de tramos de transmisión, distinguiéndose entre ellos </w:t>
      </w:r>
      <w:r w:rsidR="00223637" w:rsidRPr="00223637">
        <w:rPr>
          <w:rFonts w:cs="Arial"/>
          <w:i/>
          <w:iCs/>
          <w:lang w:val="es-CL"/>
        </w:rPr>
        <w:t>tramos de transporte</w:t>
      </w:r>
      <w:r w:rsidR="00223637">
        <w:rPr>
          <w:rFonts w:cs="Arial"/>
          <w:lang w:val="es-CL"/>
        </w:rPr>
        <w:t xml:space="preserve"> y </w:t>
      </w:r>
      <w:r w:rsidR="00223637" w:rsidRPr="00223637">
        <w:rPr>
          <w:rFonts w:cs="Arial"/>
          <w:i/>
          <w:iCs/>
          <w:lang w:val="es-CL"/>
        </w:rPr>
        <w:t>tramos de subestación</w:t>
      </w:r>
      <w:r w:rsidR="00223637">
        <w:rPr>
          <w:rFonts w:cs="Arial"/>
          <w:lang w:val="es-CL"/>
        </w:rPr>
        <w:t>.</w:t>
      </w:r>
    </w:p>
    <w:p w14:paraId="5715F849" w14:textId="77777777" w:rsidR="00F34BB1" w:rsidRDefault="00F34BB1" w:rsidP="001339DD">
      <w:pPr>
        <w:rPr>
          <w:lang w:val="es-CL"/>
        </w:rPr>
      </w:pPr>
    </w:p>
    <w:p w14:paraId="00E2F159" w14:textId="77777777" w:rsidR="001339DD" w:rsidRPr="006444E7" w:rsidRDefault="001339DD" w:rsidP="006444E7">
      <w:pPr>
        <w:pStyle w:val="Ttulo2"/>
        <w:rPr>
          <w:sz w:val="24"/>
          <w:szCs w:val="24"/>
        </w:rPr>
      </w:pPr>
      <w:bookmarkStart w:id="9" w:name="_Toc34687163"/>
      <w:r w:rsidRPr="006444E7">
        <w:rPr>
          <w:sz w:val="24"/>
          <w:szCs w:val="24"/>
        </w:rPr>
        <w:t>Objetivos Específicos</w:t>
      </w:r>
      <w:bookmarkEnd w:id="9"/>
    </w:p>
    <w:p w14:paraId="1D519B3B" w14:textId="77777777" w:rsidR="00A851CF" w:rsidRPr="0017242A" w:rsidRDefault="00223637" w:rsidP="00A851CF">
      <w:pPr>
        <w:rPr>
          <w:rFonts w:cs="Arial"/>
          <w:lang w:val="es-CL"/>
        </w:rPr>
      </w:pPr>
      <w:r>
        <w:rPr>
          <w:rFonts w:cs="Arial"/>
          <w:lang w:val="es-CL"/>
        </w:rPr>
        <w:t>S</w:t>
      </w:r>
      <w:r w:rsidR="00A851CF" w:rsidRPr="0017242A">
        <w:rPr>
          <w:rFonts w:cs="Arial"/>
          <w:lang w:val="es-CL"/>
        </w:rPr>
        <w:t>on objetivos específicos de</w:t>
      </w:r>
      <w:r w:rsidR="00A851CF">
        <w:rPr>
          <w:rFonts w:cs="Arial"/>
          <w:lang w:val="es-CL"/>
        </w:rPr>
        <w:t>l</w:t>
      </w:r>
      <w:r w:rsidR="00A851CF" w:rsidRPr="0017242A">
        <w:rPr>
          <w:rFonts w:cs="Arial"/>
          <w:lang w:val="es-CL"/>
        </w:rPr>
        <w:t xml:space="preserve"> estudio los siguientes:</w:t>
      </w:r>
    </w:p>
    <w:p w14:paraId="5EBCED3E" w14:textId="7B958C05" w:rsidR="00A851CF" w:rsidRPr="005A1E5C" w:rsidRDefault="009D12B8" w:rsidP="002E20CA">
      <w:pPr>
        <w:numPr>
          <w:ilvl w:val="0"/>
          <w:numId w:val="5"/>
        </w:numPr>
        <w:rPr>
          <w:rFonts w:cs="Arial"/>
          <w:lang w:val="es-CL"/>
        </w:rPr>
      </w:pPr>
      <w:r w:rsidRPr="005A1E5C">
        <w:rPr>
          <w:rFonts w:cs="Arial"/>
          <w:lang w:val="es-CL"/>
        </w:rPr>
        <w:t>Determinación del Valor de Inversión,  en adelante e indistintamente “V.I.”, la Anualidad del Valor de Inversión, en adelante e indistintamente “A.V.I.”, de los Costos Anuales de Operación, Mantenimiento y Administración, en adelante e indistintamente “C.O.M.A.” y del Factor de Ajuste por Efecto de Impuesto a la Renta, en adelante e indistintamente “A.E.I.R.”. Esta determinación se efectúa para cada tramo de transmisión del Sistema de Transmisión Nacional, en adelante e indistintamente, STN.</w:t>
      </w:r>
    </w:p>
    <w:p w14:paraId="10E63B74" w14:textId="77777777" w:rsidR="00A851CF" w:rsidRPr="0017242A" w:rsidRDefault="00A851CF" w:rsidP="002E20CA">
      <w:pPr>
        <w:numPr>
          <w:ilvl w:val="0"/>
          <w:numId w:val="5"/>
        </w:numPr>
        <w:rPr>
          <w:rFonts w:cs="Arial"/>
          <w:lang w:val="es-CL"/>
        </w:rPr>
      </w:pPr>
      <w:r w:rsidRPr="0017242A">
        <w:rPr>
          <w:rFonts w:cs="Arial"/>
          <w:lang w:val="es-CL"/>
        </w:rPr>
        <w:t>Determinación del Valor Anual de la Transmisión por Tramo, en adelante e indistintamente, “V.A.T.T.”</w:t>
      </w:r>
      <w:r w:rsidR="00223637">
        <w:rPr>
          <w:rFonts w:cs="Arial"/>
          <w:lang w:val="es-CL"/>
        </w:rPr>
        <w:t xml:space="preserve"> de las instalaciones del sistema de transmisión nacional</w:t>
      </w:r>
      <w:r w:rsidRPr="0017242A">
        <w:rPr>
          <w:rFonts w:cs="Arial"/>
          <w:lang w:val="es-CL"/>
        </w:rPr>
        <w:t>;</w:t>
      </w:r>
    </w:p>
    <w:p w14:paraId="6B839DB7" w14:textId="77777777" w:rsidR="00D22202" w:rsidRDefault="00A851CF" w:rsidP="002E20CA">
      <w:pPr>
        <w:numPr>
          <w:ilvl w:val="0"/>
          <w:numId w:val="5"/>
        </w:numPr>
        <w:rPr>
          <w:lang w:val="es-CL"/>
        </w:rPr>
      </w:pPr>
      <w:r w:rsidRPr="0017242A">
        <w:rPr>
          <w:rFonts w:cs="Arial"/>
          <w:lang w:val="es-CL"/>
        </w:rPr>
        <w:t>Determinación de las correspondientes fórmulas de indexación y su forma de aplicación para los valores indicados en los literales anteriores, a fin de mantener su valor real a partir del mes de diciembre de 2017, mes que se establece como la fecha de valor base del V.A.T.T.</w:t>
      </w:r>
    </w:p>
    <w:p w14:paraId="334667BF" w14:textId="09A10B42" w:rsidR="00D22202" w:rsidRDefault="00D22202" w:rsidP="001339DD">
      <w:pPr>
        <w:rPr>
          <w:lang w:val="es-CL"/>
        </w:rPr>
      </w:pPr>
    </w:p>
    <w:p w14:paraId="02399E19" w14:textId="77777777" w:rsidR="0088776A" w:rsidRPr="00097472" w:rsidRDefault="0088776A" w:rsidP="001339DD">
      <w:pPr>
        <w:rPr>
          <w:lang w:val="es-CL"/>
        </w:rPr>
      </w:pPr>
    </w:p>
    <w:p w14:paraId="2F06E461" w14:textId="77777777" w:rsidR="00B11BEE" w:rsidRPr="00B11BEE" w:rsidRDefault="00B11BEE" w:rsidP="00B11BEE">
      <w:pPr>
        <w:pStyle w:val="Ttulo1"/>
      </w:pPr>
      <w:bookmarkStart w:id="10" w:name="_Toc34687164"/>
      <w:r w:rsidRPr="00B11BEE">
        <w:t>MARCO NORMATIVO</w:t>
      </w:r>
      <w:bookmarkEnd w:id="10"/>
    </w:p>
    <w:p w14:paraId="3674167C" w14:textId="77777777" w:rsidR="00A904A6" w:rsidRPr="00AE0DDC" w:rsidRDefault="00A904A6" w:rsidP="00A904A6">
      <w:pPr>
        <w:rPr>
          <w:rFonts w:cs="Arial"/>
          <w:lang w:val="es-CL"/>
        </w:rPr>
      </w:pPr>
      <w:r w:rsidRPr="00AE0DDC">
        <w:rPr>
          <w:rFonts w:cs="Arial"/>
          <w:lang w:val="es-CL"/>
        </w:rPr>
        <w:t>El marco normativo al cual se sujetará el presente estudio, tanto en lo referente al desarrollo de sus diferentes etapas, actividades y plazos, como desde el punto de vista de sus consideraciones técnicas y conceptuales, está dado, en lo que es esencial, por el siguiente conjunto de disposiciones:</w:t>
      </w:r>
    </w:p>
    <w:p w14:paraId="1E8F6432" w14:textId="77777777" w:rsidR="00A904A6" w:rsidRPr="00AE0DDC" w:rsidRDefault="00A904A6" w:rsidP="002E20CA">
      <w:pPr>
        <w:numPr>
          <w:ilvl w:val="0"/>
          <w:numId w:val="6"/>
        </w:numPr>
        <w:rPr>
          <w:rFonts w:cs="Arial"/>
          <w:lang w:val="es-CL"/>
        </w:rPr>
      </w:pPr>
      <w:r w:rsidRPr="00AE0DDC">
        <w:rPr>
          <w:rFonts w:cs="Arial"/>
          <w:b/>
          <w:lang w:val="es-CL"/>
        </w:rPr>
        <w:t>Decreto con Fuerza de Ley N°4 del Ministerio de Economía, Fomento y Reconstrucción de 2006, Ley General de Servicio Eléctricos</w:t>
      </w:r>
      <w:r w:rsidRPr="00AE0DDC">
        <w:rPr>
          <w:rFonts w:cs="Arial"/>
          <w:lang w:val="es-CL"/>
        </w:rPr>
        <w:t xml:space="preserve"> </w:t>
      </w:r>
      <w:r w:rsidR="006B4AFA" w:rsidRPr="006B4AFA">
        <w:rPr>
          <w:rFonts w:cs="Arial"/>
          <w:b/>
          <w:lang w:val="es-CL"/>
        </w:rPr>
        <w:t>(LGSE)</w:t>
      </w:r>
      <w:r w:rsidR="006B4AFA">
        <w:rPr>
          <w:rFonts w:cs="Arial"/>
          <w:lang w:val="es-CL"/>
        </w:rPr>
        <w:t xml:space="preserve"> </w:t>
      </w:r>
      <w:r w:rsidRPr="00AE0DDC">
        <w:rPr>
          <w:rFonts w:cs="Arial"/>
          <w:lang w:val="es-CL"/>
        </w:rPr>
        <w:t>y sus modificaciones.</w:t>
      </w:r>
    </w:p>
    <w:p w14:paraId="7E03A123" w14:textId="77777777" w:rsidR="00A904A6" w:rsidRDefault="00A904A6" w:rsidP="002E20CA">
      <w:pPr>
        <w:numPr>
          <w:ilvl w:val="0"/>
          <w:numId w:val="6"/>
        </w:numPr>
        <w:rPr>
          <w:rFonts w:cs="Arial"/>
          <w:lang w:val="es-CL"/>
        </w:rPr>
      </w:pPr>
      <w:r w:rsidRPr="00AE0DDC">
        <w:rPr>
          <w:rFonts w:cs="Arial"/>
          <w:b/>
          <w:lang w:val="es-CL"/>
        </w:rPr>
        <w:t>Ley N°20.936, de junio de 2016, del Ministerio de Energía</w:t>
      </w:r>
      <w:r w:rsidRPr="00AE0DDC">
        <w:rPr>
          <w:rFonts w:cs="Arial"/>
          <w:lang w:val="es-CL"/>
        </w:rPr>
        <w:t>, que “Establece un Nuevo Sistema de Transmisión Eléctrica y crea un Organismo Coordinador Independiente del Sistema Eléctrico Nacional”.</w:t>
      </w:r>
    </w:p>
    <w:p w14:paraId="6C49A6C9" w14:textId="77777777" w:rsidR="00A904A6" w:rsidRDefault="00A904A6" w:rsidP="002E20CA">
      <w:pPr>
        <w:numPr>
          <w:ilvl w:val="0"/>
          <w:numId w:val="6"/>
        </w:numPr>
        <w:rPr>
          <w:rFonts w:cs="Arial"/>
          <w:lang w:val="es-CL"/>
        </w:rPr>
      </w:pPr>
      <w:r w:rsidRPr="00AE0DDC">
        <w:rPr>
          <w:rFonts w:cs="Arial"/>
          <w:b/>
          <w:lang w:val="es-CL"/>
        </w:rPr>
        <w:t>Resolución Exenta N°380, del 20 de julio de 2017, de la Comisión Nacional de Energía</w:t>
      </w:r>
      <w:r w:rsidRPr="00AE0DDC">
        <w:rPr>
          <w:rFonts w:cs="Arial"/>
          <w:lang w:val="es-CL"/>
        </w:rPr>
        <w:t>, que “Establece Plazos, Requisitos y Condiciones Aplicables al Proceso de Valorización de las Instalaciones de los Sistemas de Transmisión Nacional, Zonal, para Polos de Desarrollo, y de las Instalaciones de Sistemas de Transmisión Dedicada Utilizadas por Usuarios Sometidos a Regulación de Precios”, y sus modificaciones.</w:t>
      </w:r>
    </w:p>
    <w:p w14:paraId="60905C96" w14:textId="77777777" w:rsidR="00A904A6" w:rsidRPr="00AE0DDC" w:rsidRDefault="00A904A6" w:rsidP="002E20CA">
      <w:pPr>
        <w:numPr>
          <w:ilvl w:val="0"/>
          <w:numId w:val="6"/>
        </w:numPr>
        <w:rPr>
          <w:rFonts w:cs="Arial"/>
          <w:lang w:val="es-CL"/>
        </w:rPr>
      </w:pPr>
      <w:r w:rsidRPr="00AE0DDC">
        <w:rPr>
          <w:rFonts w:cs="Arial"/>
          <w:b/>
          <w:lang w:val="es-CL"/>
        </w:rPr>
        <w:t>Resolución Exenta N°412, del 5 de junio de 2018, de la Comisión Nacional de Energía</w:t>
      </w:r>
      <w:r w:rsidRPr="00AE0DDC">
        <w:rPr>
          <w:rFonts w:cs="Arial"/>
          <w:lang w:val="es-CL"/>
        </w:rPr>
        <w:t>, que “Aprueba Informe Técnico Definitivo de Vidas Útiles a que se refiere el artículo 104° de la Ley General de Servicios Eléctricos y determina las vidas útiles de las instalaciones de transmisión que indica, aplicables por tres períodos tarifarios consecutivos”.</w:t>
      </w:r>
    </w:p>
    <w:p w14:paraId="1D3CD22B" w14:textId="77777777" w:rsidR="003A5B99" w:rsidRPr="00AE0DDC" w:rsidRDefault="003A5B99" w:rsidP="002E20CA">
      <w:pPr>
        <w:numPr>
          <w:ilvl w:val="0"/>
          <w:numId w:val="6"/>
        </w:numPr>
        <w:rPr>
          <w:rFonts w:cs="Arial"/>
          <w:lang w:val="es-CL"/>
        </w:rPr>
      </w:pPr>
      <w:r w:rsidRPr="00AE0DDC">
        <w:rPr>
          <w:rFonts w:cs="Arial"/>
          <w:b/>
          <w:lang w:val="es-CL"/>
        </w:rPr>
        <w:t>Resolución Exenta N°244 del 9 de abril de 2019, de la Comisión Nacional de Energía</w:t>
      </w:r>
      <w:r w:rsidRPr="00AE0DDC">
        <w:rPr>
          <w:rFonts w:cs="Arial"/>
          <w:lang w:val="es-CL"/>
        </w:rPr>
        <w:t>, que “Aprueba Informe Técnico Definitivo de Calificación de Instalaciones de los Sistemas de Transmisión para el Período 2020-2023”.</w:t>
      </w:r>
    </w:p>
    <w:p w14:paraId="41576FC5" w14:textId="77777777" w:rsidR="008A2286" w:rsidRDefault="008A2286" w:rsidP="002E20CA">
      <w:pPr>
        <w:numPr>
          <w:ilvl w:val="0"/>
          <w:numId w:val="6"/>
        </w:numPr>
        <w:rPr>
          <w:rFonts w:cs="Arial"/>
          <w:lang w:val="es-CL"/>
        </w:rPr>
      </w:pPr>
      <w:r w:rsidRPr="00AE0DDC">
        <w:rPr>
          <w:rFonts w:cs="Arial"/>
          <w:b/>
          <w:lang w:val="es-CL"/>
        </w:rPr>
        <w:t>Resolución Exenta N°272 del 26 de abril de 2019, de la Comisión Nacional de Energía</w:t>
      </w:r>
      <w:r w:rsidRPr="00AE0DDC">
        <w:rPr>
          <w:rFonts w:cs="Arial"/>
          <w:lang w:val="es-CL"/>
        </w:rPr>
        <w:t>, que “Aprueba Bases Técnicas y Administrativas Definitivas para la Realización de los Estudios de Valorización de los Sistemas de Transmisión”.</w:t>
      </w:r>
    </w:p>
    <w:p w14:paraId="5267C297" w14:textId="77777777" w:rsidR="008A2286" w:rsidRPr="00AE0DDC" w:rsidRDefault="00D13B17" w:rsidP="002E20CA">
      <w:pPr>
        <w:numPr>
          <w:ilvl w:val="0"/>
          <w:numId w:val="6"/>
        </w:numPr>
        <w:rPr>
          <w:rFonts w:cs="Arial"/>
          <w:lang w:val="es-CL"/>
        </w:rPr>
      </w:pPr>
      <w:r w:rsidRPr="0026164C">
        <w:rPr>
          <w:b/>
          <w:bCs/>
          <w:lang w:val="es-CL"/>
        </w:rPr>
        <w:t>Resolución Exenta N°766 del 11 de diciembre de 2019, de la Comisión Nacional de Energía</w:t>
      </w:r>
      <w:r>
        <w:rPr>
          <w:lang w:val="es-CL"/>
        </w:rPr>
        <w:t>,</w:t>
      </w:r>
      <w:r w:rsidR="0026164C">
        <w:rPr>
          <w:lang w:val="es-CL"/>
        </w:rPr>
        <w:t xml:space="preserve"> que “Rectifica Resolución Exenta N°272, de 26 de abril de 2019, que </w:t>
      </w:r>
      <w:r w:rsidR="0026164C" w:rsidRPr="00AE0DDC">
        <w:rPr>
          <w:rFonts w:cs="Arial"/>
          <w:lang w:val="es-CL"/>
        </w:rPr>
        <w:t>“Aprueba Bases Técnicas y Administrativas Definitivas para la Realización de los Estudios de Valorización de los Sistemas de Transmisión”</w:t>
      </w:r>
      <w:r w:rsidR="0026164C">
        <w:rPr>
          <w:rFonts w:cs="Arial"/>
          <w:lang w:val="es-CL"/>
        </w:rPr>
        <w:t>”.</w:t>
      </w:r>
    </w:p>
    <w:p w14:paraId="71A0F584" w14:textId="77777777" w:rsidR="00A904A6" w:rsidRDefault="00A904A6" w:rsidP="002E20CA">
      <w:pPr>
        <w:numPr>
          <w:ilvl w:val="0"/>
          <w:numId w:val="6"/>
        </w:numPr>
        <w:rPr>
          <w:rFonts w:cs="Arial"/>
          <w:lang w:val="es-CL"/>
        </w:rPr>
      </w:pPr>
      <w:r w:rsidRPr="00AE0DDC">
        <w:rPr>
          <w:rFonts w:cs="Arial"/>
          <w:b/>
          <w:lang w:val="es-CL"/>
        </w:rPr>
        <w:t>Resolución Exenta N°299, del 26 de abril de 2018, de la Comisión Nacional de Energía</w:t>
      </w:r>
      <w:r w:rsidRPr="00AE0DDC">
        <w:rPr>
          <w:rFonts w:cs="Arial"/>
          <w:lang w:val="es-CL"/>
        </w:rPr>
        <w:t>, que “Aprueba Modificaciones a la Norma Técnica de Seguridad y Calidad de Servicio de Conformidad al Artículo 34° del Decreto Supremo N°11, de 2017, del Ministerio de Energía y Aprueba Texto Refundido y Sistematizado de Dicha Norma Técnica”.</w:t>
      </w:r>
    </w:p>
    <w:p w14:paraId="46F7C0EA" w14:textId="77777777" w:rsidR="00DE678B" w:rsidRPr="00A620DF" w:rsidRDefault="00DE678B" w:rsidP="002E20CA">
      <w:pPr>
        <w:numPr>
          <w:ilvl w:val="0"/>
          <w:numId w:val="6"/>
        </w:numPr>
        <w:rPr>
          <w:lang w:val="es-CL"/>
        </w:rPr>
      </w:pPr>
      <w:r w:rsidRPr="00A620DF">
        <w:rPr>
          <w:b/>
          <w:bCs/>
          <w:lang w:val="es-CL"/>
        </w:rPr>
        <w:t xml:space="preserve">Resolucion Exenta N°43 </w:t>
      </w:r>
      <w:r w:rsidR="00A25607">
        <w:rPr>
          <w:b/>
          <w:bCs/>
          <w:lang w:val="es-CL"/>
        </w:rPr>
        <w:t>d</w:t>
      </w:r>
      <w:r w:rsidRPr="00A620DF">
        <w:rPr>
          <w:b/>
          <w:bCs/>
          <w:lang w:val="es-CL"/>
        </w:rPr>
        <w:t>el 26 de Diciembre de 2002, del Servicio de Impuestos Internos</w:t>
      </w:r>
      <w:r w:rsidRPr="00A620DF">
        <w:rPr>
          <w:lang w:val="es-CL"/>
        </w:rPr>
        <w:t xml:space="preserve">, que “Fija Vida Util Normal a los Bienes Fisicos del Activo Inmovilizado para los Efectos de su Depreciacion, conforme a las Normas del N°5 </w:t>
      </w:r>
      <w:r w:rsidR="00A620DF" w:rsidRPr="00A620DF">
        <w:rPr>
          <w:lang w:val="es-CL"/>
        </w:rPr>
        <w:t>d</w:t>
      </w:r>
      <w:r w:rsidRPr="00A620DF">
        <w:rPr>
          <w:lang w:val="es-CL"/>
        </w:rPr>
        <w:t>el Art</w:t>
      </w:r>
      <w:r w:rsidR="00A620DF" w:rsidRPr="00A620DF">
        <w:rPr>
          <w:lang w:val="es-CL"/>
        </w:rPr>
        <w:t>í</w:t>
      </w:r>
      <w:r w:rsidRPr="00A620DF">
        <w:rPr>
          <w:lang w:val="es-CL"/>
        </w:rPr>
        <w:t xml:space="preserve">culo 31 </w:t>
      </w:r>
      <w:r w:rsidR="00A620DF" w:rsidRPr="00A620DF">
        <w:rPr>
          <w:lang w:val="es-CL"/>
        </w:rPr>
        <w:t>d</w:t>
      </w:r>
      <w:r w:rsidRPr="00A620DF">
        <w:rPr>
          <w:lang w:val="es-CL"/>
        </w:rPr>
        <w:t xml:space="preserve">e </w:t>
      </w:r>
      <w:r w:rsidR="00A620DF" w:rsidRPr="00A620DF">
        <w:rPr>
          <w:lang w:val="es-CL"/>
        </w:rPr>
        <w:t>l</w:t>
      </w:r>
      <w:r w:rsidRPr="00A620DF">
        <w:rPr>
          <w:lang w:val="es-CL"/>
        </w:rPr>
        <w:t xml:space="preserve">a Ley </w:t>
      </w:r>
      <w:r w:rsidR="00A620DF" w:rsidRPr="00A620DF">
        <w:rPr>
          <w:lang w:val="es-CL"/>
        </w:rPr>
        <w:t>d</w:t>
      </w:r>
      <w:r w:rsidRPr="00A620DF">
        <w:rPr>
          <w:lang w:val="es-CL"/>
        </w:rPr>
        <w:t xml:space="preserve">e </w:t>
      </w:r>
      <w:r w:rsidR="00A620DF" w:rsidRPr="00A620DF">
        <w:rPr>
          <w:lang w:val="es-CL"/>
        </w:rPr>
        <w:t>l</w:t>
      </w:r>
      <w:r w:rsidRPr="00A620DF">
        <w:rPr>
          <w:lang w:val="es-CL"/>
        </w:rPr>
        <w:t xml:space="preserve">a Renta, </w:t>
      </w:r>
      <w:r w:rsidR="00A620DF" w:rsidRPr="00A620DF">
        <w:rPr>
          <w:lang w:val="es-CL"/>
        </w:rPr>
        <w:t>c</w:t>
      </w:r>
      <w:r w:rsidRPr="00A620DF">
        <w:rPr>
          <w:lang w:val="es-CL"/>
        </w:rPr>
        <w:t xml:space="preserve">ontenida </w:t>
      </w:r>
      <w:r w:rsidR="00A620DF" w:rsidRPr="00A620DF">
        <w:rPr>
          <w:lang w:val="es-CL"/>
        </w:rPr>
        <w:t>e</w:t>
      </w:r>
      <w:r w:rsidRPr="00A620DF">
        <w:rPr>
          <w:lang w:val="es-CL"/>
        </w:rPr>
        <w:t xml:space="preserve">n </w:t>
      </w:r>
      <w:r w:rsidR="00A620DF" w:rsidRPr="00A620DF">
        <w:rPr>
          <w:lang w:val="es-CL"/>
        </w:rPr>
        <w:t>e</w:t>
      </w:r>
      <w:r w:rsidRPr="00A620DF">
        <w:rPr>
          <w:lang w:val="es-CL"/>
        </w:rPr>
        <w:t xml:space="preserve">l Articulo 1° </w:t>
      </w:r>
      <w:r w:rsidR="00A620DF" w:rsidRPr="00A620DF">
        <w:rPr>
          <w:lang w:val="es-CL"/>
        </w:rPr>
        <w:t>d</w:t>
      </w:r>
      <w:r w:rsidRPr="00A620DF">
        <w:rPr>
          <w:lang w:val="es-CL"/>
        </w:rPr>
        <w:t xml:space="preserve">el D.L. N° 824, </w:t>
      </w:r>
      <w:r w:rsidR="00A620DF" w:rsidRPr="00A620DF">
        <w:rPr>
          <w:lang w:val="es-CL"/>
        </w:rPr>
        <w:t>d</w:t>
      </w:r>
      <w:r w:rsidRPr="00A620DF">
        <w:rPr>
          <w:lang w:val="es-CL"/>
        </w:rPr>
        <w:t>e 1974.</w:t>
      </w:r>
    </w:p>
    <w:p w14:paraId="29B0A381" w14:textId="77777777" w:rsidR="004C69DD" w:rsidRDefault="004C69DD" w:rsidP="00B11BEE">
      <w:pPr>
        <w:rPr>
          <w:lang w:val="es-CL"/>
        </w:rPr>
      </w:pPr>
      <w:r>
        <w:rPr>
          <w:lang w:val="es-CL"/>
        </w:rPr>
        <w:t>El contenido completo de estas disposiciones se encuentra en el Anexo Normativo</w:t>
      </w:r>
      <w:r w:rsidR="00A25607">
        <w:rPr>
          <w:lang w:val="es-CL"/>
        </w:rPr>
        <w:t xml:space="preserve"> que acompaña a la presente entrega</w:t>
      </w:r>
      <w:r>
        <w:rPr>
          <w:lang w:val="es-CL"/>
        </w:rPr>
        <w:t xml:space="preserve">, con excepción de la Resolución Exenta N°299, que contiene la </w:t>
      </w:r>
      <w:r w:rsidRPr="00AE0DDC">
        <w:rPr>
          <w:rFonts w:cs="Arial"/>
          <w:lang w:val="es-CL"/>
        </w:rPr>
        <w:t>Norma Técnica de Seguridad y Calidad de Servicio</w:t>
      </w:r>
      <w:r>
        <w:rPr>
          <w:rFonts w:cs="Arial"/>
          <w:lang w:val="es-CL"/>
        </w:rPr>
        <w:t>, la que no se ha incluido debido a su extensión.</w:t>
      </w:r>
      <w:r>
        <w:rPr>
          <w:lang w:val="es-CL"/>
        </w:rPr>
        <w:t xml:space="preserve"> </w:t>
      </w:r>
    </w:p>
    <w:p w14:paraId="787D652D" w14:textId="77777777" w:rsidR="00223637" w:rsidRDefault="009F5751" w:rsidP="00B11BEE">
      <w:pPr>
        <w:rPr>
          <w:lang w:val="es-CL"/>
        </w:rPr>
      </w:pPr>
      <w:r>
        <w:rPr>
          <w:lang w:val="es-CL"/>
        </w:rPr>
        <w:t>Aparte de la normativa citada</w:t>
      </w:r>
      <w:r w:rsidR="004C69DD">
        <w:rPr>
          <w:lang w:val="es-CL"/>
        </w:rPr>
        <w:t>, el cumplimiento de los objetivos del estudio requiere de</w:t>
      </w:r>
      <w:r w:rsidR="00E31176">
        <w:rPr>
          <w:lang w:val="es-CL"/>
        </w:rPr>
        <w:t>l</w:t>
      </w:r>
      <w:r w:rsidR="004C69DD">
        <w:rPr>
          <w:lang w:val="es-CL"/>
        </w:rPr>
        <w:t xml:space="preserve"> examen de otra normativa de carácter general</w:t>
      </w:r>
      <w:r w:rsidR="00E31176">
        <w:rPr>
          <w:lang w:val="es-CL"/>
        </w:rPr>
        <w:t xml:space="preserve"> como</w:t>
      </w:r>
      <w:r w:rsidR="00A25607">
        <w:rPr>
          <w:lang w:val="es-CL"/>
        </w:rPr>
        <w:t>, por ejemplo,</w:t>
      </w:r>
      <w:r w:rsidR="00E31176">
        <w:rPr>
          <w:lang w:val="es-CL"/>
        </w:rPr>
        <w:t xml:space="preserve"> el </w:t>
      </w:r>
      <w:r w:rsidR="00A25607" w:rsidRPr="00A25607">
        <w:rPr>
          <w:lang w:val="es-CL"/>
        </w:rPr>
        <w:t>DL N°824, Ley Sobre Impuesto a la Renta</w:t>
      </w:r>
      <w:r w:rsidR="00A25607">
        <w:rPr>
          <w:lang w:val="es-CL"/>
        </w:rPr>
        <w:t xml:space="preserve">. </w:t>
      </w:r>
      <w:r w:rsidR="005C317D">
        <w:rPr>
          <w:lang w:val="es-CL"/>
        </w:rPr>
        <w:t xml:space="preserve">Cuando los desarrollos </w:t>
      </w:r>
      <w:r w:rsidR="00D475CC">
        <w:rPr>
          <w:lang w:val="es-CL"/>
        </w:rPr>
        <w:t xml:space="preserve">exhibidos en </w:t>
      </w:r>
      <w:r w:rsidR="005C317D">
        <w:rPr>
          <w:lang w:val="es-CL"/>
        </w:rPr>
        <w:t xml:space="preserve">el presente estudio han requerido fundarse en normativas generales -en este cuerpo principal o en sus anexos- se ha </w:t>
      </w:r>
      <w:r w:rsidR="00A25607">
        <w:rPr>
          <w:lang w:val="es-CL"/>
        </w:rPr>
        <w:t xml:space="preserve">efectuado una adecuada </w:t>
      </w:r>
      <w:r w:rsidR="005C317D">
        <w:rPr>
          <w:lang w:val="es-CL"/>
        </w:rPr>
        <w:t xml:space="preserve">referencia a la normativa que los sustenta, lo sea citando sus disposiciones y/o presentando el </w:t>
      </w:r>
      <w:r w:rsidR="005C317D" w:rsidRPr="005C317D">
        <w:rPr>
          <w:i/>
          <w:iCs/>
          <w:lang w:val="es-CL"/>
        </w:rPr>
        <w:t>link</w:t>
      </w:r>
      <w:r w:rsidR="005C317D">
        <w:rPr>
          <w:lang w:val="es-CL"/>
        </w:rPr>
        <w:t xml:space="preserve"> co</w:t>
      </w:r>
      <w:r w:rsidR="006B4AFA">
        <w:rPr>
          <w:lang w:val="es-CL"/>
        </w:rPr>
        <w:t>rrespondiente para su acceso y</w:t>
      </w:r>
      <w:r w:rsidR="005C317D">
        <w:rPr>
          <w:lang w:val="es-CL"/>
        </w:rPr>
        <w:t xml:space="preserve"> revisión en </w:t>
      </w:r>
      <w:r w:rsidR="005C317D" w:rsidRPr="005C317D">
        <w:rPr>
          <w:i/>
          <w:iCs/>
          <w:lang w:val="es-CL"/>
        </w:rPr>
        <w:t>internet</w:t>
      </w:r>
      <w:r w:rsidR="005C317D">
        <w:rPr>
          <w:lang w:val="es-CL"/>
        </w:rPr>
        <w:t>.</w:t>
      </w:r>
    </w:p>
    <w:p w14:paraId="7D9F5CF7" w14:textId="77777777" w:rsidR="00223637" w:rsidRPr="00097472" w:rsidRDefault="00223637" w:rsidP="00B11BEE">
      <w:pPr>
        <w:rPr>
          <w:lang w:val="es-CL"/>
        </w:rPr>
      </w:pPr>
    </w:p>
    <w:p w14:paraId="65BE660A" w14:textId="77777777" w:rsidR="006E0781" w:rsidRPr="006E0781" w:rsidRDefault="006E0781" w:rsidP="006E0781">
      <w:pPr>
        <w:pStyle w:val="Ttulo1"/>
      </w:pPr>
      <w:bookmarkStart w:id="11" w:name="_Toc34687165"/>
      <w:r w:rsidRPr="006E0781">
        <w:t>DESCRIPCIÓN DEL V.A.T.T. Y REFERENCIAS GENERALES A LAS BASES</w:t>
      </w:r>
      <w:bookmarkEnd w:id="11"/>
    </w:p>
    <w:p w14:paraId="545D86A4" w14:textId="77777777" w:rsidR="00D475CC" w:rsidRDefault="00D475CC" w:rsidP="00D475CC">
      <w:pPr>
        <w:rPr>
          <w:rFonts w:cs="Arial"/>
          <w:lang w:val="es-CL"/>
        </w:rPr>
      </w:pPr>
      <w:r>
        <w:rPr>
          <w:rFonts w:cs="Arial"/>
          <w:lang w:val="es-CL"/>
        </w:rPr>
        <w:t xml:space="preserve">El </w:t>
      </w:r>
      <w:r w:rsidRPr="000D2099">
        <w:rPr>
          <w:rFonts w:cs="Arial"/>
          <w:lang w:val="es-CL"/>
        </w:rPr>
        <w:t xml:space="preserve">Estudio </w:t>
      </w:r>
      <w:r>
        <w:rPr>
          <w:rFonts w:cs="Arial"/>
          <w:lang w:val="es-CL"/>
        </w:rPr>
        <w:t>d</w:t>
      </w:r>
      <w:r w:rsidRPr="000D2099">
        <w:rPr>
          <w:rFonts w:cs="Arial"/>
          <w:lang w:val="es-CL"/>
        </w:rPr>
        <w:t xml:space="preserve">e Valorización </w:t>
      </w:r>
      <w:r>
        <w:rPr>
          <w:rFonts w:cs="Arial"/>
          <w:lang w:val="es-CL"/>
        </w:rPr>
        <w:t>d</w:t>
      </w:r>
      <w:r w:rsidRPr="000D2099">
        <w:rPr>
          <w:rFonts w:cs="Arial"/>
          <w:lang w:val="es-CL"/>
        </w:rPr>
        <w:t xml:space="preserve">e </w:t>
      </w:r>
      <w:r>
        <w:rPr>
          <w:rFonts w:cs="Arial"/>
          <w:lang w:val="es-CL"/>
        </w:rPr>
        <w:t>l</w:t>
      </w:r>
      <w:r w:rsidRPr="000D2099">
        <w:rPr>
          <w:rFonts w:cs="Arial"/>
          <w:lang w:val="es-CL"/>
        </w:rPr>
        <w:t xml:space="preserve">as Instalaciones </w:t>
      </w:r>
      <w:r>
        <w:rPr>
          <w:rFonts w:cs="Arial"/>
          <w:lang w:val="es-CL"/>
        </w:rPr>
        <w:t>d</w:t>
      </w:r>
      <w:r w:rsidRPr="000D2099">
        <w:rPr>
          <w:rFonts w:cs="Arial"/>
          <w:lang w:val="es-CL"/>
        </w:rPr>
        <w:t xml:space="preserve">el Sistema </w:t>
      </w:r>
      <w:r>
        <w:rPr>
          <w:rFonts w:cs="Arial"/>
          <w:lang w:val="es-CL"/>
        </w:rPr>
        <w:t>d</w:t>
      </w:r>
      <w:r w:rsidRPr="000D2099">
        <w:rPr>
          <w:rFonts w:cs="Arial"/>
          <w:lang w:val="es-CL"/>
        </w:rPr>
        <w:t>e Transmisión Nacional</w:t>
      </w:r>
      <w:r>
        <w:rPr>
          <w:rFonts w:cs="Arial"/>
          <w:lang w:val="es-CL"/>
        </w:rPr>
        <w:t xml:space="preserve">, debe desarrollarse de conformidad a las disposiciones legales correspondientes, y en particular conforme a lo establecido en la </w:t>
      </w:r>
      <w:r w:rsidRPr="000D2099">
        <w:rPr>
          <w:rFonts w:cs="Arial"/>
          <w:lang w:val="es-CL"/>
        </w:rPr>
        <w:t xml:space="preserve">Resolución Exenta N°380, del 20 de julio de 2017, de la Comisión Nacional de Energía, </w:t>
      </w:r>
      <w:r>
        <w:rPr>
          <w:rFonts w:cs="Arial"/>
          <w:lang w:val="es-CL"/>
        </w:rPr>
        <w:t xml:space="preserve">y en la </w:t>
      </w:r>
      <w:r w:rsidRPr="000D2099">
        <w:rPr>
          <w:rFonts w:cs="Arial"/>
          <w:lang w:val="es-CL"/>
        </w:rPr>
        <w:t>Resolución Exenta N°272 del 26 de abril de 2019, de</w:t>
      </w:r>
      <w:r>
        <w:rPr>
          <w:rFonts w:cs="Arial"/>
          <w:lang w:val="es-CL"/>
        </w:rPr>
        <w:t>l mismo</w:t>
      </w:r>
      <w:r w:rsidRPr="000D2099">
        <w:rPr>
          <w:rFonts w:cs="Arial"/>
          <w:lang w:val="es-CL"/>
        </w:rPr>
        <w:t xml:space="preserve"> </w:t>
      </w:r>
      <w:r>
        <w:rPr>
          <w:rFonts w:cs="Arial"/>
          <w:lang w:val="es-CL"/>
        </w:rPr>
        <w:t>organismo</w:t>
      </w:r>
      <w:r w:rsidRPr="000D2099">
        <w:rPr>
          <w:rFonts w:cs="Arial"/>
          <w:lang w:val="es-CL"/>
        </w:rPr>
        <w:t xml:space="preserve">, que </w:t>
      </w:r>
      <w:r>
        <w:rPr>
          <w:rFonts w:cs="Arial"/>
          <w:lang w:val="es-CL"/>
        </w:rPr>
        <w:t>a</w:t>
      </w:r>
      <w:r w:rsidRPr="000D2099">
        <w:rPr>
          <w:rFonts w:cs="Arial"/>
          <w:lang w:val="es-CL"/>
        </w:rPr>
        <w:t xml:space="preserve">prueba </w:t>
      </w:r>
      <w:r>
        <w:rPr>
          <w:rFonts w:cs="Arial"/>
          <w:lang w:val="es-CL"/>
        </w:rPr>
        <w:t>las b</w:t>
      </w:r>
      <w:r w:rsidRPr="000D2099">
        <w:rPr>
          <w:rFonts w:cs="Arial"/>
          <w:lang w:val="es-CL"/>
        </w:rPr>
        <w:t xml:space="preserve">ases </w:t>
      </w:r>
      <w:r>
        <w:rPr>
          <w:rFonts w:cs="Arial"/>
          <w:lang w:val="es-CL"/>
        </w:rPr>
        <w:t>t</w:t>
      </w:r>
      <w:r w:rsidRPr="000D2099">
        <w:rPr>
          <w:rFonts w:cs="Arial"/>
          <w:lang w:val="es-CL"/>
        </w:rPr>
        <w:t xml:space="preserve">écnicas y </w:t>
      </w:r>
      <w:r>
        <w:rPr>
          <w:rFonts w:cs="Arial"/>
          <w:lang w:val="es-CL"/>
        </w:rPr>
        <w:t>a</w:t>
      </w:r>
      <w:r w:rsidRPr="000D2099">
        <w:rPr>
          <w:rFonts w:cs="Arial"/>
          <w:lang w:val="es-CL"/>
        </w:rPr>
        <w:t xml:space="preserve">dministrativas para la </w:t>
      </w:r>
      <w:r>
        <w:rPr>
          <w:rFonts w:cs="Arial"/>
          <w:lang w:val="es-CL"/>
        </w:rPr>
        <w:t>r</w:t>
      </w:r>
      <w:r w:rsidRPr="000D2099">
        <w:rPr>
          <w:rFonts w:cs="Arial"/>
          <w:lang w:val="es-CL"/>
        </w:rPr>
        <w:t xml:space="preserve">ealización de los </w:t>
      </w:r>
      <w:r>
        <w:rPr>
          <w:rFonts w:cs="Arial"/>
          <w:lang w:val="es-CL"/>
        </w:rPr>
        <w:t>e</w:t>
      </w:r>
      <w:r w:rsidRPr="000D2099">
        <w:rPr>
          <w:rFonts w:cs="Arial"/>
          <w:lang w:val="es-CL"/>
        </w:rPr>
        <w:t xml:space="preserve">studios de </w:t>
      </w:r>
      <w:r>
        <w:rPr>
          <w:rFonts w:cs="Arial"/>
          <w:lang w:val="es-CL"/>
        </w:rPr>
        <w:t>v</w:t>
      </w:r>
      <w:r w:rsidRPr="000D2099">
        <w:rPr>
          <w:rFonts w:cs="Arial"/>
          <w:lang w:val="es-CL"/>
        </w:rPr>
        <w:t>alorización</w:t>
      </w:r>
      <w:r>
        <w:rPr>
          <w:rFonts w:cs="Arial"/>
          <w:lang w:val="es-CL"/>
        </w:rPr>
        <w:t>, las Bases.</w:t>
      </w:r>
    </w:p>
    <w:p w14:paraId="230328D5" w14:textId="77777777" w:rsidR="00D475CC" w:rsidRPr="00D475CC" w:rsidRDefault="00D475CC" w:rsidP="00D475CC">
      <w:pPr>
        <w:pStyle w:val="Ttulo2"/>
        <w:keepNext/>
        <w:keepLines/>
        <w:spacing w:before="480" w:after="360"/>
        <w:ind w:left="576" w:hanging="576"/>
        <w:rPr>
          <w:rFonts w:cs="Calibri"/>
          <w:sz w:val="24"/>
          <w:szCs w:val="24"/>
          <w:lang w:val="es-CL"/>
        </w:rPr>
      </w:pPr>
      <w:bookmarkStart w:id="12" w:name="_Toc11152184"/>
      <w:bookmarkStart w:id="13" w:name="_Toc34687166"/>
      <w:r w:rsidRPr="00D475CC">
        <w:rPr>
          <w:rFonts w:cs="Calibri"/>
          <w:sz w:val="24"/>
          <w:szCs w:val="24"/>
          <w:lang w:val="es-CL"/>
        </w:rPr>
        <w:t>Determinación del V.A.T.T.</w:t>
      </w:r>
      <w:bookmarkEnd w:id="12"/>
      <w:bookmarkEnd w:id="13"/>
    </w:p>
    <w:p w14:paraId="4B423265" w14:textId="77777777" w:rsidR="00D475CC" w:rsidRDefault="00D475CC" w:rsidP="00D475CC">
      <w:pPr>
        <w:rPr>
          <w:rFonts w:cs="Arial"/>
          <w:lang w:val="es-CL"/>
        </w:rPr>
      </w:pPr>
      <w:r>
        <w:rPr>
          <w:rFonts w:cs="Arial"/>
          <w:lang w:val="es-CL"/>
        </w:rPr>
        <w:t>Las Bases exponen con detalle los criterios y metodologías para la determinación del V.A.T.T. conforme a los conceptos establecidos en la Ley General de Servicios Eléctriocos (LGSE) y en la Resolución Exenta N°380, añadiendo las precisiones correspondientes.</w:t>
      </w:r>
    </w:p>
    <w:p w14:paraId="45941D50" w14:textId="77777777" w:rsidR="00D475CC" w:rsidRPr="000D2099" w:rsidRDefault="00D475CC" w:rsidP="00D475CC">
      <w:pPr>
        <w:rPr>
          <w:rFonts w:cs="Arial"/>
          <w:lang w:val="es-CL"/>
        </w:rPr>
      </w:pPr>
      <w:r>
        <w:rPr>
          <w:rFonts w:cs="Arial"/>
          <w:lang w:val="es-CL"/>
        </w:rPr>
        <w:t>Así, éstas señalan que s</w:t>
      </w:r>
      <w:r w:rsidRPr="000D2099">
        <w:rPr>
          <w:rFonts w:cs="Arial"/>
          <w:lang w:val="es-CL"/>
        </w:rPr>
        <w:t>e entenderá por Valor Anual de la Transmisión por Tramo, o V.A.T.T. a la suma de la Anualidad del Valor de Inversión del tramo en estudio (A.V.I.), más los costos anuales de operación, mantenimiento y administración del tramo respectivo (C.O.M.A.), ajustados por los efectos de impuestos a la renta</w:t>
      </w:r>
      <w:r w:rsidRPr="007F3EA7">
        <w:rPr>
          <w:rFonts w:cs="Arial"/>
          <w:vertAlign w:val="superscript"/>
          <w:lang w:val="es-CL"/>
        </w:rPr>
        <w:footnoteReference w:id="7"/>
      </w:r>
      <w:r w:rsidRPr="000D2099">
        <w:rPr>
          <w:rFonts w:cs="Arial"/>
          <w:lang w:val="es-CL"/>
        </w:rPr>
        <w:t>.</w:t>
      </w:r>
    </w:p>
    <w:p w14:paraId="5E3570FC" w14:textId="77777777" w:rsidR="00D475CC" w:rsidRPr="000D2099" w:rsidRDefault="00D475CC" w:rsidP="00D475CC">
      <w:pPr>
        <w:rPr>
          <w:rFonts w:cs="Arial"/>
          <w:lang w:val="es-CL"/>
        </w:rPr>
      </w:pPr>
      <w:r>
        <w:rPr>
          <w:rFonts w:cs="Arial"/>
          <w:lang w:val="es-CL"/>
        </w:rPr>
        <w:t>Conforme las Bases lo señalan, e</w:t>
      </w:r>
      <w:r w:rsidRPr="000D2099">
        <w:rPr>
          <w:rFonts w:cs="Arial"/>
          <w:lang w:val="es-CL"/>
        </w:rPr>
        <w:t>l V.A.T.T. de cada tramo estará compuesto por un conjunto mínimo de instalaciones económicamente identificables, calculado en función de sus características físicas y técnicas valoradas a los precios de mercado vigentes en base a una política de adquisición eficiente, operadas, mantenidas y administradas por una empresa eficiente que opera las instalaciones bajo criterios de eficiencia cumpliendo con la normativa vigente</w:t>
      </w:r>
      <w:r w:rsidRPr="000F77E2">
        <w:rPr>
          <w:rFonts w:cs="Arial"/>
          <w:vertAlign w:val="superscript"/>
          <w:lang w:val="es-CL"/>
        </w:rPr>
        <w:footnoteReference w:id="8"/>
      </w:r>
      <w:r w:rsidRPr="000D2099">
        <w:rPr>
          <w:rFonts w:cs="Arial"/>
          <w:lang w:val="es-CL"/>
        </w:rPr>
        <w:t xml:space="preserve">. </w:t>
      </w:r>
    </w:p>
    <w:p w14:paraId="433C551B" w14:textId="77777777" w:rsidR="00D475CC" w:rsidRPr="000D2099" w:rsidRDefault="00D475CC" w:rsidP="00D475CC">
      <w:pPr>
        <w:rPr>
          <w:rFonts w:cs="Arial"/>
          <w:lang w:val="es-CL"/>
        </w:rPr>
      </w:pPr>
      <w:r>
        <w:rPr>
          <w:rFonts w:cs="Arial"/>
          <w:lang w:val="es-CL"/>
        </w:rPr>
        <w:t>Las Bases señalan que e</w:t>
      </w:r>
      <w:r w:rsidRPr="000D2099">
        <w:rPr>
          <w:rFonts w:cs="Arial"/>
          <w:lang w:val="es-CL"/>
        </w:rPr>
        <w:t>l conjunto mínimo de instalaciones económicamente identificables de cada tramo del sistema de transmisión a valorizar estará agrupado de acuerdo a la siguiente categorización</w:t>
      </w:r>
      <w:r w:rsidRPr="000F77E2">
        <w:rPr>
          <w:rFonts w:cs="Arial"/>
          <w:vertAlign w:val="superscript"/>
          <w:lang w:val="es-CL"/>
        </w:rPr>
        <w:footnoteReference w:id="9"/>
      </w:r>
      <w:r w:rsidRPr="000D2099">
        <w:rPr>
          <w:rFonts w:cs="Arial"/>
          <w:lang w:val="es-CL"/>
        </w:rPr>
        <w:t>:</w:t>
      </w:r>
    </w:p>
    <w:p w14:paraId="7C99B350"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Derechos relacionados con el uso de suelo y medio ambiente;</w:t>
      </w:r>
    </w:p>
    <w:p w14:paraId="2F810158"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Obras civiles;</w:t>
      </w:r>
    </w:p>
    <w:p w14:paraId="031D5B6C"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Estructuras de líneas y/o subestaciones;</w:t>
      </w:r>
    </w:p>
    <w:p w14:paraId="1848F888"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Elementos de sujeción y aislación;</w:t>
      </w:r>
    </w:p>
    <w:p w14:paraId="42733906"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Equipamiento electromecánico y electromagnético;</w:t>
      </w:r>
    </w:p>
    <w:p w14:paraId="595F6DD3"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Conductores y cable de guardia;</w:t>
      </w:r>
    </w:p>
    <w:p w14:paraId="3D051EE7"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Protecciones electromecánicas o electromagnéticas;</w:t>
      </w:r>
    </w:p>
    <w:p w14:paraId="087F694D"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Protecciones digitales;</w:t>
      </w:r>
    </w:p>
    <w:p w14:paraId="1AF7593C"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Equipos de control, telecomando, medición y comunicaciones;</w:t>
      </w:r>
    </w:p>
    <w:p w14:paraId="1E27175C"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Otros elementos secundarios de subestación o radioestaciones;</w:t>
      </w:r>
    </w:p>
    <w:p w14:paraId="5CB7DF9D"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Bienes inmuebles distintos a los terrenos;</w:t>
      </w:r>
    </w:p>
    <w:p w14:paraId="150A76E9"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Equipamiento de operación y mantenimiento no fungible;</w:t>
      </w:r>
    </w:p>
    <w:p w14:paraId="4D807933"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Equipamiento de oficina no fungible;</w:t>
      </w:r>
    </w:p>
    <w:p w14:paraId="54B667FA"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Equipamiento computacional; y</w:t>
      </w:r>
    </w:p>
    <w:p w14:paraId="74BFC27A" w14:textId="77777777" w:rsidR="00D475CC" w:rsidRPr="000D2099" w:rsidRDefault="00D475CC" w:rsidP="002E20CA">
      <w:pPr>
        <w:pStyle w:val="Prrafodelista1"/>
        <w:numPr>
          <w:ilvl w:val="0"/>
          <w:numId w:val="8"/>
        </w:numPr>
        <w:spacing w:after="160" w:line="259" w:lineRule="auto"/>
        <w:jc w:val="left"/>
        <w:rPr>
          <w:rFonts w:cs="Arial"/>
          <w:lang w:val="es-CL"/>
        </w:rPr>
      </w:pPr>
      <w:r w:rsidRPr="000D2099">
        <w:rPr>
          <w:rFonts w:cs="Arial"/>
          <w:lang w:val="es-CL"/>
        </w:rPr>
        <w:t>Vehículos. </w:t>
      </w:r>
    </w:p>
    <w:p w14:paraId="7B94A84B" w14:textId="77777777" w:rsidR="00D475CC" w:rsidRPr="000D2099" w:rsidRDefault="00D475CC" w:rsidP="00D475CC">
      <w:pPr>
        <w:rPr>
          <w:rFonts w:cs="Arial"/>
          <w:lang w:val="es-CL"/>
        </w:rPr>
      </w:pPr>
      <w:r>
        <w:rPr>
          <w:rFonts w:cs="Arial"/>
          <w:lang w:val="es-CL"/>
        </w:rPr>
        <w:t>Por su parte, y r</w:t>
      </w:r>
      <w:r w:rsidRPr="000D2099">
        <w:rPr>
          <w:rFonts w:cs="Arial"/>
          <w:lang w:val="es-CL"/>
        </w:rPr>
        <w:t xml:space="preserve">especto a los costos de operación, mantención y administración (C.O.M.A.), </w:t>
      </w:r>
      <w:r>
        <w:rPr>
          <w:rFonts w:cs="Arial"/>
          <w:lang w:val="es-CL"/>
        </w:rPr>
        <w:t>las Bases indican</w:t>
      </w:r>
      <w:r w:rsidRPr="000D2099">
        <w:rPr>
          <w:rFonts w:cs="Arial"/>
          <w:lang w:val="es-CL"/>
        </w:rPr>
        <w:t xml:space="preserve"> </w:t>
      </w:r>
      <w:r>
        <w:rPr>
          <w:rFonts w:cs="Arial"/>
          <w:lang w:val="es-CL"/>
        </w:rPr>
        <w:t xml:space="preserve">que </w:t>
      </w:r>
      <w:r w:rsidRPr="000D2099">
        <w:rPr>
          <w:rFonts w:cs="Arial"/>
          <w:lang w:val="es-CL"/>
        </w:rPr>
        <w:t xml:space="preserve">estos valores </w:t>
      </w:r>
      <w:r>
        <w:rPr>
          <w:rFonts w:cs="Arial"/>
          <w:lang w:val="es-CL"/>
        </w:rPr>
        <w:t>s</w:t>
      </w:r>
      <w:r w:rsidRPr="000D2099">
        <w:rPr>
          <w:rFonts w:cs="Arial"/>
          <w:lang w:val="es-CL"/>
        </w:rPr>
        <w:t>e establecerán para cada segmento de los sistemas de transmisión señalados en el artículo 100° de la L</w:t>
      </w:r>
      <w:r>
        <w:rPr>
          <w:rFonts w:cs="Arial"/>
          <w:lang w:val="es-CL"/>
        </w:rPr>
        <w:t>GSE</w:t>
      </w:r>
      <w:r w:rsidRPr="000D2099">
        <w:rPr>
          <w:rFonts w:cs="Arial"/>
          <w:lang w:val="es-CL"/>
        </w:rPr>
        <w:t xml:space="preserve"> y para cada sistema de transmisión zonal, conforme a las consideraciones y metodologías que </w:t>
      </w:r>
      <w:r>
        <w:rPr>
          <w:rFonts w:cs="Arial"/>
          <w:lang w:val="es-CL"/>
        </w:rPr>
        <w:t>ellas mismas</w:t>
      </w:r>
      <w:r w:rsidRPr="000D2099">
        <w:rPr>
          <w:rFonts w:cs="Arial"/>
          <w:lang w:val="es-CL"/>
        </w:rPr>
        <w:t xml:space="preserve"> establecen</w:t>
      </w:r>
      <w:r w:rsidRPr="000F77E2">
        <w:rPr>
          <w:rFonts w:cs="Arial"/>
          <w:vertAlign w:val="superscript"/>
          <w:lang w:val="es-CL"/>
        </w:rPr>
        <w:footnoteReference w:id="10"/>
      </w:r>
      <w:r w:rsidRPr="000D2099">
        <w:rPr>
          <w:rFonts w:cs="Arial"/>
          <w:lang w:val="es-CL"/>
        </w:rPr>
        <w:t>.</w:t>
      </w:r>
    </w:p>
    <w:p w14:paraId="11094DB2" w14:textId="77777777" w:rsidR="00D475CC" w:rsidRPr="000D2099" w:rsidRDefault="00D475CC" w:rsidP="00D475CC">
      <w:pPr>
        <w:rPr>
          <w:rFonts w:cs="Arial"/>
          <w:lang w:val="es-CL"/>
        </w:rPr>
      </w:pPr>
      <w:r>
        <w:rPr>
          <w:rFonts w:cs="Arial"/>
          <w:lang w:val="es-CL"/>
        </w:rPr>
        <w:t>En relación a l</w:t>
      </w:r>
      <w:r w:rsidRPr="000D2099">
        <w:rPr>
          <w:rFonts w:cs="Arial"/>
          <w:lang w:val="es-CL"/>
        </w:rPr>
        <w:t>os costos anuales de inversión</w:t>
      </w:r>
      <w:r>
        <w:rPr>
          <w:rFonts w:cs="Arial"/>
          <w:lang w:val="es-CL"/>
        </w:rPr>
        <w:t>, las Bases establecen que los mismos</w:t>
      </w:r>
      <w:r w:rsidRPr="000D2099">
        <w:rPr>
          <w:rFonts w:cs="Arial"/>
          <w:lang w:val="es-CL"/>
        </w:rPr>
        <w:t xml:space="preserve"> se determinarán como la suma de las anualidades de inversión de cada instalación e infraestructura que conforman el V</w:t>
      </w:r>
      <w:r>
        <w:rPr>
          <w:rFonts w:cs="Arial"/>
          <w:lang w:val="es-CL"/>
        </w:rPr>
        <w:t>.</w:t>
      </w:r>
      <w:r w:rsidRPr="000D2099">
        <w:rPr>
          <w:rFonts w:cs="Arial"/>
          <w:lang w:val="es-CL"/>
        </w:rPr>
        <w:t>I</w:t>
      </w:r>
      <w:r>
        <w:rPr>
          <w:rFonts w:cs="Arial"/>
          <w:lang w:val="es-CL"/>
        </w:rPr>
        <w:t>.</w:t>
      </w:r>
      <w:r w:rsidRPr="000D2099">
        <w:rPr>
          <w:rFonts w:cs="Arial"/>
          <w:lang w:val="es-CL"/>
        </w:rPr>
        <w:t xml:space="preserve"> del sistema de transmisión. Para su determinación </w:t>
      </w:r>
      <w:r>
        <w:rPr>
          <w:rFonts w:cs="Arial"/>
          <w:lang w:val="es-CL"/>
        </w:rPr>
        <w:t>debe utilizarse</w:t>
      </w:r>
      <w:r w:rsidRPr="000D2099">
        <w:rPr>
          <w:rFonts w:cs="Arial"/>
          <w:lang w:val="es-CL"/>
        </w:rPr>
        <w:t xml:space="preserve"> la tasa de descuento determinada de acuerdo a lo establecido en el artículo 119° de la L</w:t>
      </w:r>
      <w:r>
        <w:rPr>
          <w:rFonts w:cs="Arial"/>
          <w:lang w:val="es-CL"/>
        </w:rPr>
        <w:t>GSE</w:t>
      </w:r>
      <w:r w:rsidRPr="000D2099">
        <w:rPr>
          <w:rFonts w:cs="Arial"/>
          <w:lang w:val="es-CL"/>
        </w:rPr>
        <w:t>, y las respectivas vidas útiles, establecidas en años, de las componentes de inversión, conforme se estable</w:t>
      </w:r>
      <w:r>
        <w:rPr>
          <w:rFonts w:cs="Arial"/>
          <w:lang w:val="es-CL"/>
        </w:rPr>
        <w:t>ce</w:t>
      </w:r>
      <w:r w:rsidRPr="000D2099">
        <w:rPr>
          <w:rFonts w:cs="Arial"/>
          <w:lang w:val="es-CL"/>
        </w:rPr>
        <w:t xml:space="preserve"> en el Informe Técnico Definitivo de Vida Útil de las instalaciones establecido en el artículo 104° de la Ley</w:t>
      </w:r>
      <w:r w:rsidRPr="000F77E2">
        <w:rPr>
          <w:rFonts w:cs="Arial"/>
          <w:vertAlign w:val="superscript"/>
          <w:lang w:val="es-CL"/>
        </w:rPr>
        <w:footnoteReference w:id="11"/>
      </w:r>
      <w:r w:rsidRPr="000D2099">
        <w:rPr>
          <w:rFonts w:cs="Arial"/>
          <w:lang w:val="es-CL"/>
        </w:rPr>
        <w:t xml:space="preserve">. </w:t>
      </w:r>
    </w:p>
    <w:p w14:paraId="2CF6504D" w14:textId="77777777" w:rsidR="00D475CC" w:rsidRPr="000D2099" w:rsidRDefault="00D475CC" w:rsidP="00D475CC">
      <w:pPr>
        <w:rPr>
          <w:rFonts w:cs="Arial"/>
          <w:lang w:val="es-CL"/>
        </w:rPr>
      </w:pPr>
      <w:r w:rsidRPr="000D2099">
        <w:rPr>
          <w:rFonts w:cs="Arial"/>
          <w:lang w:val="es-CL"/>
        </w:rPr>
        <w:t xml:space="preserve">Para efectos de los </w:t>
      </w:r>
      <w:r>
        <w:rPr>
          <w:rFonts w:cs="Arial"/>
          <w:lang w:val="es-CL"/>
        </w:rPr>
        <w:t>e</w:t>
      </w:r>
      <w:r w:rsidRPr="000D2099">
        <w:rPr>
          <w:rFonts w:cs="Arial"/>
          <w:lang w:val="es-CL"/>
        </w:rPr>
        <w:t xml:space="preserve">studios, </w:t>
      </w:r>
      <w:r>
        <w:rPr>
          <w:rFonts w:cs="Arial"/>
          <w:lang w:val="es-CL"/>
        </w:rPr>
        <w:t xml:space="preserve">las Bases </w:t>
      </w:r>
      <w:r w:rsidRPr="000D2099">
        <w:rPr>
          <w:rFonts w:cs="Arial"/>
          <w:lang w:val="es-CL"/>
        </w:rPr>
        <w:t>define</w:t>
      </w:r>
      <w:r>
        <w:rPr>
          <w:rFonts w:cs="Arial"/>
          <w:lang w:val="es-CL"/>
        </w:rPr>
        <w:t>n</w:t>
      </w:r>
      <w:r w:rsidRPr="000D2099">
        <w:rPr>
          <w:rFonts w:cs="Arial"/>
          <w:lang w:val="es-CL"/>
        </w:rPr>
        <w:t xml:space="preserve"> el V.I. como la suma de los costos de adquisición e instalación eficientes de sus componentes y equipos, de acuerdo con valores de mercado, incluyendo fletes, bodegaje, montaje, ingeniería, gastos generales, intereses intercalarios, los derechos relacionados con el uso del suelo y medio ambiente, los bienes intangibles y el capital de explotación</w:t>
      </w:r>
      <w:r w:rsidRPr="00D4470A">
        <w:rPr>
          <w:rFonts w:cs="Arial"/>
          <w:vertAlign w:val="superscript"/>
          <w:lang w:val="es-CL"/>
        </w:rPr>
        <w:footnoteReference w:id="12"/>
      </w:r>
      <w:r w:rsidRPr="000D2099">
        <w:rPr>
          <w:rFonts w:cs="Arial"/>
          <w:lang w:val="es-CL"/>
        </w:rPr>
        <w:t>.</w:t>
      </w:r>
    </w:p>
    <w:p w14:paraId="00735B04" w14:textId="77777777" w:rsidR="00D475CC" w:rsidRPr="00472D56" w:rsidRDefault="00D475CC" w:rsidP="00D475CC">
      <w:pPr>
        <w:pStyle w:val="Ttulo2"/>
        <w:keepNext/>
        <w:keepLines/>
        <w:spacing w:before="480" w:after="360"/>
        <w:ind w:left="576" w:hanging="576"/>
        <w:rPr>
          <w:rFonts w:cs="Calibri"/>
          <w:sz w:val="24"/>
          <w:szCs w:val="24"/>
          <w:lang w:val="es-CL"/>
        </w:rPr>
      </w:pPr>
      <w:bookmarkStart w:id="14" w:name="_Toc11152185"/>
      <w:bookmarkStart w:id="15" w:name="_Toc34687167"/>
      <w:r w:rsidRPr="00472D56">
        <w:rPr>
          <w:rFonts w:cs="Calibri"/>
          <w:sz w:val="24"/>
          <w:szCs w:val="24"/>
          <w:lang w:val="es-CL"/>
        </w:rPr>
        <w:t>Moneda, Nivel de Precios y Año Base</w:t>
      </w:r>
      <w:bookmarkEnd w:id="14"/>
      <w:bookmarkEnd w:id="15"/>
    </w:p>
    <w:p w14:paraId="64774F0A" w14:textId="77777777" w:rsidR="00D475CC" w:rsidRPr="000D2099" w:rsidRDefault="00D475CC" w:rsidP="00D475CC">
      <w:pPr>
        <w:rPr>
          <w:rFonts w:cs="Arial"/>
          <w:lang w:val="es-CL"/>
        </w:rPr>
      </w:pPr>
      <w:r>
        <w:rPr>
          <w:rFonts w:cs="Arial"/>
          <w:lang w:val="es-CL"/>
        </w:rPr>
        <w:t>Las Bases establecen que t</w:t>
      </w:r>
      <w:r w:rsidRPr="000D2099">
        <w:rPr>
          <w:rFonts w:cs="Arial"/>
          <w:lang w:val="es-CL"/>
        </w:rPr>
        <w:t xml:space="preserve">odos los costos y precios relacionados con los </w:t>
      </w:r>
      <w:r>
        <w:rPr>
          <w:rFonts w:cs="Arial"/>
          <w:lang w:val="es-CL"/>
        </w:rPr>
        <w:t>estudios de valorización</w:t>
      </w:r>
      <w:r w:rsidRPr="000D2099">
        <w:rPr>
          <w:rFonts w:cs="Arial"/>
          <w:lang w:val="es-CL"/>
        </w:rPr>
        <w:t xml:space="preserve">, utilizados tanto en los resultados finales como en las etapas intermedias, deberán expresarse en dólares de Estados Unidos de América. Particularmente para referir los valores de componentes nacionales, originalmente expresados en pesos, </w:t>
      </w:r>
      <w:r>
        <w:rPr>
          <w:rFonts w:cs="Arial"/>
          <w:lang w:val="es-CL"/>
        </w:rPr>
        <w:t xml:space="preserve">las Bases indican que </w:t>
      </w:r>
      <w:r w:rsidRPr="000D2099">
        <w:rPr>
          <w:rFonts w:cs="Arial"/>
          <w:lang w:val="es-CL"/>
        </w:rPr>
        <w:t xml:space="preserve">se deberá considerar su valor al 31 de diciembre de 2017 y posteriormente su equivalencia en dólares, utilizando para ello el valor promedio mensual del dólar observado publicado por el Banco Central para el mes de diciembre de 2017. Por su parte, para referir los valores de componentes en otras monedas, </w:t>
      </w:r>
      <w:r>
        <w:rPr>
          <w:rFonts w:cs="Arial"/>
          <w:lang w:val="es-CL"/>
        </w:rPr>
        <w:t xml:space="preserve">las Bases señalan que </w:t>
      </w:r>
      <w:r w:rsidRPr="000D2099">
        <w:rPr>
          <w:rFonts w:cs="Arial"/>
          <w:lang w:val="es-CL"/>
        </w:rPr>
        <w:t>se deberá considerar su valor al 31 de diciembre de 2017 y posteriormente su equivalencia en dólares, utilizando la tasa de cambio promedio para el mes de diciembre de 2017 correspondiente</w:t>
      </w:r>
      <w:r w:rsidRPr="00F942CE">
        <w:rPr>
          <w:rFonts w:cs="Arial"/>
          <w:vertAlign w:val="superscript"/>
          <w:lang w:val="es-CL"/>
        </w:rPr>
        <w:footnoteReference w:id="13"/>
      </w:r>
      <w:r w:rsidRPr="000D2099">
        <w:rPr>
          <w:rFonts w:cs="Arial"/>
          <w:lang w:val="es-CL"/>
        </w:rPr>
        <w:t>.</w:t>
      </w:r>
    </w:p>
    <w:p w14:paraId="50202161" w14:textId="77777777" w:rsidR="00D475CC" w:rsidRPr="000D2099" w:rsidRDefault="00D475CC" w:rsidP="00D475CC">
      <w:pPr>
        <w:rPr>
          <w:rFonts w:cs="Arial"/>
          <w:lang w:val="es-CL"/>
        </w:rPr>
      </w:pPr>
      <w:r>
        <w:rPr>
          <w:rFonts w:cs="Arial"/>
          <w:lang w:val="es-CL"/>
        </w:rPr>
        <w:t>Respecto a l</w:t>
      </w:r>
      <w:r w:rsidRPr="000D2099">
        <w:rPr>
          <w:rFonts w:cs="Arial"/>
          <w:lang w:val="es-CL"/>
        </w:rPr>
        <w:t>as componentes del V.A.T.T. de cada tramo</w:t>
      </w:r>
      <w:r>
        <w:rPr>
          <w:rFonts w:cs="Arial"/>
          <w:lang w:val="es-CL"/>
        </w:rPr>
        <w:t>, las Bases indican que éstos</w:t>
      </w:r>
      <w:r w:rsidRPr="000D2099">
        <w:rPr>
          <w:rFonts w:cs="Arial"/>
          <w:lang w:val="es-CL"/>
        </w:rPr>
        <w:t xml:space="preserve"> se establecerán conforme al valor actualizado de los costos anuales de inversión, operación, mantención y administración para el año base de los </w:t>
      </w:r>
      <w:r>
        <w:rPr>
          <w:rFonts w:cs="Arial"/>
          <w:lang w:val="es-CL"/>
        </w:rPr>
        <w:t>e</w:t>
      </w:r>
      <w:r w:rsidRPr="000D2099">
        <w:rPr>
          <w:rFonts w:cs="Arial"/>
          <w:lang w:val="es-CL"/>
        </w:rPr>
        <w:t>studios, entendiéndose por este el año 2017</w:t>
      </w:r>
      <w:r>
        <w:rPr>
          <w:rFonts w:cs="Arial"/>
          <w:lang w:val="es-CL"/>
        </w:rPr>
        <w:t>, y que</w:t>
      </w:r>
      <w:r w:rsidRPr="000D2099">
        <w:rPr>
          <w:rFonts w:cs="Arial"/>
          <w:lang w:val="es-CL"/>
        </w:rPr>
        <w:t xml:space="preserve"> </w:t>
      </w:r>
      <w:r>
        <w:rPr>
          <w:rFonts w:cs="Arial"/>
          <w:lang w:val="es-CL"/>
        </w:rPr>
        <w:t>p</w:t>
      </w:r>
      <w:r w:rsidRPr="000D2099">
        <w:rPr>
          <w:rFonts w:cs="Arial"/>
          <w:lang w:val="es-CL"/>
        </w:rPr>
        <w:t xml:space="preserve">ara efectos del desarrollo de los </w:t>
      </w:r>
      <w:r>
        <w:rPr>
          <w:rFonts w:cs="Arial"/>
          <w:lang w:val="es-CL"/>
        </w:rPr>
        <w:t>estudios</w:t>
      </w:r>
      <w:r w:rsidRPr="000D2099">
        <w:rPr>
          <w:rFonts w:cs="Arial"/>
          <w:lang w:val="es-CL"/>
        </w:rPr>
        <w:t xml:space="preserve"> se considerarán las instalaciones de transmisión puestas en servicio hasta el 31 de diciembre de 2017</w:t>
      </w:r>
      <w:r w:rsidRPr="00CB58CF">
        <w:rPr>
          <w:rFonts w:cs="Arial"/>
          <w:vertAlign w:val="superscript"/>
          <w:lang w:val="es-CL"/>
        </w:rPr>
        <w:footnoteReference w:id="14"/>
      </w:r>
      <w:r>
        <w:rPr>
          <w:rFonts w:cs="Arial"/>
          <w:lang w:val="es-CL"/>
        </w:rPr>
        <w:t>.</w:t>
      </w:r>
    </w:p>
    <w:p w14:paraId="7BAD5702" w14:textId="77777777" w:rsidR="00D475CC" w:rsidRDefault="00D475CC" w:rsidP="00D475CC">
      <w:pPr>
        <w:rPr>
          <w:rFonts w:cs="Arial"/>
          <w:lang w:val="es-CL"/>
        </w:rPr>
      </w:pPr>
      <w:r>
        <w:rPr>
          <w:rFonts w:cs="Arial"/>
          <w:lang w:val="es-CL"/>
        </w:rPr>
        <w:t>Finalmente, las Bases precisan que l</w:t>
      </w:r>
      <w:r w:rsidRPr="000D2099">
        <w:rPr>
          <w:rFonts w:cs="Arial"/>
          <w:lang w:val="es-CL"/>
        </w:rPr>
        <w:t>os cálculos no debe</w:t>
      </w:r>
      <w:r>
        <w:rPr>
          <w:rFonts w:cs="Arial"/>
          <w:lang w:val="es-CL"/>
        </w:rPr>
        <w:t>n</w:t>
      </w:r>
      <w:r w:rsidRPr="000D2099">
        <w:rPr>
          <w:rFonts w:cs="Arial"/>
          <w:lang w:val="es-CL"/>
        </w:rPr>
        <w:t xml:space="preserve"> incluir el Impuesto al Valor Agregado (IVA)</w:t>
      </w:r>
      <w:r w:rsidRPr="00F942CE">
        <w:rPr>
          <w:rFonts w:cs="Arial"/>
          <w:vertAlign w:val="superscript"/>
          <w:lang w:val="es-CL"/>
        </w:rPr>
        <w:footnoteReference w:id="15"/>
      </w:r>
      <w:r w:rsidRPr="000D2099">
        <w:rPr>
          <w:rFonts w:cs="Arial"/>
          <w:lang w:val="es-CL"/>
        </w:rPr>
        <w:t>.</w:t>
      </w:r>
    </w:p>
    <w:p w14:paraId="43EFE096" w14:textId="77777777" w:rsidR="00D475CC" w:rsidRPr="000D2099" w:rsidRDefault="00D475CC" w:rsidP="00D475CC">
      <w:pPr>
        <w:rPr>
          <w:rFonts w:cs="Arial"/>
          <w:lang w:val="es-CL"/>
        </w:rPr>
      </w:pPr>
      <w:r>
        <w:rPr>
          <w:rFonts w:cs="Arial"/>
          <w:lang w:val="es-CL"/>
        </w:rPr>
        <w:t>En los puntos que siguen se describe la metodología</w:t>
      </w:r>
      <w:r w:rsidR="00961FBA">
        <w:rPr>
          <w:rFonts w:cs="Arial"/>
          <w:lang w:val="es-CL"/>
        </w:rPr>
        <w:t>,</w:t>
      </w:r>
      <w:r>
        <w:rPr>
          <w:rFonts w:cs="Arial"/>
          <w:lang w:val="es-CL"/>
        </w:rPr>
        <w:t xml:space="preserve"> criterios </w:t>
      </w:r>
      <w:r w:rsidR="00961FBA">
        <w:rPr>
          <w:rFonts w:cs="Arial"/>
          <w:lang w:val="es-CL"/>
        </w:rPr>
        <w:t xml:space="preserve">y resultados preliminares </w:t>
      </w:r>
      <w:r>
        <w:rPr>
          <w:rFonts w:cs="Arial"/>
          <w:lang w:val="es-CL"/>
        </w:rPr>
        <w:t>de</w:t>
      </w:r>
      <w:r w:rsidR="00961FBA">
        <w:rPr>
          <w:rFonts w:cs="Arial"/>
          <w:lang w:val="es-CL"/>
        </w:rPr>
        <w:t>l</w:t>
      </w:r>
      <w:r>
        <w:rPr>
          <w:rFonts w:cs="Arial"/>
          <w:lang w:val="es-CL"/>
        </w:rPr>
        <w:t xml:space="preserve"> trabajo </w:t>
      </w:r>
      <w:r w:rsidR="00961FBA">
        <w:rPr>
          <w:rFonts w:cs="Arial"/>
          <w:lang w:val="es-CL"/>
        </w:rPr>
        <w:t>desarrollados y obtenidos</w:t>
      </w:r>
      <w:r>
        <w:rPr>
          <w:rFonts w:cs="Arial"/>
          <w:lang w:val="es-CL"/>
        </w:rPr>
        <w:t xml:space="preserve"> </w:t>
      </w:r>
      <w:r w:rsidR="00961FBA">
        <w:rPr>
          <w:rFonts w:cs="Arial"/>
          <w:lang w:val="es-CL"/>
        </w:rPr>
        <w:t xml:space="preserve">por el Consultor para </w:t>
      </w:r>
      <w:r>
        <w:rPr>
          <w:rFonts w:cs="Arial"/>
          <w:lang w:val="es-CL"/>
        </w:rPr>
        <w:t xml:space="preserve">el </w:t>
      </w:r>
      <w:r w:rsidRPr="00E0375F">
        <w:rPr>
          <w:rFonts w:cs="Arial"/>
          <w:lang w:val="es-CL"/>
        </w:rPr>
        <w:t xml:space="preserve">Estudio </w:t>
      </w:r>
      <w:r>
        <w:rPr>
          <w:rFonts w:cs="Arial"/>
          <w:lang w:val="es-CL"/>
        </w:rPr>
        <w:t>d</w:t>
      </w:r>
      <w:r w:rsidRPr="00E0375F">
        <w:rPr>
          <w:rFonts w:cs="Arial"/>
          <w:lang w:val="es-CL"/>
        </w:rPr>
        <w:t xml:space="preserve">e Valorización </w:t>
      </w:r>
      <w:r>
        <w:rPr>
          <w:rFonts w:cs="Arial"/>
          <w:lang w:val="es-CL"/>
        </w:rPr>
        <w:t>d</w:t>
      </w:r>
      <w:r w:rsidRPr="00E0375F">
        <w:rPr>
          <w:rFonts w:cs="Arial"/>
          <w:lang w:val="es-CL"/>
        </w:rPr>
        <w:t xml:space="preserve">e </w:t>
      </w:r>
      <w:r>
        <w:rPr>
          <w:rFonts w:cs="Arial"/>
          <w:lang w:val="es-CL"/>
        </w:rPr>
        <w:t>l</w:t>
      </w:r>
      <w:r w:rsidRPr="00E0375F">
        <w:rPr>
          <w:rFonts w:cs="Arial"/>
          <w:lang w:val="es-CL"/>
        </w:rPr>
        <w:t xml:space="preserve">as </w:t>
      </w:r>
      <w:r>
        <w:rPr>
          <w:rFonts w:cs="Arial"/>
          <w:lang w:val="es-CL"/>
        </w:rPr>
        <w:t>I</w:t>
      </w:r>
      <w:r w:rsidRPr="00E0375F">
        <w:rPr>
          <w:rFonts w:cs="Arial"/>
          <w:lang w:val="es-CL"/>
        </w:rPr>
        <w:t xml:space="preserve">nstalaciones </w:t>
      </w:r>
      <w:r>
        <w:rPr>
          <w:rFonts w:cs="Arial"/>
          <w:lang w:val="es-CL"/>
        </w:rPr>
        <w:t>d</w:t>
      </w:r>
      <w:r w:rsidRPr="00E0375F">
        <w:rPr>
          <w:rFonts w:cs="Arial"/>
          <w:lang w:val="es-CL"/>
        </w:rPr>
        <w:t xml:space="preserve">el Sistema </w:t>
      </w:r>
      <w:r>
        <w:rPr>
          <w:rFonts w:cs="Arial"/>
          <w:lang w:val="es-CL"/>
        </w:rPr>
        <w:t>d</w:t>
      </w:r>
      <w:r w:rsidRPr="00E0375F">
        <w:rPr>
          <w:rFonts w:cs="Arial"/>
          <w:lang w:val="es-CL"/>
        </w:rPr>
        <w:t>e Transmisión Nacional</w:t>
      </w:r>
      <w:r>
        <w:rPr>
          <w:rFonts w:cs="Arial"/>
          <w:lang w:val="es-CL"/>
        </w:rPr>
        <w:t>, los que se han concebido para cumplir a cabalidad los objetivos del estudio en cumplimiento de las disposiciones legales, las disposiciones de la Resolución Exenta N°380, y lo estipulado en las Bases.</w:t>
      </w:r>
    </w:p>
    <w:p w14:paraId="6487B3E1" w14:textId="77777777" w:rsidR="00930F4D" w:rsidRPr="00930F4D" w:rsidRDefault="00930F4D" w:rsidP="00930F4D">
      <w:pPr>
        <w:pStyle w:val="Ttulo1"/>
      </w:pPr>
      <w:bookmarkStart w:id="16" w:name="_Toc34687168"/>
      <w:r w:rsidRPr="00930F4D">
        <w:t>METODOLOGÍA APLICADA</w:t>
      </w:r>
      <w:bookmarkEnd w:id="16"/>
    </w:p>
    <w:p w14:paraId="450CB354" w14:textId="77777777" w:rsidR="00930F4D" w:rsidRDefault="00930F4D" w:rsidP="00930F4D">
      <w:pPr>
        <w:rPr>
          <w:lang w:val="es-CL"/>
        </w:rPr>
      </w:pPr>
      <w:r>
        <w:rPr>
          <w:lang w:val="es-CL"/>
        </w:rPr>
        <w:t xml:space="preserve">Descripción </w:t>
      </w:r>
      <w:r w:rsidR="009E32FD">
        <w:rPr>
          <w:lang w:val="es-CL"/>
        </w:rPr>
        <w:t xml:space="preserve">general </w:t>
      </w:r>
      <w:r>
        <w:rPr>
          <w:lang w:val="es-CL"/>
        </w:rPr>
        <w:t>de la metodología aplicada y las actividades y fases seguidas en el estudio.</w:t>
      </w:r>
      <w:r w:rsidRPr="00097472">
        <w:rPr>
          <w:lang w:val="es-CL"/>
        </w:rPr>
        <w:t xml:space="preserve"> </w:t>
      </w:r>
    </w:p>
    <w:p w14:paraId="13486945" w14:textId="45122DCB" w:rsidR="001339DD" w:rsidRDefault="00930F4D" w:rsidP="00930F4D">
      <w:pPr>
        <w:pStyle w:val="Ttulo2"/>
        <w:rPr>
          <w:sz w:val="24"/>
          <w:szCs w:val="24"/>
        </w:rPr>
      </w:pPr>
      <w:bookmarkStart w:id="17" w:name="_Toc34687169"/>
      <w:r w:rsidRPr="00930F4D">
        <w:rPr>
          <w:sz w:val="24"/>
          <w:szCs w:val="24"/>
        </w:rPr>
        <w:t>Metodología aplicada a la determinación del V.I.</w:t>
      </w:r>
      <w:bookmarkEnd w:id="17"/>
    </w:p>
    <w:p w14:paraId="6CF63D49" w14:textId="77777777" w:rsidR="0088776A" w:rsidRDefault="0088776A" w:rsidP="0088776A">
      <w:r>
        <w:t>El V.I. se ha calculado como la suma de los costos de adquisición e instalación eficientes de cada instalación e infraestructura que conforman el Sistema de Transmisión Nacional (STN).</w:t>
      </w:r>
    </w:p>
    <w:p w14:paraId="3D9A0CAF" w14:textId="77777777" w:rsidR="0088776A" w:rsidRDefault="0088776A" w:rsidP="0088776A">
      <w:r>
        <w:t>En los costos señalados, que se han valorizado con valores de mercado, se incluye fletes, bodegaje, montaje, ingeniería, gastos generales, intereses intercalarios, los derechos relacionados con el uso del suelo y medio ambiente, los bienes intangibles y el capital de explotación.</w:t>
      </w:r>
    </w:p>
    <w:p w14:paraId="59E57675" w14:textId="77777777" w:rsidR="0088776A" w:rsidRDefault="0088776A" w:rsidP="0088776A">
      <w:r>
        <w:t>Todos los precios de los equipos y materiales de instalaciones o de infraestructura están expresados en dólares de acuerdo a lo establecido en el punto 1 del CAPÍTULO II de las Bases del Estudio. Los cálculos no incluyen el Impuesto al Valor Agregado (IVA).</w:t>
      </w:r>
    </w:p>
    <w:p w14:paraId="52FE3B06" w14:textId="77777777" w:rsidR="0088776A" w:rsidRDefault="0088776A" w:rsidP="0088776A">
      <w:r>
        <w:t>Las instalaciones a las cuales debe determinárseles el VI, se establecen en la Resolución Exenta Nº 244 de la Comisión Nacional de energía, de fecha 9 de abril de 2019, que aprueba el “Informe Técnico Definitivo de Calificación de Instalaciones de los Sistemas de Transmisión para el Período 2020-2023”. En el punto 3.1 de la misma se indican los tramos de subestación y de transporte del Sistema de Transmisión Nacional, cuya cantidad total es la siguiente:</w:t>
      </w:r>
    </w:p>
    <w:tbl>
      <w:tblPr>
        <w:tblW w:w="0" w:type="auto"/>
        <w:jc w:val="center"/>
        <w:tblLayout w:type="fixed"/>
        <w:tblCellMar>
          <w:left w:w="0" w:type="dxa"/>
          <w:right w:w="0" w:type="dxa"/>
        </w:tblCellMar>
        <w:tblLook w:val="04A0" w:firstRow="1" w:lastRow="0" w:firstColumn="1" w:lastColumn="0" w:noHBand="0" w:noVBand="1"/>
      </w:tblPr>
      <w:tblGrid>
        <w:gridCol w:w="3402"/>
        <w:gridCol w:w="1134"/>
      </w:tblGrid>
      <w:tr w:rsidR="0088776A" w:rsidRPr="002C2818" w14:paraId="72C12D36" w14:textId="77777777" w:rsidTr="00725CE1">
        <w:trPr>
          <w:jc w:val="center"/>
        </w:trPr>
        <w:tc>
          <w:tcPr>
            <w:tcW w:w="3402" w:type="dxa"/>
            <w:tcBorders>
              <w:top w:val="nil"/>
              <w:left w:val="nil"/>
              <w:bottom w:val="nil"/>
              <w:right w:val="nil"/>
            </w:tcBorders>
            <w:shd w:val="clear" w:color="auto" w:fill="auto"/>
            <w:noWrap/>
            <w:vAlign w:val="center"/>
          </w:tcPr>
          <w:p w14:paraId="790DBD3E" w14:textId="77777777" w:rsidR="0088776A" w:rsidRPr="002C2818" w:rsidRDefault="0088776A" w:rsidP="00725CE1">
            <w:pPr>
              <w:spacing w:after="0"/>
            </w:pPr>
            <w:r w:rsidRPr="002C2818">
              <w:t>TRAMOS DE SUBESTACIÓN</w:t>
            </w:r>
          </w:p>
        </w:tc>
        <w:tc>
          <w:tcPr>
            <w:tcW w:w="1134" w:type="dxa"/>
            <w:tcBorders>
              <w:top w:val="nil"/>
              <w:left w:val="nil"/>
              <w:bottom w:val="nil"/>
              <w:right w:val="nil"/>
            </w:tcBorders>
            <w:shd w:val="clear" w:color="auto" w:fill="auto"/>
            <w:noWrap/>
            <w:vAlign w:val="center"/>
          </w:tcPr>
          <w:p w14:paraId="1F21E7AA" w14:textId="77777777" w:rsidR="0088776A" w:rsidRPr="002C2818" w:rsidRDefault="0088776A" w:rsidP="00725CE1">
            <w:pPr>
              <w:spacing w:after="0"/>
              <w:jc w:val="center"/>
            </w:pPr>
            <w:r w:rsidRPr="002C2818">
              <w:t>81</w:t>
            </w:r>
          </w:p>
        </w:tc>
      </w:tr>
      <w:tr w:rsidR="0088776A" w:rsidRPr="002C2818" w14:paraId="53D30D5D" w14:textId="77777777" w:rsidTr="00725CE1">
        <w:trPr>
          <w:jc w:val="center"/>
        </w:trPr>
        <w:tc>
          <w:tcPr>
            <w:tcW w:w="3402" w:type="dxa"/>
            <w:tcBorders>
              <w:top w:val="nil"/>
              <w:left w:val="nil"/>
              <w:bottom w:val="nil"/>
              <w:right w:val="nil"/>
            </w:tcBorders>
            <w:shd w:val="clear" w:color="auto" w:fill="auto"/>
            <w:noWrap/>
            <w:vAlign w:val="center"/>
          </w:tcPr>
          <w:p w14:paraId="77F06341" w14:textId="77777777" w:rsidR="0088776A" w:rsidRPr="002C2818" w:rsidRDefault="0088776A" w:rsidP="00725CE1">
            <w:pPr>
              <w:spacing w:after="0"/>
            </w:pPr>
            <w:r w:rsidRPr="002C2818">
              <w:t>TRAMOS DE TRANSPORTE</w:t>
            </w:r>
          </w:p>
        </w:tc>
        <w:tc>
          <w:tcPr>
            <w:tcW w:w="1134" w:type="dxa"/>
            <w:tcBorders>
              <w:top w:val="nil"/>
              <w:left w:val="nil"/>
              <w:bottom w:val="nil"/>
              <w:right w:val="nil"/>
            </w:tcBorders>
            <w:shd w:val="clear" w:color="auto" w:fill="auto"/>
            <w:noWrap/>
            <w:vAlign w:val="center"/>
          </w:tcPr>
          <w:p w14:paraId="5C1CB184" w14:textId="77777777" w:rsidR="0088776A" w:rsidRPr="002C2818" w:rsidRDefault="0088776A" w:rsidP="00725CE1">
            <w:pPr>
              <w:spacing w:after="0"/>
              <w:jc w:val="center"/>
            </w:pPr>
            <w:r w:rsidRPr="002C2818">
              <w:t>140</w:t>
            </w:r>
          </w:p>
        </w:tc>
      </w:tr>
      <w:tr w:rsidR="0088776A" w:rsidRPr="002C2818" w14:paraId="5ACB504B" w14:textId="77777777" w:rsidTr="00725CE1">
        <w:trPr>
          <w:jc w:val="center"/>
        </w:trPr>
        <w:tc>
          <w:tcPr>
            <w:tcW w:w="3402" w:type="dxa"/>
            <w:tcBorders>
              <w:top w:val="nil"/>
              <w:left w:val="nil"/>
              <w:bottom w:val="nil"/>
              <w:right w:val="nil"/>
            </w:tcBorders>
            <w:shd w:val="clear" w:color="auto" w:fill="auto"/>
            <w:noWrap/>
            <w:vAlign w:val="center"/>
          </w:tcPr>
          <w:p w14:paraId="62B47EA7" w14:textId="77777777" w:rsidR="0088776A" w:rsidRPr="002C2818" w:rsidRDefault="0088776A" w:rsidP="00725CE1">
            <w:r w:rsidRPr="002C2818">
              <w:t>TOTAL TRAMOS</w:t>
            </w:r>
          </w:p>
        </w:tc>
        <w:tc>
          <w:tcPr>
            <w:tcW w:w="1134" w:type="dxa"/>
            <w:tcBorders>
              <w:top w:val="nil"/>
              <w:left w:val="nil"/>
              <w:bottom w:val="nil"/>
              <w:right w:val="nil"/>
            </w:tcBorders>
            <w:shd w:val="clear" w:color="auto" w:fill="auto"/>
            <w:noWrap/>
            <w:vAlign w:val="center"/>
          </w:tcPr>
          <w:p w14:paraId="416BACA7" w14:textId="77777777" w:rsidR="0088776A" w:rsidRPr="002C2818" w:rsidRDefault="0088776A" w:rsidP="00725CE1">
            <w:pPr>
              <w:jc w:val="center"/>
            </w:pPr>
            <w:r w:rsidRPr="002C2818">
              <w:t>221</w:t>
            </w:r>
          </w:p>
        </w:tc>
      </w:tr>
    </w:tbl>
    <w:p w14:paraId="4E344315" w14:textId="690B7867" w:rsidR="0088776A" w:rsidRDefault="0088776A" w:rsidP="0088776A">
      <w:r>
        <w:t>Dado que los elementos identificados en el Informe Técnico Definitivo de Calificación de Instalaciones de los Sistemas de Transmisión para el Período 2020-2023 son una información de entrada para la realización de este estudio, cualquier definición incorrecta excede los alcances de este Consorcio, no siendo responsabilidad de éste modificar la Resolución Exenta Nº 244 de la Comisión Nacional de Energía.</w:t>
      </w:r>
    </w:p>
    <w:p w14:paraId="7816FCFA" w14:textId="24F402CD" w:rsidR="00F44B99" w:rsidRDefault="00F44B99" w:rsidP="0088776A"/>
    <w:p w14:paraId="401C2F3D" w14:textId="77777777" w:rsidR="00F44B99" w:rsidRDefault="00F44B99" w:rsidP="0088776A"/>
    <w:p w14:paraId="45FE6BE6" w14:textId="77777777" w:rsidR="0088776A" w:rsidRDefault="0088776A" w:rsidP="0088776A">
      <w:pPr>
        <w:pStyle w:val="Ttulo3"/>
      </w:pPr>
      <w:bookmarkStart w:id="18" w:name="_Toc34687170"/>
      <w:r>
        <w:t>Análisis de información recibida</w:t>
      </w:r>
      <w:bookmarkEnd w:id="18"/>
    </w:p>
    <w:p w14:paraId="4C7E2647" w14:textId="77777777" w:rsidR="0088776A" w:rsidRDefault="0088776A" w:rsidP="0088776A">
      <w:r>
        <w:t>En las Bases del Estudio, se señala que para la determinación de la porción del V.I. que se refiere al valor de las componentes de instalaciones distintas al costo de derechos relacionados con el uso de suelo, el consultor deberá efectuar un análisis e identificación de las instalaciones existentes que componen cada tramo. Para tal efecto, el consultor deberá verificar y validar la desagregación y consistencia de los distintos componentes que integran las instalaciones de transmisión informadas en la base de datos entregada por el Coordinador. A su vez, deberá adecuar el modelo de dicha base de datos, de modo que los elementos o instalaciones tales como aquellos que no pudieran ser ingresados en una tabla exclusiva para ellos o que el modelo no permita relacionarlos debidamente, entre otros, queden correctamente asignados y representados. Los criterios de verificación y validación de la información de la base de datos del Coordinador, así como las modificaciones al modelo de dicha base de datos, deberán ser claramente especificados en la entrega de sus resultados. Sin perjuicio de lo anterior, la base de datos que disponga el Coordinador para efectos del presente Estudio debe contener todos los elementos de los sistemas de transmisión con la desagregación suficiente para la correcta valorización de las instalaciones.</w:t>
      </w:r>
    </w:p>
    <w:p w14:paraId="1E8F55D3" w14:textId="77777777" w:rsidR="0088776A" w:rsidRDefault="0088776A" w:rsidP="0088776A">
      <w:r>
        <w:t>En el documento ANEXO VI_1. ANÁLISIS INFORMACIÓN RECIBIDA que forma parte de este Informe de Avance 2 se detalla el análisis realizado a la información recibida.</w:t>
      </w:r>
    </w:p>
    <w:p w14:paraId="7BDC45EF" w14:textId="77777777" w:rsidR="0088776A" w:rsidRDefault="0088776A" w:rsidP="004D30C8">
      <w:pPr>
        <w:pStyle w:val="Ttulo4"/>
      </w:pPr>
      <w:bookmarkStart w:id="19" w:name="_Toc34687171"/>
      <w:r>
        <w:t>Base de Datos de instalaciones</w:t>
      </w:r>
      <w:bookmarkEnd w:id="19"/>
    </w:p>
    <w:p w14:paraId="4C73CA33" w14:textId="77777777" w:rsidR="0088776A" w:rsidRDefault="0088776A" w:rsidP="0088776A">
      <w:r>
        <w:t>Para la ejecución del estudio, la Comisión entregó un archivo de una base de datos denominado “BDC_2017_ENTREGA_CNE.bak” (en adelante BD), desarrollada en el software SQL Server 2012, proporcionada por el Coordinador, la cual “debe contener todos los elementos de los sistemas de transmisión con la desagregación suficiente para la correcta valorización de las instalaciones”.</w:t>
      </w:r>
    </w:p>
    <w:p w14:paraId="1120E16B" w14:textId="77777777" w:rsidR="0088776A" w:rsidRDefault="0088776A" w:rsidP="0088776A">
      <w:r>
        <w:t>La BD contiene 201 tablas con un total de 2.375.212 datos y 109 tablas que no contienen datos. A continuación, se muestra dichas tablas:Síntesis del diagnóstico de la BD</w:t>
      </w:r>
    </w:p>
    <w:p w14:paraId="35748603" w14:textId="77777777" w:rsidR="0088776A" w:rsidRDefault="0088776A" w:rsidP="0088776A">
      <w:r>
        <w:t>El detalle de las tablas se encuentra en el Anexo mencionado anteriormente</w:t>
      </w:r>
    </w:p>
    <w:p w14:paraId="5245E726" w14:textId="77777777" w:rsidR="0088776A" w:rsidRDefault="0088776A" w:rsidP="004D30C8">
      <w:pPr>
        <w:pStyle w:val="Ttulo4"/>
      </w:pPr>
      <w:bookmarkStart w:id="20" w:name="_Toc34687172"/>
      <w:r>
        <w:t>Análisis general de la Base de Datos</w:t>
      </w:r>
      <w:bookmarkEnd w:id="20"/>
    </w:p>
    <w:p w14:paraId="5EC17046" w14:textId="77777777" w:rsidR="0088776A" w:rsidRDefault="0088776A" w:rsidP="0088776A">
      <w:r>
        <w:t>Como parte de la primera fase del desarrollo del estudio, se realizó un análisis y diagnóstico de la base de datos que consideró los siguientes aspectos fundamentales:</w:t>
      </w:r>
    </w:p>
    <w:p w14:paraId="3DFD149B" w14:textId="77777777" w:rsidR="0088776A" w:rsidRDefault="0088776A" w:rsidP="0088776A">
      <w:r>
        <w:tab/>
        <w:t>Existencia de tramos en la Base de Datos.</w:t>
      </w:r>
    </w:p>
    <w:p w14:paraId="310C5CB8" w14:textId="77777777" w:rsidR="0088776A" w:rsidRDefault="0088776A" w:rsidP="0088776A">
      <w:r>
        <w:tab/>
        <w:t>Identificación de los elementos de cada una de las instalaciones a valorizar.</w:t>
      </w:r>
    </w:p>
    <w:p w14:paraId="424DD396" w14:textId="77777777" w:rsidR="0088776A" w:rsidRDefault="0088776A" w:rsidP="0088776A">
      <w:r>
        <w:tab/>
        <w:t>Cantidades excesivas de elementos</w:t>
      </w:r>
    </w:p>
    <w:p w14:paraId="3EBB0C0A" w14:textId="77777777" w:rsidR="0088776A" w:rsidRDefault="0088776A" w:rsidP="0088776A">
      <w:r>
        <w:tab/>
        <w:t>Cantidades insuficientes de elementos</w:t>
      </w:r>
    </w:p>
    <w:p w14:paraId="28C9C0B6" w14:textId="77777777" w:rsidR="0088776A" w:rsidRDefault="0088776A" w:rsidP="0088776A">
      <w:r>
        <w:tab/>
        <w:t>Uso erróneo de unidades</w:t>
      </w:r>
    </w:p>
    <w:p w14:paraId="5EF2E13A" w14:textId="77777777" w:rsidR="0088776A" w:rsidRDefault="0088776A" w:rsidP="0088776A">
      <w:r>
        <w:t>Si bien en general, en la BD se encuentra las instalaciones que han sido calificadas como tramos del Sistema de Transmisión Nacional, la falta de identificación del tramo correspondiente ha obligado a esta Consultor a desarrollar un trabajo de asociación de instalaciones a los tramos establecidos.</w:t>
      </w:r>
    </w:p>
    <w:p w14:paraId="26B7697B" w14:textId="77777777" w:rsidR="0088776A" w:rsidRDefault="0088776A" w:rsidP="0088776A">
      <w:r>
        <w:t>En la calificación de instalaciones existen tramos de subestaciones que corresponden a puntos de tap off (derivación) sólidos en el Sistema de Transmisión Nacional y que, por tal razón, no tienen instalaciones. En la base de datos no hay datos que correspondan a esos tramos de subestaciones. Además de los casos anteriores, se observa que hay otros tramos de subestación, correspondientes a instalaciones nuevas, que tampoco están en la Base de Datos.</w:t>
      </w:r>
    </w:p>
    <w:p w14:paraId="65564D60" w14:textId="77777777" w:rsidR="0088776A" w:rsidRDefault="0088776A" w:rsidP="0088776A">
      <w:r>
        <w:t>Se ha detectado numerosos tramos de transporte que no son identificables directamente en la base de datos por existir nuevas subestaciones seccionadoras que no están incorporadas en la base. Además, en los tramos de transporte se encontró diversos tramos repetidos en la base de datos.</w:t>
      </w:r>
    </w:p>
    <w:p w14:paraId="3AE356D5" w14:textId="77777777" w:rsidR="0088776A" w:rsidRDefault="0088776A" w:rsidP="0088776A">
      <w:r>
        <w:t>Se detectó tramos de transporte que no aparecen en la base de datos, los cuales son los siguientes:</w:t>
      </w:r>
    </w:p>
    <w:p w14:paraId="3E8705FE" w14:textId="117F7716" w:rsidR="0088776A" w:rsidRDefault="004D30C8" w:rsidP="004D30C8">
      <w:pPr>
        <w:jc w:val="center"/>
      </w:pPr>
      <w:bookmarkStart w:id="21" w:name="_Toc34655184"/>
      <w:r w:rsidRPr="0037269A">
        <w:rPr>
          <w:b/>
          <w:iCs/>
          <w:sz w:val="20"/>
          <w:szCs w:val="20"/>
        </w:rPr>
        <w:t xml:space="preserve">Tabla </w:t>
      </w:r>
      <w:r w:rsidRPr="0037269A">
        <w:rPr>
          <w:b/>
          <w:iCs/>
          <w:sz w:val="20"/>
          <w:szCs w:val="20"/>
        </w:rPr>
        <w:fldChar w:fldCharType="begin"/>
      </w:r>
      <w:r w:rsidRPr="0037269A">
        <w:rPr>
          <w:b/>
          <w:iCs/>
          <w:sz w:val="20"/>
          <w:szCs w:val="20"/>
        </w:rPr>
        <w:instrText xml:space="preserve"> SEQ Tabla \* ARABIC </w:instrText>
      </w:r>
      <w:r w:rsidRPr="0037269A">
        <w:rPr>
          <w:b/>
          <w:iCs/>
          <w:sz w:val="20"/>
          <w:szCs w:val="20"/>
        </w:rPr>
        <w:fldChar w:fldCharType="separate"/>
      </w:r>
      <w:r w:rsidR="00F14BED">
        <w:rPr>
          <w:b/>
          <w:iCs/>
          <w:noProof/>
          <w:sz w:val="20"/>
          <w:szCs w:val="20"/>
        </w:rPr>
        <w:t>1</w:t>
      </w:r>
      <w:r w:rsidRPr="0037269A">
        <w:rPr>
          <w:b/>
          <w:iCs/>
          <w:sz w:val="20"/>
          <w:szCs w:val="20"/>
        </w:rPr>
        <w:fldChar w:fldCharType="end"/>
      </w:r>
      <w:r w:rsidRPr="0037269A">
        <w:rPr>
          <w:b/>
          <w:iCs/>
          <w:sz w:val="20"/>
          <w:szCs w:val="20"/>
        </w:rPr>
        <w:t>: Tramos de transporte que no existen en la base de datos</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18"/>
        <w:gridCol w:w="4536"/>
      </w:tblGrid>
      <w:tr w:rsidR="004D30C8" w:rsidRPr="00BE2199" w14:paraId="2E46C213" w14:textId="77777777" w:rsidTr="00725CE1">
        <w:trPr>
          <w:tblHeader/>
          <w:jc w:val="center"/>
        </w:trPr>
        <w:tc>
          <w:tcPr>
            <w:tcW w:w="1418" w:type="dxa"/>
            <w:shd w:val="clear" w:color="000000" w:fill="D9D9D9"/>
            <w:noWrap/>
            <w:vAlign w:val="center"/>
          </w:tcPr>
          <w:p w14:paraId="2D26C766" w14:textId="77777777" w:rsidR="004D30C8" w:rsidRPr="00BE2199" w:rsidRDefault="004D30C8" w:rsidP="00725CE1">
            <w:pPr>
              <w:spacing w:before="20" w:after="20" w:line="240" w:lineRule="auto"/>
              <w:jc w:val="center"/>
              <w:rPr>
                <w:b/>
                <w:bCs/>
                <w:sz w:val="20"/>
                <w:szCs w:val="20"/>
                <w:lang w:val="es-ES"/>
              </w:rPr>
            </w:pPr>
            <w:r w:rsidRPr="00BE2199">
              <w:rPr>
                <w:b/>
                <w:bCs/>
                <w:sz w:val="20"/>
                <w:szCs w:val="20"/>
                <w:lang w:val="es-ES"/>
              </w:rPr>
              <w:t>Código</w:t>
            </w:r>
          </w:p>
        </w:tc>
        <w:tc>
          <w:tcPr>
            <w:tcW w:w="4536" w:type="dxa"/>
            <w:shd w:val="clear" w:color="000000" w:fill="D9D9D9"/>
            <w:noWrap/>
            <w:vAlign w:val="center"/>
          </w:tcPr>
          <w:p w14:paraId="43BC6A4C" w14:textId="77777777" w:rsidR="004D30C8" w:rsidRPr="00BE2199" w:rsidRDefault="004D30C8" w:rsidP="00725CE1">
            <w:pPr>
              <w:spacing w:before="20" w:after="20" w:line="240" w:lineRule="auto"/>
              <w:jc w:val="center"/>
              <w:rPr>
                <w:b/>
                <w:bCs/>
                <w:sz w:val="20"/>
                <w:szCs w:val="20"/>
                <w:lang w:val="es-ES"/>
              </w:rPr>
            </w:pPr>
            <w:r w:rsidRPr="00BE2199">
              <w:rPr>
                <w:b/>
                <w:bCs/>
                <w:sz w:val="20"/>
                <w:szCs w:val="20"/>
                <w:lang w:val="es-ES"/>
              </w:rPr>
              <w:t>Tramo</w:t>
            </w:r>
          </w:p>
        </w:tc>
      </w:tr>
      <w:tr w:rsidR="004D30C8" w:rsidRPr="00BE2199" w14:paraId="2658C7F2" w14:textId="77777777" w:rsidTr="00725CE1">
        <w:trPr>
          <w:jc w:val="center"/>
        </w:trPr>
        <w:tc>
          <w:tcPr>
            <w:tcW w:w="1418" w:type="dxa"/>
            <w:shd w:val="clear" w:color="auto" w:fill="auto"/>
            <w:noWrap/>
            <w:vAlign w:val="center"/>
          </w:tcPr>
          <w:p w14:paraId="6B900BEC"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N_19</w:t>
            </w:r>
          </w:p>
        </w:tc>
        <w:tc>
          <w:tcPr>
            <w:tcW w:w="4536" w:type="dxa"/>
            <w:shd w:val="clear" w:color="auto" w:fill="auto"/>
            <w:noWrap/>
            <w:vAlign w:val="center"/>
          </w:tcPr>
          <w:p w14:paraId="10263F58"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Cardones 220-&gt;Nueva Cardones 220</w:t>
            </w:r>
          </w:p>
        </w:tc>
      </w:tr>
      <w:tr w:rsidR="004D30C8" w:rsidRPr="00BE2199" w14:paraId="1ADE6FE2" w14:textId="77777777" w:rsidTr="00725CE1">
        <w:trPr>
          <w:jc w:val="center"/>
        </w:trPr>
        <w:tc>
          <w:tcPr>
            <w:tcW w:w="1418" w:type="dxa"/>
            <w:shd w:val="clear" w:color="auto" w:fill="auto"/>
            <w:noWrap/>
            <w:vAlign w:val="center"/>
          </w:tcPr>
          <w:p w14:paraId="36FB5280"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N_31</w:t>
            </w:r>
          </w:p>
        </w:tc>
        <w:tc>
          <w:tcPr>
            <w:tcW w:w="4536" w:type="dxa"/>
            <w:shd w:val="clear" w:color="auto" w:fill="auto"/>
            <w:noWrap/>
            <w:vAlign w:val="center"/>
          </w:tcPr>
          <w:p w14:paraId="6298CC31"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Charrua 220-&gt;Mulchen 220</w:t>
            </w:r>
          </w:p>
        </w:tc>
      </w:tr>
      <w:tr w:rsidR="004D30C8" w:rsidRPr="00BE2199" w14:paraId="1A940C78" w14:textId="77777777" w:rsidTr="00725CE1">
        <w:trPr>
          <w:jc w:val="center"/>
        </w:trPr>
        <w:tc>
          <w:tcPr>
            <w:tcW w:w="1418" w:type="dxa"/>
            <w:shd w:val="clear" w:color="auto" w:fill="auto"/>
            <w:noWrap/>
            <w:vAlign w:val="center"/>
          </w:tcPr>
          <w:p w14:paraId="62770325"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N_62</w:t>
            </w:r>
          </w:p>
        </w:tc>
        <w:tc>
          <w:tcPr>
            <w:tcW w:w="4536" w:type="dxa"/>
            <w:shd w:val="clear" w:color="auto" w:fill="auto"/>
            <w:noWrap/>
            <w:vAlign w:val="center"/>
          </w:tcPr>
          <w:p w14:paraId="0AC09EAD"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Laberinto 220-&gt;Nueva Zaldivar 220</w:t>
            </w:r>
          </w:p>
        </w:tc>
      </w:tr>
      <w:tr w:rsidR="004D30C8" w:rsidRPr="00BE2199" w14:paraId="28DCE3DA" w14:textId="77777777" w:rsidTr="00725CE1">
        <w:trPr>
          <w:jc w:val="center"/>
        </w:trPr>
        <w:tc>
          <w:tcPr>
            <w:tcW w:w="1418" w:type="dxa"/>
            <w:shd w:val="clear" w:color="auto" w:fill="auto"/>
            <w:noWrap/>
            <w:vAlign w:val="center"/>
          </w:tcPr>
          <w:p w14:paraId="3CAF2538"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N_87</w:t>
            </w:r>
          </w:p>
        </w:tc>
        <w:tc>
          <w:tcPr>
            <w:tcW w:w="4536" w:type="dxa"/>
            <w:shd w:val="clear" w:color="auto" w:fill="auto"/>
            <w:noWrap/>
            <w:vAlign w:val="center"/>
          </w:tcPr>
          <w:p w14:paraId="2633B614"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Mulchen 220-&gt;Rio Malleco 220</w:t>
            </w:r>
          </w:p>
        </w:tc>
      </w:tr>
      <w:tr w:rsidR="004D30C8" w:rsidRPr="00BE2199" w14:paraId="632FA304" w14:textId="77777777" w:rsidTr="00725CE1">
        <w:trPr>
          <w:jc w:val="center"/>
        </w:trPr>
        <w:tc>
          <w:tcPr>
            <w:tcW w:w="1418" w:type="dxa"/>
            <w:shd w:val="clear" w:color="auto" w:fill="auto"/>
            <w:noWrap/>
            <w:vAlign w:val="center"/>
          </w:tcPr>
          <w:p w14:paraId="3D1DD9B8"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N_97</w:t>
            </w:r>
          </w:p>
        </w:tc>
        <w:tc>
          <w:tcPr>
            <w:tcW w:w="4536" w:type="dxa"/>
            <w:shd w:val="clear" w:color="auto" w:fill="auto"/>
            <w:noWrap/>
            <w:vAlign w:val="center"/>
          </w:tcPr>
          <w:p w14:paraId="3D36322C"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Nueva Pan de Azucar 500-&gt;Polpaico 500</w:t>
            </w:r>
          </w:p>
        </w:tc>
      </w:tr>
      <w:tr w:rsidR="004D30C8" w:rsidRPr="00BE2199" w14:paraId="075F3231" w14:textId="77777777" w:rsidTr="00725CE1">
        <w:trPr>
          <w:jc w:val="center"/>
        </w:trPr>
        <w:tc>
          <w:tcPr>
            <w:tcW w:w="1418" w:type="dxa"/>
            <w:shd w:val="clear" w:color="auto" w:fill="auto"/>
            <w:noWrap/>
            <w:vAlign w:val="center"/>
          </w:tcPr>
          <w:p w14:paraId="358DB2E9"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N_102</w:t>
            </w:r>
          </w:p>
        </w:tc>
        <w:tc>
          <w:tcPr>
            <w:tcW w:w="4536" w:type="dxa"/>
            <w:shd w:val="clear" w:color="auto" w:fill="auto"/>
            <w:noWrap/>
            <w:vAlign w:val="center"/>
          </w:tcPr>
          <w:p w14:paraId="1815620C"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O Higgins 220-&gt;Atacama 220</w:t>
            </w:r>
          </w:p>
        </w:tc>
      </w:tr>
      <w:tr w:rsidR="004D30C8" w:rsidRPr="00BE2199" w14:paraId="4A7BBEAE" w14:textId="77777777" w:rsidTr="00725CE1">
        <w:trPr>
          <w:jc w:val="center"/>
        </w:trPr>
        <w:tc>
          <w:tcPr>
            <w:tcW w:w="1418" w:type="dxa"/>
            <w:shd w:val="clear" w:color="auto" w:fill="auto"/>
            <w:noWrap/>
            <w:vAlign w:val="center"/>
          </w:tcPr>
          <w:p w14:paraId="6A152E62"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N_112</w:t>
            </w:r>
          </w:p>
        </w:tc>
        <w:tc>
          <w:tcPr>
            <w:tcW w:w="4536" w:type="dxa"/>
            <w:shd w:val="clear" w:color="auto" w:fill="auto"/>
            <w:noWrap/>
            <w:vAlign w:val="center"/>
          </w:tcPr>
          <w:p w14:paraId="49A1425D"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Pozo Almonte 220-&gt;Nueva Pozo Almonte 220</w:t>
            </w:r>
          </w:p>
        </w:tc>
      </w:tr>
      <w:tr w:rsidR="004D30C8" w:rsidRPr="00BE2199" w14:paraId="5EA06057" w14:textId="77777777" w:rsidTr="00725CE1">
        <w:trPr>
          <w:jc w:val="center"/>
        </w:trPr>
        <w:tc>
          <w:tcPr>
            <w:tcW w:w="1418" w:type="dxa"/>
            <w:shd w:val="clear" w:color="auto" w:fill="auto"/>
            <w:noWrap/>
            <w:vAlign w:val="center"/>
          </w:tcPr>
          <w:p w14:paraId="084EEB56" w14:textId="77777777" w:rsidR="004D30C8" w:rsidRPr="00BE2199" w:rsidRDefault="004D30C8" w:rsidP="00725CE1">
            <w:pPr>
              <w:spacing w:before="20" w:after="20" w:line="240" w:lineRule="auto"/>
              <w:jc w:val="center"/>
              <w:rPr>
                <w:sz w:val="20"/>
                <w:szCs w:val="20"/>
                <w:lang w:val="es-ES"/>
              </w:rPr>
            </w:pPr>
            <w:r w:rsidRPr="00BE2199">
              <w:rPr>
                <w:sz w:val="20"/>
                <w:szCs w:val="20"/>
                <w:lang w:val="es-ES"/>
              </w:rPr>
              <w:t>N_122</w:t>
            </w:r>
          </w:p>
        </w:tc>
        <w:tc>
          <w:tcPr>
            <w:tcW w:w="4536" w:type="dxa"/>
            <w:shd w:val="clear" w:color="auto" w:fill="auto"/>
            <w:noWrap/>
            <w:vAlign w:val="center"/>
          </w:tcPr>
          <w:p w14:paraId="56A6F8B7" w14:textId="77777777" w:rsidR="004D30C8" w:rsidRPr="00BE2199" w:rsidRDefault="004D30C8" w:rsidP="00725CE1">
            <w:pPr>
              <w:spacing w:before="20" w:after="20" w:line="240" w:lineRule="auto"/>
              <w:jc w:val="left"/>
              <w:rPr>
                <w:sz w:val="20"/>
                <w:szCs w:val="20"/>
                <w:lang w:val="es-ES"/>
              </w:rPr>
            </w:pPr>
            <w:r w:rsidRPr="00BE2199">
              <w:rPr>
                <w:sz w:val="20"/>
                <w:szCs w:val="20"/>
                <w:lang w:val="es-ES"/>
              </w:rPr>
              <w:t>Rio Malleco 220-&gt;Cautin 220</w:t>
            </w:r>
          </w:p>
        </w:tc>
      </w:tr>
    </w:tbl>
    <w:p w14:paraId="1420B49D" w14:textId="773E53EE" w:rsidR="0088776A" w:rsidRDefault="0088776A" w:rsidP="0088776A"/>
    <w:p w14:paraId="16FDF330" w14:textId="77777777" w:rsidR="0088776A" w:rsidRDefault="0088776A" w:rsidP="0088776A">
      <w:r>
        <w:t>Existen 26 tramos de transporte que contienen elementos que no deben valorizarse por tener VATT asegurado por 20 años y que, de acuerdo con las Bases del Estudio, no corresponde valorizar</w:t>
      </w:r>
    </w:p>
    <w:p w14:paraId="27672998" w14:textId="77777777" w:rsidR="0088776A" w:rsidRDefault="0088776A" w:rsidP="0088776A">
      <w:r>
        <w:t>Para analizar la información de los elementos de las instalaciones (inventario), desde la Base de Datos se exportó a planilla Excel, la información correspondiente. Se creó una planilla para los tramos de subestaciones y otro para los tramos de transporte.</w:t>
      </w:r>
    </w:p>
    <w:p w14:paraId="3BB365B0" w14:textId="77777777" w:rsidR="0088776A" w:rsidRDefault="0088776A" w:rsidP="0088776A">
      <w:r>
        <w:t>El análisis realizado resulta en las observaciones principales que se describen a continuación.</w:t>
      </w:r>
    </w:p>
    <w:p w14:paraId="6C50F6FD" w14:textId="35145B24" w:rsidR="0088776A" w:rsidRDefault="0088776A" w:rsidP="002E20CA">
      <w:pPr>
        <w:pStyle w:val="Prrafodelista"/>
        <w:numPr>
          <w:ilvl w:val="0"/>
          <w:numId w:val="72"/>
        </w:numPr>
      </w:pPr>
      <w:r>
        <w:t>Se observa que no hay uniformidad ni estandarización en la información en cada uno de ellos, lo cual se presenta en la mayoría de los elementos. Esta deficiencia dificulta la identificación completa de cada elemento.</w:t>
      </w:r>
    </w:p>
    <w:p w14:paraId="792030E2" w14:textId="1E2859FC" w:rsidR="0088776A" w:rsidRDefault="0088776A" w:rsidP="002E20CA">
      <w:pPr>
        <w:pStyle w:val="Prrafodelista"/>
        <w:numPr>
          <w:ilvl w:val="0"/>
          <w:numId w:val="72"/>
        </w:numPr>
      </w:pPr>
      <w:r>
        <w:t>En la gran mayoría de los elementos se omite información en algunos de los campos, como también se repite la misma información en más de un campo, un mismo tipo de elemento aparece con más de un identificador de tipo de elemento. En algunos casos se presenta información diferente en campos de descripción de un mismo elemento.</w:t>
      </w:r>
    </w:p>
    <w:p w14:paraId="63003A5F" w14:textId="59ABCF4C" w:rsidR="0088776A" w:rsidRDefault="0088776A" w:rsidP="002E20CA">
      <w:pPr>
        <w:pStyle w:val="Prrafodelista"/>
        <w:numPr>
          <w:ilvl w:val="0"/>
          <w:numId w:val="72"/>
        </w:numPr>
      </w:pPr>
      <w:r>
        <w:t>En algunos elementos de tramos de subestaciones y de transporte se ha encontrado cantidades excesivas que no guardan relación con el rango de valores que corresponde al elemento para la utilización que se hace de él. Ello ocurre principalmente en la familia Materiales OOCC.</w:t>
      </w:r>
    </w:p>
    <w:p w14:paraId="1ACC3A7C" w14:textId="4727A5F5" w:rsidR="0088776A" w:rsidRDefault="0088776A" w:rsidP="002E20CA">
      <w:pPr>
        <w:pStyle w:val="Prrafodelista"/>
        <w:numPr>
          <w:ilvl w:val="0"/>
          <w:numId w:val="72"/>
        </w:numPr>
      </w:pPr>
      <w:r>
        <w:t>En algunos elementos de los tramos de transporte se ha encontrado cantidades nulas o insuficientes, que no guardan relación con el rango de valores que corresponde al elemento para la utilización que se hace de él. Ello ocurre principalmente en las familias Conjuntos de Aislación y Materiales OOCC.</w:t>
      </w:r>
    </w:p>
    <w:p w14:paraId="27EC7712" w14:textId="00B027AF" w:rsidR="0088776A" w:rsidRDefault="0088776A" w:rsidP="002E20CA">
      <w:pPr>
        <w:pStyle w:val="Prrafodelista"/>
        <w:numPr>
          <w:ilvl w:val="0"/>
          <w:numId w:val="72"/>
        </w:numPr>
      </w:pPr>
      <w:r>
        <w:t>Una cantidad de elementos cuyo costo es importante en la valorización de las instalaciones, está registrada en la Base de Datos con una unidad que no corresponde. Por ejemplo debiendo usar la unidad metro se usa c/u.</w:t>
      </w:r>
    </w:p>
    <w:p w14:paraId="35A0C714" w14:textId="77777777" w:rsidR="0088776A" w:rsidRDefault="0088776A" w:rsidP="0088776A">
      <w:r>
        <w:t>El uso erróneo de la unidad que corresponde, la cantidad excesiva para algunos elementos y la insuficiente para otros, permite inferir que no ha existido la debida prolijidad en el poblamiento de la base de datos. A lo anterior se agrega un aspecto que no es posible dimensionar en su alcance y efecto en la valorización del Sistema de Transmisión Nacional, cual es la falta de elementos en la Base de Datos, es decir, que el inventario de algunas instalaciones está incompleto.</w:t>
      </w:r>
    </w:p>
    <w:p w14:paraId="7402266D" w14:textId="77777777" w:rsidR="0088776A" w:rsidRDefault="0088776A" w:rsidP="0088776A">
      <w:r>
        <w:t>Debe tenerse presente que, de acuerdo con la LGSE (artículo vigesimoprimero transitorio), las empresas transmisoras debían presentar en un plazo determinado al CEN el inventario y características de sus instalaciones y este organismo incorporar esta información en un registro (base de datos) so pena de que las instalaciones no informadas no serán consideradas en el primer proceso de valorización. Lo anterior exige a los propietarios informar y al CEN la responsabilidad de tener un registro para acoger la información suministrada, así como verificar la completitud, calidad, exactitud y oportunidad de la información publicada en los respectivos sistemas de información (último inciso del artículo 72-8 de la LGE). Sin embargo, en vista del diagnóstico presentado en este informe, es evidente que lo dispuesto en la ley para la información de la base de datos no se ha cumplido en ninguno de los atributos exigidos.</w:t>
      </w:r>
    </w:p>
    <w:p w14:paraId="11890D79" w14:textId="582E8BFD" w:rsidR="0088776A" w:rsidRDefault="0088776A" w:rsidP="0088776A">
      <w:r>
        <w:t>No obstante la situación presentada, el Consorcio ha hecho el mayor esfuerzo y dedicación posible para mejorar la información, con el propósito de obtener una valorización que represente razonablemente el Valor de Inversión del Sistema Eléctrico Nacional para las instalaciones en servicio al 31 de diciembre de 2017 que debían ser valorizadas.</w:t>
      </w:r>
    </w:p>
    <w:p w14:paraId="3912A2F2" w14:textId="77777777" w:rsidR="004D30C8" w:rsidRDefault="004D30C8" w:rsidP="0088776A"/>
    <w:p w14:paraId="51D6A7C2" w14:textId="77777777" w:rsidR="0088776A" w:rsidRDefault="0088776A" w:rsidP="004D30C8">
      <w:pPr>
        <w:pStyle w:val="Ttulo4"/>
      </w:pPr>
      <w:bookmarkStart w:id="22" w:name="_Toc34687173"/>
      <w:r>
        <w:t>Adecuación de información de la Base de Datos</w:t>
      </w:r>
      <w:bookmarkEnd w:id="22"/>
    </w:p>
    <w:p w14:paraId="32EE9E49" w14:textId="77777777" w:rsidR="0088776A" w:rsidRDefault="0088776A" w:rsidP="0088776A">
      <w:r>
        <w:t>La Base de Datos que el Coordinador proporcionó para la realización del presente Estudio contiene la información de las instalaciones existentes a diciembre de 2017 la cual está organizada según la calificación del año 2014, que no tiene relación ni similitud con la calificación del año 2019.</w:t>
      </w:r>
    </w:p>
    <w:p w14:paraId="073B2413" w14:textId="77777777" w:rsidR="0088776A" w:rsidRDefault="0088776A" w:rsidP="0088776A">
      <w:r>
        <w:t>Por lo anterior la Base de Datos no contiene ningún elemento que muestre la implementación de la Calificación de Instalaciones en ella, lo que ha obligado a este Consultor a realizar esta asignación, lo cual no estaba contemplado en las Bases Técnicas del Estudio.</w:t>
      </w:r>
    </w:p>
    <w:p w14:paraId="02E3A04F" w14:textId="77777777" w:rsidR="0088776A" w:rsidRDefault="0088776A" w:rsidP="0088776A">
      <w:r>
        <w:t>Para poder crear los tramos, se debieron analizar más de 1500 paños contenidos en subestaciones nacionales y subestaciones con extremos de tramos de transporte calificados como nacionales en la BD. Para poder asignar correctamente los paños se obtuvo su nombre, tensión, y toda característica útil desde la base de datos para contrastarlos con los planos de las subestaciones.</w:t>
      </w:r>
    </w:p>
    <w:p w14:paraId="71899B09" w14:textId="77777777" w:rsidR="0088776A" w:rsidRDefault="0088776A" w:rsidP="0088776A">
      <w:r>
        <w:t>En la base de datos se creó una nueva tabla, llamada dbo.TramosSubestacion que indica el ID (código de identificación) de tramo al cual pertenece el paño. De esta revisión se calificaron como pertenecientes el Sistema de Transmisión Nacional alrededor de 800 paños.</w:t>
      </w:r>
    </w:p>
    <w:p w14:paraId="470DAC25" w14:textId="77777777" w:rsidR="0088776A" w:rsidRDefault="0088776A" w:rsidP="0088776A">
      <w:r>
        <w:t>También se creó una columna auxiliar en líneas, transformadores y subestaciones para poder asignarlos al tramo de calificación respectivo.</w:t>
      </w:r>
    </w:p>
    <w:p w14:paraId="7291EC5E" w14:textId="77777777" w:rsidR="0088776A" w:rsidRDefault="0088776A" w:rsidP="0088776A">
      <w:r>
        <w:t>En el caso de tramos de transporte que corresponden a líneas de transmisión (algunos corresponden a transformación), los tramos quedan conformados por los paños extremos de la línea, los equipos de compensación serie y reactores de líneas con sus propios paños y la línea de transmisión propiamente tal.</w:t>
      </w:r>
    </w:p>
    <w:p w14:paraId="6325C5B0" w14:textId="77777777" w:rsidR="0088776A" w:rsidRDefault="0088776A" w:rsidP="0088776A">
      <w:r>
        <w:t>Los tramos de transporte correspondiente consideran los equipos de transformación 500/220 kV, 750 MVA y 220/220 kV 400 MVA. En el primer caso corresponden a bancos de autotransformadores monofásicos 500/220 kV de 250 MVA cada uno con la respectiva unidad de reserva monofásica, mientras que el segundo caso corresponde a un equipo controlador de flujo en 220 kV.</w:t>
      </w:r>
    </w:p>
    <w:p w14:paraId="3B1DCE60" w14:textId="77777777" w:rsidR="0088776A" w:rsidRDefault="0088776A" w:rsidP="0088776A">
      <w:r>
        <w:t>Dado que gran parte de los paños son asignados a tramos de transporte, las subestaciones quedan con pocos paños asignables a ella. Los paños que si quedan asignados son: paños seccionadores de barra, paños acopladores de barra (paños de transferencia), paños de transformadores de servicios auxiliares, paños de equipos de compensación conectados a las barras de las subestaciones o a los terciaros de transformadores, etc. Todos estos equipos también quedan adscritos a la subestación.</w:t>
      </w:r>
    </w:p>
    <w:p w14:paraId="0182FFC3" w14:textId="77777777" w:rsidR="0088776A" w:rsidRDefault="0088776A" w:rsidP="0088776A">
      <w:r>
        <w:t>Es importante señalar que la Calificación de Instalaciones realizada, asignó a todos los patios de la subestación la misma calificación, por lo cual los paños comunes de tensiones menores también quedaron asignados a la subestación.</w:t>
      </w:r>
    </w:p>
    <w:p w14:paraId="199A88E0" w14:textId="77777777" w:rsidR="0088776A" w:rsidRDefault="0088776A" w:rsidP="0088776A">
      <w:r>
        <w:t>Una importante problemática es la incompatibilidad entre la Resolución Exenta CNE 244 - 2019 y el contenido en la BD del Coordinador Eléctrico Nacional. La Calificación de Instalaciones fue realizada con la topología prevista a fines del año 2021 mientras que la valorización de instalaciones se realiza con las instalaciones en servicio al 31 de diciembre de 2017.</w:t>
      </w:r>
    </w:p>
    <w:p w14:paraId="5881B338" w14:textId="77777777" w:rsidR="0088776A" w:rsidRDefault="0088776A" w:rsidP="0088776A">
      <w:r>
        <w:t>Como proceso requerido para el cálculo de Tramos de Transporte se presentó el inconveniente de que en la base de datos no existían tramos definidos en base a la calificación. Se debió realizar una serie de procesos con el fin de permitir la valorización de estos Tramos de Transporte. El proceso comprende los siguientes 4 pasos</w:t>
      </w:r>
    </w:p>
    <w:p w14:paraId="02C55961" w14:textId="7800B864" w:rsidR="0088776A" w:rsidRDefault="0088776A" w:rsidP="002E20CA">
      <w:pPr>
        <w:pStyle w:val="Prrafodelista"/>
        <w:numPr>
          <w:ilvl w:val="0"/>
          <w:numId w:val="73"/>
        </w:numPr>
      </w:pPr>
      <w:r>
        <w:t>Creación de nuevos identificadores de tramos Metodología de cálculo del VI</w:t>
      </w:r>
    </w:p>
    <w:p w14:paraId="68029AEE" w14:textId="2E13147D" w:rsidR="0088776A" w:rsidRDefault="0088776A" w:rsidP="002E20CA">
      <w:pPr>
        <w:pStyle w:val="Prrafodelista"/>
        <w:numPr>
          <w:ilvl w:val="0"/>
          <w:numId w:val="73"/>
        </w:numPr>
      </w:pPr>
      <w:r>
        <w:t>Modificación de IdTramo en tabla dbo.Vanos por seccionamientos</w:t>
      </w:r>
    </w:p>
    <w:p w14:paraId="46FE7B3F" w14:textId="3A6CE6C1" w:rsidR="0088776A" w:rsidRDefault="0088776A" w:rsidP="002E20CA">
      <w:pPr>
        <w:pStyle w:val="Prrafodelista"/>
        <w:numPr>
          <w:ilvl w:val="0"/>
          <w:numId w:val="73"/>
        </w:numPr>
      </w:pPr>
      <w:r>
        <w:t>Modificaciones en tabla dbo.Estructuras_tramos por seccionamientos</w:t>
      </w:r>
    </w:p>
    <w:p w14:paraId="2BCB081D" w14:textId="538BA457" w:rsidR="0088776A" w:rsidRDefault="0088776A" w:rsidP="002E20CA">
      <w:pPr>
        <w:pStyle w:val="Prrafodelista"/>
        <w:numPr>
          <w:ilvl w:val="0"/>
          <w:numId w:val="73"/>
        </w:numPr>
      </w:pPr>
      <w:r>
        <w:t>Modificaciones realizadas en cables de guardia</w:t>
      </w:r>
    </w:p>
    <w:p w14:paraId="27030D6A" w14:textId="77777777" w:rsidR="0088776A" w:rsidRDefault="0088776A" w:rsidP="0088776A">
      <w:r>
        <w:t>Además, de la calificación y asignación de las instalaciones de la BD y la creación de tramos, se ha debido realizar otras modificaciones y correcciones a la información de la BD.</w:t>
      </w:r>
    </w:p>
    <w:p w14:paraId="3B265CEC" w14:textId="77777777" w:rsidR="0088776A" w:rsidRDefault="0088776A" w:rsidP="0088776A">
      <w:r>
        <w:t>En el ANEXO VI_3. CALIFICACIÓN DE INSTALACIONES se detalla el trabajo realizado tanto para la calificación y asignación de instalaciones a los tramos, como las otras modificaciones y correcciones</w:t>
      </w:r>
    </w:p>
    <w:p w14:paraId="49C7932A" w14:textId="77777777" w:rsidR="0088776A" w:rsidRDefault="0088776A" w:rsidP="0088776A">
      <w:r>
        <w:t>Una vez creados todos los tramos de transporte y de subestación se procedió a analizar cuáles de ellos debían ser valorizados y cuáles no. Para esto se estudiaron todos los Planes de Expansión Troncal desde la promulgación de la Ley Corta I, agrupando todas las obras nuevas que tienen su remuneración asegurada por 20 años, en función del valor adjudicado en la respectiva licitación. Asimismo se identificaron las obras de ampliación que fueron construidas bajo la vigencia de las disposiciones de la LGSE que fueron sustituidas por las disposiciones de la Ley 20.936 y que entraron en servicio después del 31 de Diiembre de 2017, las que tampoco deben ser valorizadas.</w:t>
      </w:r>
    </w:p>
    <w:p w14:paraId="08658C66" w14:textId="77777777" w:rsidR="0088776A" w:rsidRDefault="0088776A" w:rsidP="0088776A"/>
    <w:p w14:paraId="3AC7EC3D" w14:textId="77777777" w:rsidR="0088776A" w:rsidRDefault="0088776A" w:rsidP="001C5645">
      <w:pPr>
        <w:pStyle w:val="Ttulo4"/>
      </w:pPr>
      <w:bookmarkStart w:id="23" w:name="_Toc34687174"/>
      <w:r>
        <w:t>Revisión de inventario</w:t>
      </w:r>
      <w:bookmarkEnd w:id="23"/>
    </w:p>
    <w:p w14:paraId="22BEA911" w14:textId="77777777" w:rsidR="0088776A" w:rsidRDefault="0088776A" w:rsidP="0088776A">
      <w:r>
        <w:t xml:space="preserve">Para la revisión del inventario de las instalaciones, se efectuó una verificación cruzada de distintas fuentes, que permitieran asegurar la veracidad de la información recibida. </w:t>
      </w:r>
    </w:p>
    <w:p w14:paraId="0768C0E7" w14:textId="77777777" w:rsidR="0088776A" w:rsidRDefault="0088776A" w:rsidP="0088776A">
      <w:r>
        <w:t>Con este fin se revisaron los siguientes documentos fuente, para verificar la exactitud de los inventarios informados en la BD.</w:t>
      </w:r>
    </w:p>
    <w:p w14:paraId="58BD1B95" w14:textId="2B40F2EB" w:rsidR="0088776A" w:rsidRDefault="0088776A" w:rsidP="002E20CA">
      <w:pPr>
        <w:pStyle w:val="Prrafodelista"/>
        <w:numPr>
          <w:ilvl w:val="0"/>
          <w:numId w:val="74"/>
        </w:numPr>
      </w:pPr>
      <w:r>
        <w:t>Plano de la infotécnica del STN del sitio del Coordinador Eléctrico Nacional.</w:t>
      </w:r>
    </w:p>
    <w:p w14:paraId="69D80FC6" w14:textId="1F88D2E6" w:rsidR="0088776A" w:rsidRDefault="0088776A" w:rsidP="002E20CA">
      <w:pPr>
        <w:pStyle w:val="Prrafodelista"/>
        <w:numPr>
          <w:ilvl w:val="0"/>
          <w:numId w:val="74"/>
        </w:numPr>
      </w:pPr>
      <w:r>
        <w:t>Salidas de planillas excel desde la BD con los tramos de subestaciones y líneas de STN.</w:t>
      </w:r>
    </w:p>
    <w:p w14:paraId="20E2074F" w14:textId="07EE05DE" w:rsidR="0088776A" w:rsidRDefault="0088776A" w:rsidP="002E20CA">
      <w:pPr>
        <w:pStyle w:val="Prrafodelista"/>
        <w:numPr>
          <w:ilvl w:val="0"/>
          <w:numId w:val="74"/>
        </w:numPr>
      </w:pPr>
      <w:r>
        <w:t>Planos de instalaciones disponibles del consultor.</w:t>
      </w:r>
    </w:p>
    <w:p w14:paraId="1A3F1627" w14:textId="425E2755" w:rsidR="0088776A" w:rsidRDefault="0088776A" w:rsidP="002E20CA">
      <w:pPr>
        <w:pStyle w:val="Prrafodelista"/>
        <w:numPr>
          <w:ilvl w:val="0"/>
          <w:numId w:val="74"/>
        </w:numPr>
      </w:pPr>
      <w:r>
        <w:t>Clasificación de planillas de instalaciones en parte civil y parte eléctrica.</w:t>
      </w:r>
    </w:p>
    <w:p w14:paraId="01418F58" w14:textId="77777777" w:rsidR="0088776A" w:rsidRDefault="0088776A" w:rsidP="0088776A">
      <w:r>
        <w:t xml:space="preserve">Debido al gran tamaño de la base de datos que contiene alrrededor de cuatrocientos cincuenta mil registros solo del STN, es que se optó por revisar una muestra del total de instalaciones, que permitiera formarse una opinión objetiva sobre la calidad del inventario. </w:t>
      </w:r>
    </w:p>
    <w:p w14:paraId="4B24C6C9" w14:textId="77777777" w:rsidR="0088776A" w:rsidRDefault="0088776A" w:rsidP="0088776A">
      <w:r>
        <w:t>La revisión de la parte eléctrica consistió en determinar si la totalidad de los equipos principales se encontraban incorporados en la base.</w:t>
      </w:r>
    </w:p>
    <w:p w14:paraId="5CEAE01D" w14:textId="77777777" w:rsidR="0088776A" w:rsidRDefault="0088776A" w:rsidP="0088776A">
      <w:r>
        <w:t>La revisión de la parte civil se basó fundamentalmente en verificar con los planos de instalaciones disponibles, los volumenes de excavación, enfierraduras, hormigones, moldajes, rellenos y compactados.</w:t>
      </w:r>
    </w:p>
    <w:p w14:paraId="39A4AEB3" w14:textId="77777777" w:rsidR="0088776A" w:rsidRDefault="0088776A" w:rsidP="0088776A">
      <w:r>
        <w:t>Se revisaron los equipos eléctricos en los tramos de transporte y tramos de subestación del sistema eléctrico nacional. En total se analizaron más de 700 paños que fueron calificados como parte del sistema de transmisión nacional y que este Consultor debe valorizar.</w:t>
      </w:r>
    </w:p>
    <w:p w14:paraId="7DCECDA9" w14:textId="77777777" w:rsidR="0088776A" w:rsidRDefault="0088776A" w:rsidP="0088776A">
      <w:r>
        <w:t>En la revisión de la muestra de paños de subestación se llegó a determinar la cantidad de equipos declarados en exceso y aquellos que faltaban en el paño. Adicionalmente se verificó la consistencia entre los equipos y su correspondiente fundación.</w:t>
      </w:r>
    </w:p>
    <w:p w14:paraId="01B4B4EC" w14:textId="77777777" w:rsidR="0088776A" w:rsidRDefault="0088776A" w:rsidP="0088776A">
      <w:r>
        <w:t>La información errónea que se encontró fue modificada a valores que correspondan al elemento analizado, es decir, en aquellos casos en que la cantidad es excesiva se disminuyó al valor correspondiente y en aquellos casos que es cero o insuficiente se agregó el valor que se considera razonable.</w:t>
      </w:r>
    </w:p>
    <w:p w14:paraId="0C8D8433" w14:textId="77777777" w:rsidR="0088776A" w:rsidRDefault="0088776A" w:rsidP="0088776A">
      <w:r>
        <w:t>Se detectó paños mal calificados, como paños declarados que no corresponden a la subestación y otros paños que si corresponden a la subestación pero que no están declarados. Estos casos fueron corregidos.</w:t>
      </w:r>
    </w:p>
    <w:p w14:paraId="2C15506E" w14:textId="77777777" w:rsidR="0088776A" w:rsidRDefault="0088776A" w:rsidP="0088776A">
      <w:r>
        <w:t>En las obras civiles de subestaciones se pueden apreciar un importante desorden en la forma en que están descritos los elementos y en las unidades utilizadas que para el caso de casas de control y casetas en algunos casos se muestran como unidad y en otros en metros cuadrados con las importantes diferencias numéricas que esto genera y que al valorizarlas producen errores de gran magnitud.</w:t>
      </w:r>
    </w:p>
    <w:p w14:paraId="48BB4366" w14:textId="77777777" w:rsidR="0088776A" w:rsidRDefault="0088776A" w:rsidP="0088776A">
      <w:r>
        <w:t>La revisión consideró tanto fundaciones como estructuras y se aprecia, entre otras, que existen paños con marcos de línea no identificables en paños, equipos sin fundaciones, equipos en celda (que no requieren fundación) con fundaciones equivalentes a la de los equipos de 500 kV, fundaciones de TTPP o TTCC iguales para un equipo de 500 kV como para equipos de menor nivel de tensión, quedando estas últimas sobredimensionadas, etc.</w:t>
      </w:r>
    </w:p>
    <w:p w14:paraId="53157A88" w14:textId="77777777" w:rsidR="0088776A" w:rsidRDefault="0088776A" w:rsidP="0088776A">
      <w:r>
        <w:t>Entre los elementos faltantes mas relevantes, se observan las plataformas de subestaciones, que no tienen material asociado, por lo que no fueron consideradas en la base. Sin embargo, considerando el importante costo que estas tienen, originados por los volumenes de excavación y relleno y compactado que requiere este elemento, el consultor las agregó con planillas auxiliares a la valorización de la base de datos.</w:t>
      </w:r>
    </w:p>
    <w:p w14:paraId="7A0A86B9" w14:textId="77777777" w:rsidR="0088776A" w:rsidRDefault="0088776A" w:rsidP="0088776A">
      <w:r>
        <w:t>Con este fin se desarrolló un modelo que considera la superficie de las subestaciones y las durezas de terreno informadas en la base de datos para valorizar el volumen de excavación, afectado por el factor de tipo de terreno y el volumen de relleno y compactado necesario para consolidar la plataforma. Esta corrección le aporta al V.I. un monto cercano a los cincuenta millones de dólares.</w:t>
      </w:r>
    </w:p>
    <w:p w14:paraId="00DF66D0" w14:textId="77777777" w:rsidR="0088776A" w:rsidRDefault="0088776A" w:rsidP="0088776A">
      <w:r>
        <w:t>En las líneas se observa un mayor grado de certeza en la información de la base de datos, donde en base a la muestra analizada se concluye que están casi todas las estructuras de torres y fundaciones pero en algunas lineas faltan conductores.</w:t>
      </w:r>
    </w:p>
    <w:p w14:paraId="1577F9EE" w14:textId="77777777" w:rsidR="0088776A" w:rsidRDefault="0088776A" w:rsidP="0088776A">
      <w:r>
        <w:t>Los principales materiales que se observan en exceso son los relacionados con accesorios de estructuras y accesorios vanos, que corresponden a letreros, desviadores de pájaros y algunas distorsiones en amortiguadores, que consideramos no representan un valor relevante en el V.I.</w:t>
      </w:r>
    </w:p>
    <w:p w14:paraId="36BBD410" w14:textId="77777777" w:rsidR="0088776A" w:rsidRDefault="0088776A" w:rsidP="0088776A">
      <w:r>
        <w:t>Los elementos faltantes que se pueden observar en lineas son estructuras, amortiguadores, separadores de conductor y, principalmente cadenas de aisladores.</w:t>
      </w:r>
    </w:p>
    <w:p w14:paraId="5EC33C6B" w14:textId="77777777" w:rsidR="0088776A" w:rsidRDefault="0088776A" w:rsidP="0088776A">
      <w:r>
        <w:t>Las obras civiles para la construcción de una línea de transmisión son relevantes en cuanto al monto de los materiales involucrados. Por esta razón es que se realizó una revisón mas detallada en estos casos para ver las distorsiones mas relevantes.</w:t>
      </w:r>
    </w:p>
    <w:p w14:paraId="02F1CBDC" w14:textId="77777777" w:rsidR="0088776A" w:rsidRDefault="0088776A" w:rsidP="0088776A">
      <w:r>
        <w:t>Del analisis realizado se obtuvo las cantidades informadas en exceso y faltantes que debieron ser modificadas para acercarlas a la realidad.</w:t>
      </w:r>
    </w:p>
    <w:p w14:paraId="11267B7C" w14:textId="77777777" w:rsidR="0088776A" w:rsidRDefault="0088776A" w:rsidP="0088776A">
      <w:r>
        <w:t>Considerando los numerosos errores en las cantidades de tantos elementos, lo cual conduciría inevitablemente a una valorización del V.I. que de ninguna manera representaría razonablemente el valor del STN, se debió realizar modificaciones a los casos más relevantes, para lo cual se debió intervenir la Base de Datos.</w:t>
      </w:r>
    </w:p>
    <w:p w14:paraId="0C5BFF3F" w14:textId="77777777" w:rsidR="0088776A" w:rsidRDefault="0088776A" w:rsidP="0088776A">
      <w:r>
        <w:t>Se creó un nuevo esquema en la base de datos con nombre MOD_ELEQUIPOS, con el fin de diferenciar las tablas que almacenan los datos de input que se utilizan para las modificaciones.</w:t>
      </w:r>
    </w:p>
    <w:p w14:paraId="405BCB09" w14:textId="77777777" w:rsidR="0088776A" w:rsidRDefault="0088776A" w:rsidP="0088776A">
      <w:r>
        <w:t>Lo anterior se realizó debido a que las cantidades de registros a modificar son mayores a 10.000 en algunas tablas por lo que incluir el código para modificar miles de registros de forma detallada por cada uno de ellos a nivel de SQL es ineficiente, sin embargo, en el Anexo VI_4 se incluye documento Excel que muestra el detalle de las modificaciones.</w:t>
      </w:r>
    </w:p>
    <w:p w14:paraId="1C88E61F" w14:textId="77777777" w:rsidR="0088776A" w:rsidRDefault="0088776A" w:rsidP="0088776A">
      <w:r>
        <w:t>Si bien se ha hecho el mayor esfuerzo en corregir los problemas de inventario detectado, no es posible corregirlos todos en el desarrollo de este Estudio. En efecto, las correcciones en los registros de la Base de Datos deben ser efectuadas, de acuerdo con la LGSE, por el CEN. En todo caso   el trabajo que requiere mejorar la base de datos en cuanto a la información ingresada para la incorporación de información faltante y retirar información que no corresponde, es una tarea de magnitud mayor que requiere de un tiempo no menor a seis meses.</w:t>
      </w:r>
    </w:p>
    <w:p w14:paraId="4AF10289" w14:textId="77777777" w:rsidR="0088776A" w:rsidRDefault="0088776A" w:rsidP="001C5645">
      <w:pPr>
        <w:pStyle w:val="Ttulo3"/>
      </w:pPr>
      <w:bookmarkStart w:id="24" w:name="_Toc34687175"/>
      <w:r>
        <w:t>Caracterización de los tramos del STN</w:t>
      </w:r>
      <w:bookmarkEnd w:id="24"/>
    </w:p>
    <w:p w14:paraId="1AFB225B" w14:textId="77777777" w:rsidR="0088776A" w:rsidRDefault="0088776A" w:rsidP="0088776A">
      <w:r>
        <w:t>En las Bases Técnicas del Estudio, en su capítulo 5.2 Caracterización de Tramos se establece lo siguiente:</w:t>
      </w:r>
    </w:p>
    <w:p w14:paraId="2F61B5B5" w14:textId="77777777" w:rsidR="0088776A" w:rsidRPr="001C5645" w:rsidRDefault="0088776A" w:rsidP="0088776A">
      <w:pPr>
        <w:rPr>
          <w:i/>
          <w:iCs/>
        </w:rPr>
      </w:pPr>
      <w:r w:rsidRPr="001C5645">
        <w:rPr>
          <w:i/>
          <w:iCs/>
        </w:rPr>
        <w:t>Para cada tramo deberá especificarse el inventario de componentes correspondiente, de acuerdo a los formatos establecidos en las presentes Bases. Esta especificación deberá contener, al menos, el nombre del tramo, la asignación de un código de identificación, la identificación del o los propietarios, subdivisión del tramo por cada propietario, una enumeración detallada de los componentes del tramo especificando, cuando corresponda, capacidades nominales de potencia activa o reactiva, corrientes nominales, límites térmicos, tensiones nominales de operación y un diagrama unifilar monofásico simplificado.</w:t>
      </w:r>
    </w:p>
    <w:p w14:paraId="5284A084" w14:textId="77777777" w:rsidR="0088776A" w:rsidRDefault="0088776A" w:rsidP="0088776A">
      <w:r w:rsidRPr="001C5645">
        <w:rPr>
          <w:i/>
          <w:iCs/>
        </w:rPr>
        <w:t>En el caso de obras civiles asociadas a tramos de subestaciones, se deberá especificar adicionalmente y, al menos, el material constructivo, la superficie construida y la superficie del recinto ocupado por la subestación. En caso de tramos de transporte, deberá especificarse adicionalmente y, al menos, la capacidad de transporte con sol a la temperatura máxima propia de la zona geográfica, la longitud, tipo y sección de conductor, cable de guardia (continuo o discontinuo), comunicaciones para protecciones, el número de estructuras y vano medio, tipo de estructura (anclaje, suspensión, otros), su descripción, material constructivo, resistencia máxima de puesta a tierra y franja de servidumbre.</w:t>
      </w:r>
    </w:p>
    <w:p w14:paraId="450ED7E5" w14:textId="2106EFE2" w:rsidR="0088776A" w:rsidRDefault="0088776A" w:rsidP="0088776A">
      <w:r>
        <w:t>Para dar cumplimiento se ha elaborado la información señalada en las Bases del estudio, la cual se encuentra en archivos adjuntos al Anexo VI_5. CARACTERIZACIÓN DE TRAMOS DEL STN, que forma parte de este Informe de Avance 2, organizada en las siguientes carpetas:</w:t>
      </w:r>
    </w:p>
    <w:p w14:paraId="222D791C" w14:textId="458BF001" w:rsidR="001C5645" w:rsidRDefault="001C5645" w:rsidP="0088776A">
      <w:r w:rsidRPr="00E73A77">
        <w:rPr>
          <w:noProof/>
        </w:rPr>
        <w:drawing>
          <wp:inline distT="0" distB="0" distL="0" distR="0" wp14:anchorId="24831F1F" wp14:editId="554DAA0C">
            <wp:extent cx="2000250" cy="16383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00250" cy="1638300"/>
                    </a:xfrm>
                    <a:prstGeom prst="rect">
                      <a:avLst/>
                    </a:prstGeom>
                  </pic:spPr>
                </pic:pic>
              </a:graphicData>
            </a:graphic>
          </wp:inline>
        </w:drawing>
      </w:r>
    </w:p>
    <w:p w14:paraId="657D5444" w14:textId="77777777" w:rsidR="0088776A" w:rsidRDefault="0088776A" w:rsidP="0088776A">
      <w:r>
        <w:t xml:space="preserve"> </w:t>
      </w:r>
    </w:p>
    <w:p w14:paraId="14169A02" w14:textId="77777777" w:rsidR="0088776A" w:rsidRDefault="0088776A" w:rsidP="001C5645">
      <w:pPr>
        <w:pStyle w:val="Ttulo3"/>
      </w:pPr>
      <w:bookmarkStart w:id="25" w:name="_Toc34687176"/>
      <w:r>
        <w:t>Estudio de precios</w:t>
      </w:r>
      <w:bookmarkEnd w:id="25"/>
    </w:p>
    <w:p w14:paraId="421F0862" w14:textId="77777777" w:rsidR="0088776A" w:rsidRDefault="0088776A" w:rsidP="0088776A">
      <w:r>
        <w:t>Las Bases del Estudio establecen que los precios (costos unitarios) considerados para valorizar las instalaciones e infraestructura deberán basarse en estudios de mercado. Para obtener el inventario de materiales y equipos valorizado, se debe haber realizado un estudio de mercado de precios de elementos de transmisión de acuerdo con un principio de adquisición eficiente, con el fin obtener un listado de precios unitarios de elementos de transmisión.</w:t>
      </w:r>
    </w:p>
    <w:p w14:paraId="3B916048" w14:textId="77777777" w:rsidR="0088776A" w:rsidRDefault="0088776A" w:rsidP="0088776A">
      <w:r>
        <w:t>Este estudio de mercado se ha realizado solicitando cotización a diferentes empresas proveedoras reconocidas en el mercado, con amplia experiencia en suministros para sistemas de transmisión, en los niveles de tensión superiores comprendidos en esta valorización.</w:t>
      </w:r>
    </w:p>
    <w:p w14:paraId="53278B56" w14:textId="77777777" w:rsidR="0088776A" w:rsidRDefault="0088776A" w:rsidP="0088776A">
      <w:r>
        <w:t>Para el desarrollo del estudio de precios se definió la siguiente secuencia de actividades:</w:t>
      </w:r>
    </w:p>
    <w:p w14:paraId="2F1952A3" w14:textId="6D877571" w:rsidR="0088776A" w:rsidRDefault="0088776A" w:rsidP="002E20CA">
      <w:pPr>
        <w:pStyle w:val="Prrafodelista"/>
        <w:numPr>
          <w:ilvl w:val="0"/>
          <w:numId w:val="75"/>
        </w:numPr>
      </w:pPr>
      <w:r>
        <w:t xml:space="preserve">Desde la Base de Datos del listado de elementos existentes, agrupados por familia, se elaboró una lista de elementos de transmisión utilizados en instalaciones del Sistema de Transmisión Nacional, sean estos equipos o materiales, determinando su procedencia ya sea del mercado nacional o extranjero. </w:t>
      </w:r>
    </w:p>
    <w:p w14:paraId="7983FC5F" w14:textId="50442512" w:rsidR="0088776A" w:rsidRDefault="0088776A" w:rsidP="002E20CA">
      <w:pPr>
        <w:pStyle w:val="Prrafodelista"/>
        <w:numPr>
          <w:ilvl w:val="0"/>
          <w:numId w:val="75"/>
        </w:numPr>
      </w:pPr>
      <w:r>
        <w:t>Caracterización y especificación técnica relevante de los elementos de transmisión. Para cada uno de los elementos de transmisión definidos, revisar la caracterización de sus especificaciones técnicas.</w:t>
      </w:r>
    </w:p>
    <w:p w14:paraId="5775BB73" w14:textId="69B2A0ED" w:rsidR="0088776A" w:rsidRDefault="0088776A" w:rsidP="002E20CA">
      <w:pPr>
        <w:pStyle w:val="Prrafodelista"/>
        <w:numPr>
          <w:ilvl w:val="0"/>
          <w:numId w:val="75"/>
        </w:numPr>
      </w:pPr>
      <w:r>
        <w:t>Identificación de los proveedores de los elementos de transmisión, tanto en el mercado nacional, como en el extranjero. Se recurrió a los proveedores existentes utilizados tanto por las empresas eléctricas de generación, transmisión y distribución, como por las empresas contratistas, constructores o proveedores nacionales o internacionales, sin atribuir características de calidad por origen de los productos.</w:t>
      </w:r>
    </w:p>
    <w:p w14:paraId="5AA51D31" w14:textId="06B94B74" w:rsidR="0088776A" w:rsidRDefault="0088776A" w:rsidP="002E20CA">
      <w:pPr>
        <w:pStyle w:val="Prrafodelista"/>
        <w:numPr>
          <w:ilvl w:val="0"/>
          <w:numId w:val="75"/>
        </w:numPr>
      </w:pPr>
      <w:r>
        <w:t>Desarrollo de lista de proveedores por familias de elementos para solicitar cotizaciones.</w:t>
      </w:r>
    </w:p>
    <w:p w14:paraId="0B5DC8A8" w14:textId="16354CC9" w:rsidR="0088776A" w:rsidRDefault="0088776A" w:rsidP="002E20CA">
      <w:pPr>
        <w:pStyle w:val="Prrafodelista"/>
        <w:numPr>
          <w:ilvl w:val="0"/>
          <w:numId w:val="75"/>
        </w:numPr>
      </w:pPr>
      <w:r>
        <w:t xml:space="preserve">Solicitar mediante carta a proveedores, cotizaciones de los elementos de transmisión. El proceso de solicitud de cotizaciones a los proveedores identificados como importados para el catastro de elementos de transmisión, se ha realizado a precio FOB. </w:t>
      </w:r>
    </w:p>
    <w:p w14:paraId="27E77F11" w14:textId="526915C9" w:rsidR="0088776A" w:rsidRDefault="0088776A" w:rsidP="002E20CA">
      <w:pPr>
        <w:pStyle w:val="Prrafodelista"/>
        <w:numPr>
          <w:ilvl w:val="0"/>
          <w:numId w:val="75"/>
        </w:numPr>
      </w:pPr>
      <w:r>
        <w:t>Solicitar precios de Transporte Marítimo para este tipo de elementos, entre puertos chilenos y puertos utilizados normalmente de Europa, Asia y Norteamérica.</w:t>
      </w:r>
    </w:p>
    <w:p w14:paraId="77028531" w14:textId="1C6AA488" w:rsidR="0088776A" w:rsidRDefault="0088776A" w:rsidP="002E20CA">
      <w:pPr>
        <w:pStyle w:val="Prrafodelista"/>
        <w:numPr>
          <w:ilvl w:val="0"/>
          <w:numId w:val="75"/>
        </w:numPr>
      </w:pPr>
      <w:r>
        <w:t xml:space="preserve">Elaborar planilla de precios de cotizaciones de materiales, agregando valor de transporte marítimo y, en los casos pertinentes, tasa arancelaria de 6%. </w:t>
      </w:r>
    </w:p>
    <w:p w14:paraId="36BC96B9" w14:textId="44A65128" w:rsidR="0088776A" w:rsidRDefault="0088776A" w:rsidP="002E20CA">
      <w:pPr>
        <w:pStyle w:val="Prrafodelista"/>
        <w:numPr>
          <w:ilvl w:val="0"/>
          <w:numId w:val="75"/>
        </w:numPr>
      </w:pPr>
      <w:r>
        <w:t>Agregar en planilla de precios, precios de estudios anteriores. Como complemento a las cotizaciones, se recopilarán precios de elementos de transmisión desde estudios anteriores u otros antecedentes disponibles.</w:t>
      </w:r>
    </w:p>
    <w:p w14:paraId="7BEEFCAA" w14:textId="6674030A" w:rsidR="0088776A" w:rsidRDefault="0088776A" w:rsidP="002E20CA">
      <w:pPr>
        <w:pStyle w:val="Prrafodelista"/>
        <w:numPr>
          <w:ilvl w:val="0"/>
          <w:numId w:val="75"/>
        </w:numPr>
      </w:pPr>
      <w:r>
        <w:t>Solicitar, de acuerdo con las bases, precios de elementos de transmisión a las empresas transmisoras propietarias de las instalaciones del sistema de transmisión nacional.</w:t>
      </w:r>
    </w:p>
    <w:p w14:paraId="1A5FEE36" w14:textId="4BE74CDD" w:rsidR="0088776A" w:rsidRDefault="0088776A" w:rsidP="002E20CA">
      <w:pPr>
        <w:pStyle w:val="Prrafodelista"/>
        <w:numPr>
          <w:ilvl w:val="0"/>
          <w:numId w:val="75"/>
        </w:numPr>
      </w:pPr>
      <w:r>
        <w:t>Determinar precios unitarios de los elementos de transmisión de acuerdo con un principio de adquisición eficiente, aplicando fórmulas de indexación para determinar precios al 31 de diciembre de 2017.</w:t>
      </w:r>
    </w:p>
    <w:p w14:paraId="6D42492F" w14:textId="77777777" w:rsidR="0088776A" w:rsidRDefault="0088776A" w:rsidP="0088776A">
      <w:r>
        <w:t>Se ha realizado una recopilación de toda la información disponible, tanto de la Comisión, del sitio web del Coordinador Eléctrico Nacional y de los archivos de los consultores. La información utilizada de la Comisión Nacional de Energía, es aquella relativa a informes realizados con anterioridad, de estudios de valorización del sistema troncal (actual sistema nacional), con motivo de tarificación de la transmisión.</w:t>
      </w:r>
    </w:p>
    <w:p w14:paraId="22FE796D" w14:textId="77777777" w:rsidR="0088776A" w:rsidRDefault="0088776A" w:rsidP="0088776A">
      <w:r>
        <w:t>De la información del CENj se tiene una base de datos de las instalaciones del sistema, que contiene todos los equipos y materiales instalados con la descripción de las características principales de ellos.</w:t>
      </w:r>
    </w:p>
    <w:p w14:paraId="17850D10" w14:textId="77777777" w:rsidR="0088776A" w:rsidRDefault="0088776A" w:rsidP="0088776A">
      <w:r>
        <w:t xml:space="preserve">Con la información obtenida, una vez analizada y depurada, se ha elaborado la lista de materiales y equipos a cotizar, priorizando aquellos de mayor valor e incidencia en la valorización del STN. El conjunto de estos equipos y materiales principales representan un porcentaje muy elevado del valor de elementos de transmisión.  </w:t>
      </w:r>
    </w:p>
    <w:p w14:paraId="6652D6B5" w14:textId="77777777" w:rsidR="0088776A" w:rsidRDefault="0088776A" w:rsidP="0088776A">
      <w:r>
        <w:t>Para los principales elementos de cada familia, se ha elaborado una hoja de datos técnicos que entrega su caracterización a partir de las especificaciones técnicas usualmente utilizadas para la adquisición de esos elementos. En esta caracterización tiene relación con el estándar de calidad de componentes sobre la base de las normas mayoritariamente utilizadas, las exigencias de comportamiento sísmico en conformidad a la normativa nacional (cuando corresponde) y las condiciones de calidad y seguridad de servicio.</w:t>
      </w:r>
    </w:p>
    <w:p w14:paraId="1303CAED" w14:textId="77777777" w:rsidR="0088776A" w:rsidRDefault="0088776A" w:rsidP="0088776A">
      <w:r>
        <w:t>Se ha identificado a los proveedores y representantes de fábricas de las marcas de mayor presencia en el mercado eléctrico, que han participado en los suministros para las empresas eléctricas y contratistas de obras de los últimos años, determinando las familias de elementos que comercializa. Con esto se confecciona una lista de proveedores por familias de elementos para la valorización del Sistema de Transmisión Nacional.</w:t>
      </w:r>
    </w:p>
    <w:p w14:paraId="138CB287" w14:textId="77777777" w:rsidR="0088776A" w:rsidRDefault="0088776A" w:rsidP="0088776A">
      <w:r>
        <w:t>Para determinar los precios de los elementos de transmisión, como primera actividad se analiza las cotizaciones recibidas, con el fin de verificar que los precios informados correspondieran a los elementos solicitados en cuanto a sus características técnicas.</w:t>
      </w:r>
    </w:p>
    <w:p w14:paraId="17A9A303" w14:textId="77777777" w:rsidR="0088776A" w:rsidRDefault="0088776A" w:rsidP="0088776A">
      <w:r>
        <w:t xml:space="preserve">El resultado de la etapa de cotización es la obtención de precios, solo para una parte de los elementos de cada familia. Debido a lo anterior, se define que para obtener precios para los restantes elementos se utilice la interpolación y extrapolación de precios, aplicable para cada familia. El modelo se basa en la obtención de la función que representa la tendencia de la curva establecida con los precios obtenidos según la variable más representativa que explica la variación del precio (como por ejemplo el nivel de tensión o la capacidad), seleccionando aquella función que entrega la mayor correlación. </w:t>
      </w:r>
    </w:p>
    <w:p w14:paraId="61DF65E2" w14:textId="77777777" w:rsidR="0088776A" w:rsidRDefault="0088776A" w:rsidP="0088776A">
      <w:r>
        <w:t>En aquellos casos que no se obtiene cotización y tampoco fue posible utilizar el procedimiento de interpolación o extrapolación, se utilizan valores obtenidos de estudios anteriores, indexados para ser actualizados a la fecha del estudio.</w:t>
      </w:r>
    </w:p>
    <w:p w14:paraId="525466FE" w14:textId="77777777" w:rsidR="0088776A" w:rsidRDefault="0088776A" w:rsidP="0088776A">
      <w:r>
        <w:t xml:space="preserve">Se determinan los elementos que tendrán la categoría de importados, con todo el detalle técnico necesario y se solicita la cotización al proveedor respectivo. Estos elementos se cotizan a valor FOB (Free on Board), para posteriormente agregarle, los costos de transporte internacional, seguros e internación. </w:t>
      </w:r>
    </w:p>
    <w:p w14:paraId="4768CD92" w14:textId="589FAA7D" w:rsidR="001C5645" w:rsidRPr="00DB0C32" w:rsidRDefault="001C5645" w:rsidP="00F44B99">
      <w:pPr>
        <w:spacing w:before="120" w:after="120" w:line="264" w:lineRule="auto"/>
        <w:jc w:val="center"/>
        <w:rPr>
          <w:bCs/>
        </w:rPr>
      </w:pPr>
      <w:r w:rsidRPr="00DB0C32">
        <w:rPr>
          <w:bCs/>
        </w:rPr>
        <w:t xml:space="preserve">VALOR </w:t>
      </w:r>
      <w:r w:rsidRPr="001C5645">
        <w:rPr>
          <w:bCs/>
        </w:rPr>
        <w:t>CIF</w:t>
      </w:r>
      <w:r w:rsidRPr="00DB0C32">
        <w:rPr>
          <w:bCs/>
        </w:rPr>
        <w:t xml:space="preserve"> = (VALOR </w:t>
      </w:r>
      <w:r w:rsidRPr="001C5645">
        <w:rPr>
          <w:bCs/>
        </w:rPr>
        <w:t>FOB</w:t>
      </w:r>
      <w:r w:rsidRPr="00DB0C32">
        <w:rPr>
          <w:bCs/>
        </w:rPr>
        <w:t xml:space="preserve"> + FLETE</w:t>
      </w:r>
      <w:r w:rsidRPr="001C5645">
        <w:rPr>
          <w:bCs/>
        </w:rPr>
        <w:t xml:space="preserve"> + </w:t>
      </w:r>
      <w:r w:rsidRPr="00DB0C32">
        <w:rPr>
          <w:bCs/>
        </w:rPr>
        <w:t>SEGURO ) x (1+ % INTERNACIÓN)</w:t>
      </w:r>
    </w:p>
    <w:p w14:paraId="193D1DF1" w14:textId="5FA31B55" w:rsidR="0088776A" w:rsidRPr="001C5645" w:rsidRDefault="0088776A" w:rsidP="001C5645">
      <w:pPr>
        <w:spacing w:before="120" w:after="120"/>
        <w:rPr>
          <w:bCs/>
        </w:rPr>
      </w:pPr>
    </w:p>
    <w:p w14:paraId="58B26B09" w14:textId="77777777" w:rsidR="0088776A" w:rsidRDefault="0088776A" w:rsidP="0088776A">
      <w:r>
        <w:t>Donde:</w:t>
      </w:r>
    </w:p>
    <w:p w14:paraId="4FC112DB" w14:textId="77777777" w:rsidR="0088776A" w:rsidRDefault="0088776A" w:rsidP="0088776A">
      <w:r>
        <w:t>VALOR FOB = Valor cotizado de Elemento de Transmisión (Free on Board).</w:t>
      </w:r>
    </w:p>
    <w:p w14:paraId="3CFD4C8D" w14:textId="77777777" w:rsidR="0088776A" w:rsidRDefault="0088776A" w:rsidP="0088776A">
      <w:r>
        <w:t xml:space="preserve">SEGURO + FLETE = Valor de Flete y Seguro Marítimo desde el Puerto de </w:t>
      </w:r>
    </w:p>
    <w:p w14:paraId="5C6E93C3" w14:textId="77777777" w:rsidR="0088776A" w:rsidRDefault="0088776A" w:rsidP="0088776A">
      <w:r>
        <w:t>Las componentes de las instalaciones se deben valorizar conforme su costo puesto y habilitado en terreno, de acuerdo con su costo eficiente de adquisición y a los costos de las tareas propias del proyecto de habilitación de la instalación o infraestructura como proyecto completo (recargos). En virtud de lo anterior, los costos de transporte nacional y bodegaje correspondientes entre otros, se agregan posteriormente como recargos.</w:t>
      </w:r>
    </w:p>
    <w:p w14:paraId="1927982D" w14:textId="77777777" w:rsidR="0088776A" w:rsidRDefault="0088776A" w:rsidP="0088776A">
      <w:r>
        <w:t>El costo de transporte nacional se obtiene de cotizaciones a empresas de transporte reconocidas en el país, obteniendo con esto un costo unitario por tonelada-km desde el puerto más cercano (Iquique, Valparaíso, Talcahuano, Coquimbo, etc.) hasta la obra. Los costos de bodegaje (recepción, registro, almacenamiento y despacho) estan incluidos dentro del Recargo por Bodegaje.</w:t>
      </w:r>
    </w:p>
    <w:p w14:paraId="1F05C540" w14:textId="77777777" w:rsidR="0088776A" w:rsidRDefault="0088776A" w:rsidP="0088776A">
      <w:r>
        <w:t>De igual forma que en el caso de los importados, los costos de equipos y materiales nacionales se han obtenido de cotizaciones que se solicitan a empresas y proveedores, en este caso mayoristas nacionales, y para cantidades específicas de cada elemento basado en los listados de elementos de cada familia.</w:t>
      </w:r>
    </w:p>
    <w:p w14:paraId="3B6CE5FE" w14:textId="77777777" w:rsidR="0088776A" w:rsidRDefault="0088776A" w:rsidP="0088776A">
      <w:r>
        <w:t>Los valores de transporte y bodegaje se han obtenido de la misma forma que para el caso de materiales importados.</w:t>
      </w:r>
    </w:p>
    <w:p w14:paraId="5BC00E86" w14:textId="77777777" w:rsidR="0088776A" w:rsidRDefault="0088776A" w:rsidP="0088776A">
      <w:r>
        <w:t>Una vez determinado el inventario de los precios mínimos por cada elemento de transmisión, se ha procedido a aplicar las fórmulas que permiten llevar los precios obtenidos, a la fecha definida en la Bases.</w:t>
      </w:r>
    </w:p>
    <w:p w14:paraId="71FA0EEE" w14:textId="77777777" w:rsidR="0088776A" w:rsidRDefault="0088776A" w:rsidP="0088776A">
      <w:r>
        <w:t>Para llevar los precios obtenidos en nuestra etapa de cotizaciones, al 31 de diciembre de 2017, se ha utilizado un modelo que considera la variación del IPC (Índice de Precios al Consumidor) y la variación del valor del Dólar, para los elementos de transmisión nacionales. Para los elementos de transmisión importados, el cálculo considera la variación del CPI (Consumer Price Index) en el periodo entre la cotización y el 31 de diciembre de 2017, fecha determinada por las bases.</w:t>
      </w:r>
    </w:p>
    <w:p w14:paraId="211BC204" w14:textId="77777777" w:rsidR="0088776A" w:rsidRDefault="0088776A" w:rsidP="0088776A">
      <w:r>
        <w:t>El resultado del estudio de precios entrega como resultado una tabla de precios unitarios de adquisición de equipos y materiales que se utiliza como fuente para asignarle un costo unitario (Cu) a cada elemento del Sistema de Transmisión Nacional en la planilla Excel extraída de la base de datos.</w:t>
      </w:r>
    </w:p>
    <w:p w14:paraId="40EEC92D" w14:textId="77777777" w:rsidR="0088776A" w:rsidRDefault="0088776A" w:rsidP="0088776A">
      <w:r>
        <w:t>El detalle del estudio de precios incluyendo la planilla con los valores resultantes para el valor unitario utilizado en el cálculo del VI de las instalaciones se encuentra en el Anexo VI_6 de este Informe de Avance 2.</w:t>
      </w:r>
    </w:p>
    <w:p w14:paraId="23A8A641" w14:textId="77777777" w:rsidR="0088776A" w:rsidRDefault="0088776A" w:rsidP="001C5645">
      <w:pPr>
        <w:pStyle w:val="Ttulo3"/>
      </w:pPr>
      <w:bookmarkStart w:id="26" w:name="_Toc34687177"/>
      <w:r>
        <w:t>Costos de Montaje</w:t>
      </w:r>
      <w:bookmarkEnd w:id="26"/>
    </w:p>
    <w:p w14:paraId="17FEDC77" w14:textId="77777777" w:rsidR="0088776A" w:rsidRDefault="0088776A" w:rsidP="0088776A">
      <w:r>
        <w:t>Los costos de montaje calculados deben agregarse a la Base de Datos, para lo cual debe asignarse a todos y cada uno de los elementos de cada instalación una cantidad de HH (horas hombre) y un valor de la HH.</w:t>
      </w:r>
    </w:p>
    <w:p w14:paraId="275C7455" w14:textId="77777777" w:rsidR="0088776A" w:rsidRDefault="0088776A" w:rsidP="0088776A">
      <w:r>
        <w:t>En consecuencia, la metodología de cálculo que normalmente se utiliza para determinar los costos de montaje debe adaptarse a los requerimientos de las Bases. Se debe considerar en los costos todos los aspectos enumerados en las Bases pero por otra parte los resultados deben presentarse solo como una cantidad de HH y un valor de HH, elemento por elemento.</w:t>
      </w:r>
    </w:p>
    <w:p w14:paraId="20E7B613" w14:textId="77777777" w:rsidR="0088776A" w:rsidRDefault="0088776A" w:rsidP="0088776A">
      <w:r>
        <w:t>Para lograr lo anterior, se requiere entonces modelar los costos de montaje en forma separada de la base de datos, para poder incluir todos los componentes de costos incluidos en las bases y los resultados obtenidos traducirlos de alguna forma a cantidades y valores de HH de elementos, de modo que el cálculo de montaje realizado en la base de datos coincida con el valor de montaje calculado con el modelo de cálculo</w:t>
      </w:r>
    </w:p>
    <w:p w14:paraId="7440BE88" w14:textId="77777777" w:rsidR="0088776A" w:rsidRDefault="0088776A" w:rsidP="0088776A">
      <w:r>
        <w:t>Se ha diseñado y utilizado un modelo de cálculo de montaje en planilla Excel, que considera, para cada tarea, el dimensionamiento de una cuadrilla de montaje en cantidad de personas y la calificación de cada una de ellas y el tiempo de ejecución eficiente, es decir el rendimiento de la cuadrilla. El modelo incluye una parametrización mediante factores de ajuste para incluir la variación que se produce en el rendimiento por diversas razones, como por ejemplo la ubicación geográfica (valle, costa o cordillera y distancia a centros urbanos), la altura sobre el nivel del mar (entre 0 y 1000, de 1000 a 3000 y sobre 3000), el clima (lluvioso o seco). Los costos unitarios del personal de las cuadrillas se obtienen del estudio de mercado de remuneraciones.</w:t>
      </w:r>
    </w:p>
    <w:p w14:paraId="72DA5A1E" w14:textId="77777777" w:rsidR="0088776A" w:rsidRDefault="0088776A" w:rsidP="0088776A">
      <w:r>
        <w:t>El modelo permite obtener la cantidad de HH y el valor de la HH del montaje de los equipos eléctricos principales, cuyo producto es el costo de montaje de la actividad correspondiente. Del mismo modo se realiza para las obras civiles que consisten fundamentalmente en fundaciones, estructuras y edificaciones.</w:t>
      </w:r>
    </w:p>
    <w:p w14:paraId="3DC034B3" w14:textId="77777777" w:rsidR="0088776A" w:rsidRDefault="0088776A" w:rsidP="0088776A">
      <w:r>
        <w:t>Las actividades se calculan para un valor base en condiciones normales de ejecución, en cuanto a ubicación geográfica, altura y tipo de clima. Con el fin de considerar la diferencia de costos como consecuencia de la variación en los aspectos mencionados que presentan instalaciones específicas del STN se definen factores que se aplican sobre el rendimiento establecido para la condición normal, entendiendo como rendimiento la cantidad instalada por unidad de tiempo.</w:t>
      </w:r>
    </w:p>
    <w:p w14:paraId="11B27DFD" w14:textId="77777777" w:rsidR="0088776A" w:rsidRDefault="0088776A" w:rsidP="0088776A">
      <w:r>
        <w:t>Considerando que los resultados deben presentarse en la Base de Datos, se determinó que resulta más eficiente que los factores se apliquen directamente dentro de la Base, por lo cual se elaboró una matriz en Excel que contiene los factores para cada uno de los tramos la cual se subió a a base como una tabla de factores y se relacionó el cálculo del montaje de cada uno de los tramos con la cantidad de HH, el valor de HH y los factores propios del tramo.</w:t>
      </w:r>
    </w:p>
    <w:p w14:paraId="079806EA" w14:textId="77777777" w:rsidR="0088776A" w:rsidRDefault="0088776A" w:rsidP="0088776A">
      <w:r>
        <w:t>Con el procedimiento descrito, el cálculo del costo de montaje queda incorporado en el motor de cálculo del V.I. que se utiliza para valorizar las instalaciones de la base de datos.</w:t>
      </w:r>
    </w:p>
    <w:p w14:paraId="6E4DF4BB" w14:textId="52B45785" w:rsidR="0088776A" w:rsidRDefault="0088776A" w:rsidP="0088776A">
      <w:r>
        <w:t>La obtención de los costos de montaje por las tareas que se muestran en la tabla siguiente, se obtienen directamente en la Base de Datos, pudiendo bajarse a una panilla Excel para su análisis.</w:t>
      </w:r>
    </w:p>
    <w:p w14:paraId="6B8E61CE" w14:textId="504B0988" w:rsidR="009F3AA0" w:rsidRDefault="009F3AA0" w:rsidP="0088776A"/>
    <w:p w14:paraId="69B97D3F" w14:textId="76FE6CB8" w:rsidR="009F3AA0" w:rsidRDefault="009F3AA0" w:rsidP="0088776A"/>
    <w:p w14:paraId="199DB460" w14:textId="77777777" w:rsidR="009F3AA0" w:rsidRDefault="009F3AA0" w:rsidP="0088776A"/>
    <w:p w14:paraId="65429409" w14:textId="5DC5C554" w:rsidR="001C5645" w:rsidRPr="0037269A" w:rsidRDefault="001C5645" w:rsidP="001C5645">
      <w:pPr>
        <w:jc w:val="center"/>
        <w:rPr>
          <w:lang w:val="es-CL"/>
        </w:rPr>
      </w:pPr>
      <w:bookmarkStart w:id="27" w:name="_Toc34655185"/>
      <w:r w:rsidRPr="0037269A">
        <w:rPr>
          <w:b/>
          <w:iCs/>
          <w:sz w:val="20"/>
          <w:szCs w:val="20"/>
        </w:rPr>
        <w:t xml:space="preserve">Tabla </w:t>
      </w:r>
      <w:r w:rsidRPr="0037269A">
        <w:rPr>
          <w:b/>
          <w:iCs/>
          <w:sz w:val="20"/>
          <w:szCs w:val="20"/>
        </w:rPr>
        <w:fldChar w:fldCharType="begin"/>
      </w:r>
      <w:r w:rsidRPr="0037269A">
        <w:rPr>
          <w:b/>
          <w:iCs/>
          <w:sz w:val="20"/>
          <w:szCs w:val="20"/>
        </w:rPr>
        <w:instrText xml:space="preserve"> SEQ Tabla \* ARABIC </w:instrText>
      </w:r>
      <w:r w:rsidRPr="0037269A">
        <w:rPr>
          <w:b/>
          <w:iCs/>
          <w:sz w:val="20"/>
          <w:szCs w:val="20"/>
        </w:rPr>
        <w:fldChar w:fldCharType="separate"/>
      </w:r>
      <w:r w:rsidR="00F14BED">
        <w:rPr>
          <w:b/>
          <w:iCs/>
          <w:noProof/>
          <w:sz w:val="20"/>
          <w:szCs w:val="20"/>
        </w:rPr>
        <w:t>2</w:t>
      </w:r>
      <w:r w:rsidRPr="0037269A">
        <w:rPr>
          <w:b/>
          <w:iCs/>
          <w:sz w:val="20"/>
          <w:szCs w:val="20"/>
        </w:rPr>
        <w:fldChar w:fldCharType="end"/>
      </w:r>
      <w:r w:rsidRPr="0037269A">
        <w:rPr>
          <w:b/>
          <w:iCs/>
          <w:sz w:val="20"/>
          <w:szCs w:val="20"/>
        </w:rPr>
        <w:t>: Desglose Tareas de montaje mínimas de subestaciones</w:t>
      </w:r>
      <w:bookmarkEnd w:id="27"/>
    </w:p>
    <w:tbl>
      <w:tblPr>
        <w:tblW w:w="0" w:type="auto"/>
        <w:jc w:val="center"/>
        <w:tblLayout w:type="fixed"/>
        <w:tblCellMar>
          <w:left w:w="57" w:type="dxa"/>
          <w:right w:w="57" w:type="dxa"/>
        </w:tblCellMar>
        <w:tblLook w:val="04A0" w:firstRow="1" w:lastRow="0" w:firstColumn="1" w:lastColumn="0" w:noHBand="0" w:noVBand="1"/>
      </w:tblPr>
      <w:tblGrid>
        <w:gridCol w:w="1134"/>
        <w:gridCol w:w="6804"/>
      </w:tblGrid>
      <w:tr w:rsidR="001C5645" w:rsidRPr="002C2818" w14:paraId="7A4276D8" w14:textId="77777777" w:rsidTr="00725CE1">
        <w:trPr>
          <w:jc w:val="center"/>
        </w:trPr>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360006" w14:textId="77777777" w:rsidR="001C5645" w:rsidRPr="008845E8" w:rsidRDefault="001C5645" w:rsidP="00725CE1">
            <w:pPr>
              <w:spacing w:before="20" w:after="20" w:line="240" w:lineRule="auto"/>
              <w:jc w:val="center"/>
              <w:rPr>
                <w:rFonts w:eastAsia="Times New Roman" w:cs="Calibri"/>
                <w:b/>
                <w:bCs/>
                <w:color w:val="000000"/>
                <w:sz w:val="20"/>
                <w:szCs w:val="20"/>
                <w:lang w:val="es-ES" w:eastAsia="es-ES"/>
              </w:rPr>
            </w:pPr>
            <w:r w:rsidRPr="008845E8">
              <w:rPr>
                <w:rFonts w:eastAsia="Times New Roman" w:cs="Calibri"/>
                <w:b/>
                <w:bCs/>
                <w:color w:val="000000"/>
                <w:sz w:val="20"/>
                <w:szCs w:val="20"/>
                <w:lang w:eastAsia="es-ES"/>
              </w:rPr>
              <w:t>Nº</w:t>
            </w:r>
          </w:p>
        </w:tc>
        <w:tc>
          <w:tcPr>
            <w:tcW w:w="680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ABCF75" w14:textId="77777777" w:rsidR="001C5645" w:rsidRPr="008845E8" w:rsidRDefault="001C5645" w:rsidP="00725CE1">
            <w:pPr>
              <w:spacing w:before="20" w:after="20" w:line="240" w:lineRule="auto"/>
              <w:jc w:val="center"/>
              <w:rPr>
                <w:rFonts w:eastAsia="Times New Roman" w:cs="Calibri"/>
                <w:b/>
                <w:bCs/>
                <w:color w:val="000000"/>
                <w:sz w:val="20"/>
                <w:szCs w:val="20"/>
                <w:lang w:val="es-ES" w:eastAsia="es-ES"/>
              </w:rPr>
            </w:pPr>
            <w:r w:rsidRPr="008845E8">
              <w:rPr>
                <w:rFonts w:eastAsia="Times New Roman" w:cs="Calibri"/>
                <w:b/>
                <w:bCs/>
                <w:color w:val="000000"/>
                <w:sz w:val="20"/>
                <w:szCs w:val="20"/>
                <w:lang w:eastAsia="es-ES"/>
              </w:rPr>
              <w:t>DESCRIPCIÓN</w:t>
            </w:r>
          </w:p>
        </w:tc>
      </w:tr>
      <w:tr w:rsidR="001C5645" w:rsidRPr="002C2818" w14:paraId="375E43AA" w14:textId="77777777" w:rsidTr="00725CE1">
        <w:trPr>
          <w:jc w:val="center"/>
        </w:trPr>
        <w:tc>
          <w:tcPr>
            <w:tcW w:w="1134" w:type="dxa"/>
            <w:tcBorders>
              <w:top w:val="single" w:sz="6" w:space="0" w:color="auto"/>
              <w:left w:val="single" w:sz="6" w:space="0" w:color="auto"/>
              <w:bottom w:val="single" w:sz="2" w:space="0" w:color="auto"/>
              <w:right w:val="single" w:sz="6" w:space="0" w:color="auto"/>
            </w:tcBorders>
            <w:shd w:val="clear" w:color="auto" w:fill="auto"/>
            <w:noWrap/>
            <w:vAlign w:val="center"/>
          </w:tcPr>
          <w:p w14:paraId="62D63746"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rFonts w:eastAsia="Times New Roman" w:cs="Calibri"/>
                <w:color w:val="000000"/>
                <w:sz w:val="20"/>
                <w:szCs w:val="20"/>
                <w:lang w:val="es-ES" w:eastAsia="es-ES"/>
              </w:rPr>
              <w:t>1</w:t>
            </w:r>
          </w:p>
        </w:tc>
        <w:tc>
          <w:tcPr>
            <w:tcW w:w="6804" w:type="dxa"/>
            <w:tcBorders>
              <w:top w:val="single" w:sz="6" w:space="0" w:color="auto"/>
              <w:left w:val="single" w:sz="6" w:space="0" w:color="auto"/>
              <w:bottom w:val="single" w:sz="2" w:space="0" w:color="auto"/>
              <w:right w:val="single" w:sz="6" w:space="0" w:color="auto"/>
            </w:tcBorders>
            <w:shd w:val="clear" w:color="auto" w:fill="auto"/>
            <w:noWrap/>
            <w:vAlign w:val="center"/>
          </w:tcPr>
          <w:p w14:paraId="4F136D8B"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Electromecánico Paños Línea</w:t>
            </w:r>
          </w:p>
        </w:tc>
      </w:tr>
      <w:tr w:rsidR="001C5645" w:rsidRPr="002C2818" w14:paraId="45067658"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3656A640"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bookmarkStart w:id="28" w:name="OLE_LINK8" w:colFirst="1" w:colLast="1"/>
            <w:r w:rsidRPr="00872C3A">
              <w:rPr>
                <w:rFonts w:eastAsia="Times New Roman" w:cs="Calibri"/>
                <w:color w:val="000000"/>
                <w:sz w:val="20"/>
                <w:szCs w:val="20"/>
                <w:lang w:val="es-ES" w:eastAsia="es-ES"/>
              </w:rPr>
              <w:t>2</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3534C8C1"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Obras Civiles Paños Línea</w:t>
            </w:r>
          </w:p>
        </w:tc>
      </w:tr>
      <w:tr w:rsidR="001C5645" w:rsidRPr="002C2818" w14:paraId="36B31814"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23F6ECD4"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rFonts w:eastAsia="Times New Roman" w:cs="Calibri"/>
                <w:color w:val="000000"/>
                <w:sz w:val="20"/>
                <w:szCs w:val="20"/>
                <w:lang w:val="es-ES" w:eastAsia="es-ES"/>
              </w:rPr>
              <w:t>3</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52E85935"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Electromecánico Paños de Transformación</w:t>
            </w:r>
          </w:p>
        </w:tc>
      </w:tr>
      <w:tr w:rsidR="001C5645" w:rsidRPr="002C2818" w14:paraId="0BA21660"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0FAF783B"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4</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59A4356A" w14:textId="77777777" w:rsidR="001C5645" w:rsidRPr="00872C3A" w:rsidRDefault="001C5645" w:rsidP="00725CE1">
            <w:pPr>
              <w:spacing w:before="20" w:after="20" w:line="240" w:lineRule="auto"/>
              <w:jc w:val="left"/>
              <w:rPr>
                <w:rFonts w:cs="Arial"/>
                <w:color w:val="000000"/>
                <w:sz w:val="20"/>
                <w:szCs w:val="20"/>
                <w:lang w:eastAsia="es-ES"/>
              </w:rPr>
            </w:pPr>
            <w:r w:rsidRPr="00872C3A">
              <w:rPr>
                <w:rFonts w:cs="Arial"/>
                <w:color w:val="000000"/>
                <w:sz w:val="20"/>
                <w:szCs w:val="20"/>
                <w:lang w:eastAsia="es-ES"/>
              </w:rPr>
              <w:t>Montaje Obras Civiles Paños de Transformación</w:t>
            </w:r>
          </w:p>
        </w:tc>
      </w:tr>
      <w:tr w:rsidR="001C5645" w:rsidRPr="002C2818" w14:paraId="68305A0F"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644125CF"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5</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3254543C"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Obras Civiles Paños Alimentadores</w:t>
            </w:r>
          </w:p>
        </w:tc>
      </w:tr>
      <w:tr w:rsidR="001C5645" w:rsidRPr="002C2818" w14:paraId="0CCCC987"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21FBF09B"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6</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594A2726"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Electromecánico Paños Equipos (compensación de reactivos y otros)</w:t>
            </w:r>
          </w:p>
        </w:tc>
      </w:tr>
      <w:tr w:rsidR="001C5645" w:rsidRPr="002C2818" w14:paraId="09FBA7EC"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275C0906"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7</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10D301E0"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Obras Civiles Paños Equipos</w:t>
            </w:r>
          </w:p>
        </w:tc>
      </w:tr>
      <w:tr w:rsidR="001C5645" w:rsidRPr="002C2818" w14:paraId="485D1548"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1665CF65"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8</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5AD2142E"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Electromecánico Paños No Línea</w:t>
            </w:r>
          </w:p>
        </w:tc>
      </w:tr>
      <w:tr w:rsidR="001C5645" w:rsidRPr="002C2818" w14:paraId="58B9C30B"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36064C90"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9</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2AB40F40"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Obras Civiles Paños No Línea</w:t>
            </w:r>
          </w:p>
        </w:tc>
      </w:tr>
      <w:tr w:rsidR="001C5645" w:rsidRPr="002C2818" w14:paraId="307F7EA1"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697C710F"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10</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660A3426"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Electromecánico Transformadores</w:t>
            </w:r>
          </w:p>
        </w:tc>
      </w:tr>
      <w:tr w:rsidR="001C5645" w:rsidRPr="002C2818" w14:paraId="2C80FA61"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2629C4C0"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11</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2B6DC08F"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Obras Civiles Transformadores</w:t>
            </w:r>
          </w:p>
        </w:tc>
      </w:tr>
      <w:tr w:rsidR="001C5645" w:rsidRPr="002C2818" w14:paraId="17EA1E67" w14:textId="77777777" w:rsidTr="00725CE1">
        <w:trPr>
          <w:jc w:val="center"/>
        </w:trPr>
        <w:tc>
          <w:tcPr>
            <w:tcW w:w="1134" w:type="dxa"/>
            <w:tcBorders>
              <w:top w:val="single" w:sz="2" w:space="0" w:color="auto"/>
              <w:left w:val="single" w:sz="6" w:space="0" w:color="auto"/>
              <w:bottom w:val="single" w:sz="2" w:space="0" w:color="auto"/>
              <w:right w:val="single" w:sz="6" w:space="0" w:color="auto"/>
            </w:tcBorders>
            <w:shd w:val="clear" w:color="auto" w:fill="auto"/>
            <w:noWrap/>
          </w:tcPr>
          <w:p w14:paraId="6B121934"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sz w:val="20"/>
                <w:szCs w:val="20"/>
              </w:rPr>
              <w:t>12</w:t>
            </w:r>
          </w:p>
        </w:tc>
        <w:tc>
          <w:tcPr>
            <w:tcW w:w="6804" w:type="dxa"/>
            <w:tcBorders>
              <w:top w:val="single" w:sz="2" w:space="0" w:color="auto"/>
              <w:left w:val="single" w:sz="6" w:space="0" w:color="auto"/>
              <w:bottom w:val="single" w:sz="2" w:space="0" w:color="auto"/>
              <w:right w:val="single" w:sz="6" w:space="0" w:color="auto"/>
            </w:tcBorders>
            <w:shd w:val="clear" w:color="auto" w:fill="auto"/>
            <w:noWrap/>
            <w:vAlign w:val="center"/>
          </w:tcPr>
          <w:p w14:paraId="305DC20C"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Electromecánico Instalaciones Comunes</w:t>
            </w:r>
          </w:p>
        </w:tc>
      </w:tr>
      <w:tr w:rsidR="001C5645" w:rsidRPr="002C2818" w14:paraId="55C92FBB" w14:textId="77777777" w:rsidTr="00725CE1">
        <w:trPr>
          <w:jc w:val="center"/>
        </w:trPr>
        <w:tc>
          <w:tcPr>
            <w:tcW w:w="1134" w:type="dxa"/>
            <w:tcBorders>
              <w:top w:val="single" w:sz="2" w:space="0" w:color="auto"/>
              <w:left w:val="single" w:sz="6" w:space="0" w:color="auto"/>
              <w:bottom w:val="single" w:sz="6" w:space="0" w:color="auto"/>
              <w:right w:val="single" w:sz="6" w:space="0" w:color="auto"/>
            </w:tcBorders>
            <w:shd w:val="clear" w:color="auto" w:fill="auto"/>
            <w:noWrap/>
            <w:vAlign w:val="center"/>
          </w:tcPr>
          <w:p w14:paraId="0B9D194E" w14:textId="77777777" w:rsidR="001C5645" w:rsidRPr="00872C3A" w:rsidRDefault="001C5645" w:rsidP="00725CE1">
            <w:pPr>
              <w:spacing w:before="20" w:after="20" w:line="240" w:lineRule="auto"/>
              <w:jc w:val="center"/>
              <w:rPr>
                <w:rFonts w:eastAsia="Times New Roman" w:cs="Calibri"/>
                <w:color w:val="000000"/>
                <w:sz w:val="20"/>
                <w:szCs w:val="20"/>
                <w:lang w:val="es-ES" w:eastAsia="es-ES"/>
              </w:rPr>
            </w:pPr>
            <w:r w:rsidRPr="00872C3A">
              <w:rPr>
                <w:rFonts w:eastAsia="Times New Roman" w:cs="Calibri"/>
                <w:color w:val="000000"/>
                <w:sz w:val="20"/>
                <w:szCs w:val="20"/>
                <w:lang w:val="es-ES" w:eastAsia="es-ES"/>
              </w:rPr>
              <w:t>13</w:t>
            </w:r>
          </w:p>
        </w:tc>
        <w:tc>
          <w:tcPr>
            <w:tcW w:w="6804" w:type="dxa"/>
            <w:tcBorders>
              <w:top w:val="single" w:sz="2" w:space="0" w:color="auto"/>
              <w:left w:val="single" w:sz="6" w:space="0" w:color="auto"/>
              <w:bottom w:val="single" w:sz="6" w:space="0" w:color="auto"/>
              <w:right w:val="single" w:sz="6" w:space="0" w:color="auto"/>
            </w:tcBorders>
            <w:shd w:val="clear" w:color="auto" w:fill="auto"/>
            <w:noWrap/>
            <w:vAlign w:val="center"/>
          </w:tcPr>
          <w:p w14:paraId="24E08E8B" w14:textId="77777777" w:rsidR="001C5645" w:rsidRPr="00872C3A" w:rsidRDefault="001C5645" w:rsidP="00725CE1">
            <w:pPr>
              <w:spacing w:before="20" w:after="20" w:line="240" w:lineRule="auto"/>
              <w:jc w:val="left"/>
              <w:rPr>
                <w:rFonts w:eastAsia="Times New Roman" w:cs="Calibri"/>
                <w:color w:val="000000"/>
                <w:sz w:val="20"/>
                <w:szCs w:val="20"/>
                <w:lang w:val="es-ES" w:eastAsia="es-ES"/>
              </w:rPr>
            </w:pPr>
            <w:r w:rsidRPr="00872C3A">
              <w:rPr>
                <w:rFonts w:cs="Arial"/>
                <w:color w:val="000000"/>
                <w:sz w:val="20"/>
                <w:szCs w:val="20"/>
                <w:lang w:eastAsia="es-ES"/>
              </w:rPr>
              <w:t>Montaje Obras Civiles Instalaciones Comunes</w:t>
            </w:r>
          </w:p>
        </w:tc>
      </w:tr>
      <w:bookmarkEnd w:id="28"/>
    </w:tbl>
    <w:p w14:paraId="177F0BC9" w14:textId="1474F0B2" w:rsidR="0088776A" w:rsidRDefault="0088776A" w:rsidP="0088776A"/>
    <w:p w14:paraId="4C1134C2" w14:textId="77777777" w:rsidR="0088776A" w:rsidRDefault="0088776A" w:rsidP="0088776A">
      <w:r>
        <w:t xml:space="preserve">La base de datos con que se debió realizar el estudio no estaba pensada completamente para un estudio de valorización de esta naturaleza y esto se puede apreciar pues el montaje de un elemento, por ejemplo de un interruptor, tiene el mismo costo ya sea instalado en la SE Chuquicamata o en la SE Puerto Montt. </w:t>
      </w:r>
    </w:p>
    <w:p w14:paraId="4B21E05A" w14:textId="77777777" w:rsidR="0088776A" w:rsidRDefault="0088776A" w:rsidP="0088776A">
      <w:r>
        <w:t>Considerando que existen diferencias de costos de montaje en Chile, dependiendo de la zona de ubicación, la altura sobre el nivel del mar y las condiciones climáticas, este Consultor se vio en la necesidad de resolver esta problemática, sujeto a las limitaciones que entrega la base de datos. La única solución que se pudo establecer fue crear diversos factores de ajustes de rendimientos, los cuales se detallan a continuación.</w:t>
      </w:r>
    </w:p>
    <w:p w14:paraId="6DA8A96B" w14:textId="77777777" w:rsidR="0088776A" w:rsidRDefault="0088776A" w:rsidP="0088776A">
      <w:r>
        <w:t>Tomando como referencia la zona centro, el rendimiento de la zona sur es menor ya que la lluvia presente en los meses de invierno impide que se lleven a cabo ciertas labores. El consultor ha estimado que el rendimiento es un 90% comparado con el de la zona centro, es decir, el costo del montaje es un 11,11% superior.</w:t>
      </w:r>
    </w:p>
    <w:p w14:paraId="7A786E12" w14:textId="77777777" w:rsidR="0088776A" w:rsidRDefault="0088776A" w:rsidP="0088776A">
      <w:r>
        <w:t>En el caso de la zona norte, la aridez propia del desierto, la fuerte radiación solar y las elevadas temperaturas también provocan un desmedro en las cuadrillas de montaje. También existen fenómenos meteorológicos como el fuerte viento que provoca movimiento de tierra que también complica la ejecución de labores. Además, las distancias a zonas urbanas son mayores que en otras zonas del país, lo que eleva el costo de transporte del personal y, dado que dicho ítem es considerado dentro de la jornada laboral, se cuentan con menos HH efectivas. El consultor ha estimado que el rendimiento es un 85% con respecto a la zona centro, es decir, el costo del montaje es un 17,65% mayor.</w:t>
      </w:r>
    </w:p>
    <w:p w14:paraId="7923A0A5" w14:textId="77777777" w:rsidR="0088776A" w:rsidRDefault="0088776A" w:rsidP="0088776A">
      <w:r>
        <w:t>En el caso de la altura geográfica, el montaje presenta costos mayores debido, principalmente a dos aspectos. El primero es la dificultad para llegar a zonas más elevadas, lo que eleva los tiempos de transporte del personal. El segundo es la menor disponibilidad de oxígeno en la atmósfera que afecta el rendimiento físico de las personas, las que se sienten agotadas más fácilmente.</w:t>
      </w:r>
    </w:p>
    <w:p w14:paraId="66D6E0BC" w14:textId="77777777" w:rsidR="0088776A" w:rsidRDefault="0088776A" w:rsidP="0088776A">
      <w:r>
        <w:t>Ante esto, el Consultor estimó que entre 0 msnm y 1.300 msnm el rendimiento no se ve afectado, que entre 1.300 msnm y 2.500 msnm el rendimiento es un 95% comparado con menor altura geográfica, es decir, el montaje tiene un costo 5,26% más alto, y, finalmente, sobre 2.500 msnm, el rendimiento es un 90% comparado con aquel realizado a baja altura geográfica, es decir, el costo del montaje es un 11,11% superior.</w:t>
      </w:r>
    </w:p>
    <w:p w14:paraId="5C7883CE" w14:textId="77777777" w:rsidR="0088776A" w:rsidRDefault="0088776A" w:rsidP="0088776A">
      <w:r>
        <w:t>Otro aspecto necesario de considerar es el rendimiento de las fundaciones y de las estructuras de acero en líneas de transmisión versus subestaciones.  La base de datos no hace distinción alguna en el costo de montaje del acero y lo asume equivalente en cualquier instalación.</w:t>
      </w:r>
    </w:p>
    <w:p w14:paraId="16656B2D" w14:textId="77777777" w:rsidR="0088776A" w:rsidRDefault="0088776A" w:rsidP="0088776A">
      <w:r>
        <w:t>En una subestación, la construcción de estructuras altas es más rápida que la construcción de torres reticuladas de acero ya que en la primera todo el material se encuentra concentrado en una zona acotada, mientras que en el segundo caso se debe armar una estructura cada 350 metros o distancias mayores.</w:t>
      </w:r>
    </w:p>
    <w:p w14:paraId="4BCD620E" w14:textId="77777777" w:rsidR="0088776A" w:rsidRDefault="0088776A" w:rsidP="0088776A">
      <w:r>
        <w:t>En el caso de las fundaciones, la situación es similar. En una subestación las fundaciones de equipos, pilares, etc. se encuentran muy cercanas unas a otras. Mientras que en las líneas de transmisión se realizan fundaciones lejanas unas de otra.</w:t>
      </w:r>
    </w:p>
    <w:p w14:paraId="2137A295" w14:textId="77777777" w:rsidR="0088776A" w:rsidRDefault="0088776A" w:rsidP="0088776A">
      <w:r>
        <w:t xml:space="preserve">Ante eso el consultor ha estimado que el montaje del acero y las fundaciones tiene un costo 15% superior en una línea de transmisión respecto de una subestación, es decir, el rendimiento es un 87%. </w:t>
      </w:r>
    </w:p>
    <w:p w14:paraId="1A304330" w14:textId="77777777" w:rsidR="001A42EA" w:rsidRPr="009269F9" w:rsidRDefault="001A42EA" w:rsidP="001A42EA">
      <w:pPr>
        <w:rPr>
          <w:sz w:val="22"/>
          <w:szCs w:val="22"/>
          <w:lang w:val="es-CL"/>
        </w:rPr>
      </w:pPr>
      <w:r w:rsidRPr="009269F9">
        <w:rPr>
          <w:sz w:val="22"/>
          <w:szCs w:val="22"/>
          <w:lang w:val="es-CL"/>
        </w:rPr>
        <w:t>Después de todo lo expuesto, el montaje de un elemento queda dado por</w:t>
      </w:r>
    </w:p>
    <w:p w14:paraId="488E4F2B" w14:textId="77777777" w:rsidR="001A42EA" w:rsidRPr="009269F9" w:rsidRDefault="001A42EA" w:rsidP="001A42EA">
      <w:pPr>
        <w:rPr>
          <w:rFonts w:eastAsia="Times New Roman"/>
          <w:sz w:val="22"/>
          <w:szCs w:val="22"/>
          <w:lang w:val="es-CL"/>
        </w:rPr>
      </w:pPr>
      <m:oMathPara>
        <m:oMath>
          <m:r>
            <w:rPr>
              <w:rFonts w:ascii="Cambria Math" w:hAnsi="Cambria Math"/>
              <w:sz w:val="22"/>
              <w:szCs w:val="22"/>
              <w:lang w:val="es-CL"/>
            </w:rPr>
            <m:t>Montaj</m:t>
          </m:r>
          <m:sSub>
            <m:sSubPr>
              <m:ctrlPr>
                <w:rPr>
                  <w:rFonts w:ascii="Cambria Math" w:hAnsi="Cambria Math"/>
                  <w:i/>
                  <w:sz w:val="22"/>
                  <w:szCs w:val="22"/>
                  <w:lang w:val="es-CL"/>
                </w:rPr>
              </m:ctrlPr>
            </m:sSubPr>
            <m:e>
              <m:r>
                <w:rPr>
                  <w:rFonts w:ascii="Cambria Math" w:hAnsi="Cambria Math"/>
                  <w:sz w:val="22"/>
                  <w:szCs w:val="22"/>
                  <w:lang w:val="es-CL"/>
                </w:rPr>
                <m:t>e</m:t>
              </m:r>
            </m:e>
            <m:sub>
              <m:r>
                <w:rPr>
                  <w:rFonts w:ascii="Cambria Math" w:hAnsi="Cambria Math"/>
                  <w:sz w:val="22"/>
                  <w:szCs w:val="22"/>
                  <w:lang w:val="es-CL"/>
                </w:rPr>
                <m:t>i</m:t>
              </m:r>
            </m:sub>
          </m:sSub>
          <m:r>
            <w:rPr>
              <w:rFonts w:ascii="Cambria Math" w:hAnsi="Cambria Math"/>
              <w:sz w:val="22"/>
              <w:szCs w:val="22"/>
              <w:lang w:val="es-CL"/>
            </w:rPr>
            <m:t>=</m:t>
          </m:r>
          <m:f>
            <m:fPr>
              <m:ctrlPr>
                <w:rPr>
                  <w:rFonts w:ascii="Cambria Math" w:hAnsi="Cambria Math"/>
                  <w:i/>
                  <w:sz w:val="22"/>
                  <w:szCs w:val="22"/>
                  <w:lang w:val="es-CL"/>
                </w:rPr>
              </m:ctrlPr>
            </m:fPr>
            <m:num>
              <m:r>
                <w:rPr>
                  <w:rFonts w:ascii="Cambria Math" w:hAnsi="Cambria Math"/>
                  <w:sz w:val="22"/>
                  <w:szCs w:val="22"/>
                  <w:lang w:val="es-CL"/>
                </w:rPr>
                <m:t>Montaj</m:t>
              </m:r>
              <m:sSub>
                <m:sSubPr>
                  <m:ctrlPr>
                    <w:rPr>
                      <w:rFonts w:ascii="Cambria Math" w:hAnsi="Cambria Math"/>
                      <w:i/>
                      <w:sz w:val="22"/>
                      <w:szCs w:val="22"/>
                      <w:lang w:val="es-CL"/>
                    </w:rPr>
                  </m:ctrlPr>
                </m:sSubPr>
                <m:e>
                  <m:r>
                    <w:rPr>
                      <w:rFonts w:ascii="Cambria Math" w:hAnsi="Cambria Math"/>
                      <w:sz w:val="22"/>
                      <w:szCs w:val="22"/>
                      <w:lang w:val="es-CL"/>
                    </w:rPr>
                    <m:t>e</m:t>
                  </m:r>
                </m:e>
                <m:sub>
                  <m:r>
                    <w:rPr>
                      <w:rFonts w:ascii="Cambria Math" w:hAnsi="Cambria Math"/>
                      <w:sz w:val="22"/>
                      <w:szCs w:val="22"/>
                      <w:lang w:val="es-CL"/>
                    </w:rPr>
                    <m:t>normal i</m:t>
                  </m:r>
                </m:sub>
              </m:sSub>
            </m:num>
            <m:den>
              <m:sSub>
                <m:sSubPr>
                  <m:ctrlPr>
                    <w:rPr>
                      <w:rFonts w:ascii="Cambria Math" w:hAnsi="Cambria Math"/>
                      <w:i/>
                      <w:sz w:val="22"/>
                      <w:szCs w:val="22"/>
                      <w:lang w:val="es-CL"/>
                    </w:rPr>
                  </m:ctrlPr>
                </m:sSubPr>
                <m:e>
                  <m:r>
                    <w:rPr>
                      <w:rFonts w:ascii="Cambria Math" w:hAnsi="Cambria Math"/>
                      <w:sz w:val="22"/>
                      <w:szCs w:val="22"/>
                      <w:lang w:val="es-CL"/>
                    </w:rPr>
                    <m:t>ρ</m:t>
                  </m:r>
                </m:e>
                <m:sub>
                  <m:r>
                    <w:rPr>
                      <w:rFonts w:ascii="Cambria Math" w:hAnsi="Cambria Math"/>
                      <w:sz w:val="22"/>
                      <w:szCs w:val="22"/>
                      <w:lang w:val="es-CL"/>
                    </w:rPr>
                    <m:t>zona</m:t>
                  </m:r>
                </m:sub>
              </m:sSub>
              <m:r>
                <w:rPr>
                  <w:rFonts w:ascii="Cambria Math" w:hAnsi="Cambria Math"/>
                  <w:sz w:val="22"/>
                  <w:szCs w:val="22"/>
                  <w:lang w:val="es-CL"/>
                </w:rPr>
                <m:t>∙</m:t>
              </m:r>
              <m:sSub>
                <m:sSubPr>
                  <m:ctrlPr>
                    <w:rPr>
                      <w:rFonts w:ascii="Cambria Math" w:hAnsi="Cambria Math"/>
                      <w:i/>
                      <w:sz w:val="22"/>
                      <w:szCs w:val="22"/>
                      <w:lang w:val="es-CL"/>
                    </w:rPr>
                  </m:ctrlPr>
                </m:sSubPr>
                <m:e>
                  <m:r>
                    <w:rPr>
                      <w:rFonts w:ascii="Cambria Math" w:hAnsi="Cambria Math"/>
                      <w:sz w:val="22"/>
                      <w:szCs w:val="22"/>
                      <w:lang w:val="es-CL"/>
                    </w:rPr>
                    <m:t>ρ</m:t>
                  </m:r>
                </m:e>
                <m:sub>
                  <m:r>
                    <w:rPr>
                      <w:rFonts w:ascii="Cambria Math" w:hAnsi="Cambria Math"/>
                      <w:sz w:val="22"/>
                      <w:szCs w:val="22"/>
                      <w:lang w:val="es-CL"/>
                    </w:rPr>
                    <m:t>altura</m:t>
                  </m:r>
                </m:sub>
              </m:sSub>
              <m:r>
                <w:rPr>
                  <w:rFonts w:ascii="Cambria Math" w:hAnsi="Cambria Math"/>
                  <w:sz w:val="22"/>
                  <w:szCs w:val="22"/>
                  <w:lang w:val="es-CL"/>
                </w:rPr>
                <m:t>∙</m:t>
              </m:r>
              <m:sSub>
                <m:sSubPr>
                  <m:ctrlPr>
                    <w:rPr>
                      <w:rFonts w:ascii="Cambria Math" w:hAnsi="Cambria Math"/>
                      <w:i/>
                      <w:sz w:val="22"/>
                      <w:szCs w:val="22"/>
                      <w:lang w:val="es-CL"/>
                    </w:rPr>
                  </m:ctrlPr>
                </m:sSubPr>
                <m:e>
                  <m:r>
                    <w:rPr>
                      <w:rFonts w:ascii="Cambria Math" w:hAnsi="Cambria Math"/>
                      <w:sz w:val="22"/>
                      <w:szCs w:val="22"/>
                      <w:lang w:val="es-CL"/>
                    </w:rPr>
                    <m:t>ρ</m:t>
                  </m:r>
                </m:e>
                <m:sub>
                  <m:r>
                    <w:rPr>
                      <w:rFonts w:ascii="Cambria Math" w:hAnsi="Cambria Math"/>
                      <w:sz w:val="22"/>
                      <w:szCs w:val="22"/>
                      <w:lang w:val="es-CL"/>
                    </w:rPr>
                    <m:t>LTx</m:t>
                  </m:r>
                </m:sub>
              </m:sSub>
            </m:den>
          </m:f>
        </m:oMath>
      </m:oMathPara>
    </w:p>
    <w:p w14:paraId="16801072" w14:textId="77777777" w:rsidR="001A42EA" w:rsidRPr="009269F9" w:rsidRDefault="00F5226B" w:rsidP="001A42EA">
      <w:pPr>
        <w:rPr>
          <w:rFonts w:eastAsia="Times New Roman"/>
          <w:sz w:val="22"/>
          <w:szCs w:val="22"/>
          <w:lang w:val="es-CL"/>
        </w:rPr>
      </w:pPr>
      <m:oMath>
        <m:sSub>
          <m:sSubPr>
            <m:ctrlPr>
              <w:rPr>
                <w:rFonts w:ascii="Cambria Math" w:hAnsi="Cambria Math"/>
                <w:i/>
                <w:sz w:val="22"/>
                <w:szCs w:val="22"/>
                <w:lang w:val="es-CL"/>
              </w:rPr>
            </m:ctrlPr>
          </m:sSubPr>
          <m:e>
            <m:r>
              <w:rPr>
                <w:rFonts w:ascii="Cambria Math" w:hAnsi="Cambria Math"/>
                <w:sz w:val="22"/>
                <w:szCs w:val="22"/>
                <w:lang w:val="es-CL"/>
              </w:rPr>
              <m:t>ρ</m:t>
            </m:r>
          </m:e>
          <m:sub>
            <m:r>
              <w:rPr>
                <w:rFonts w:ascii="Cambria Math" w:hAnsi="Cambria Math"/>
                <w:sz w:val="22"/>
                <w:szCs w:val="22"/>
                <w:lang w:val="es-CL"/>
              </w:rPr>
              <m:t>zona</m:t>
            </m:r>
          </m:sub>
        </m:sSub>
      </m:oMath>
      <w:r w:rsidR="001A42EA" w:rsidRPr="009269F9">
        <w:rPr>
          <w:rFonts w:eastAsia="Times New Roman"/>
          <w:sz w:val="22"/>
          <w:szCs w:val="22"/>
          <w:lang w:val="es-CL"/>
        </w:rPr>
        <w:t>: factor de rendimiento por zona geográfica;</w:t>
      </w:r>
    </w:p>
    <w:p w14:paraId="4A03A780" w14:textId="77777777" w:rsidR="001A42EA" w:rsidRPr="009269F9" w:rsidRDefault="00F5226B" w:rsidP="001A42EA">
      <w:pPr>
        <w:rPr>
          <w:rFonts w:eastAsia="Times New Roman"/>
          <w:sz w:val="22"/>
          <w:szCs w:val="22"/>
          <w:lang w:val="es-CL"/>
        </w:rPr>
      </w:pPr>
      <m:oMath>
        <m:sSub>
          <m:sSubPr>
            <m:ctrlPr>
              <w:rPr>
                <w:rFonts w:ascii="Cambria Math" w:hAnsi="Cambria Math"/>
                <w:i/>
                <w:sz w:val="22"/>
                <w:szCs w:val="22"/>
                <w:lang w:val="es-CL"/>
              </w:rPr>
            </m:ctrlPr>
          </m:sSubPr>
          <m:e>
            <m:r>
              <w:rPr>
                <w:rFonts w:ascii="Cambria Math" w:hAnsi="Cambria Math"/>
                <w:sz w:val="22"/>
                <w:szCs w:val="22"/>
                <w:lang w:val="es-CL"/>
              </w:rPr>
              <m:t>ρ</m:t>
            </m:r>
          </m:e>
          <m:sub>
            <m:r>
              <w:rPr>
                <w:rFonts w:ascii="Cambria Math" w:hAnsi="Cambria Math"/>
                <w:sz w:val="22"/>
                <w:szCs w:val="22"/>
                <w:lang w:val="es-CL"/>
              </w:rPr>
              <m:t>altura</m:t>
            </m:r>
          </m:sub>
        </m:sSub>
      </m:oMath>
      <w:r w:rsidR="001A42EA" w:rsidRPr="009269F9">
        <w:rPr>
          <w:rFonts w:eastAsia="Times New Roman"/>
          <w:sz w:val="22"/>
          <w:szCs w:val="22"/>
          <w:lang w:val="es-CL"/>
        </w:rPr>
        <w:t>: factor de rendimiento por altura geográfica;</w:t>
      </w:r>
    </w:p>
    <w:p w14:paraId="775BD428" w14:textId="43F822D6" w:rsidR="0088776A" w:rsidRPr="001A42EA" w:rsidRDefault="00F5226B" w:rsidP="0088776A">
      <w:pPr>
        <w:rPr>
          <w:sz w:val="22"/>
          <w:szCs w:val="22"/>
          <w:lang w:val="es-CL"/>
        </w:rPr>
      </w:pPr>
      <m:oMath>
        <m:sSub>
          <m:sSubPr>
            <m:ctrlPr>
              <w:rPr>
                <w:rFonts w:ascii="Cambria Math" w:hAnsi="Cambria Math"/>
                <w:i/>
                <w:sz w:val="22"/>
                <w:szCs w:val="22"/>
                <w:lang w:val="es-CL"/>
              </w:rPr>
            </m:ctrlPr>
          </m:sSubPr>
          <m:e>
            <m:r>
              <w:rPr>
                <w:rFonts w:ascii="Cambria Math" w:hAnsi="Cambria Math"/>
                <w:sz w:val="22"/>
                <w:szCs w:val="22"/>
                <w:lang w:val="es-CL"/>
              </w:rPr>
              <m:t>ρ</m:t>
            </m:r>
          </m:e>
          <m:sub>
            <m:r>
              <w:rPr>
                <w:rFonts w:ascii="Cambria Math" w:hAnsi="Cambria Math"/>
                <w:sz w:val="22"/>
                <w:szCs w:val="22"/>
                <w:lang w:val="es-CL"/>
              </w:rPr>
              <m:t>LTx</m:t>
            </m:r>
          </m:sub>
        </m:sSub>
      </m:oMath>
      <w:r w:rsidR="001A42EA" w:rsidRPr="009269F9">
        <w:rPr>
          <w:rFonts w:eastAsia="Times New Roman"/>
          <w:sz w:val="22"/>
          <w:szCs w:val="22"/>
          <w:lang w:val="es-CL"/>
        </w:rPr>
        <w:t>: factor de rendimiento fundaciones y acero en una línea de transmisión (solo aplica en estos)</w:t>
      </w:r>
      <w:r w:rsidR="001A42EA">
        <w:rPr>
          <w:rFonts w:eastAsia="Times New Roman"/>
          <w:sz w:val="22"/>
          <w:szCs w:val="22"/>
          <w:lang w:val="es-CL"/>
        </w:rPr>
        <w:t>.</w:t>
      </w:r>
    </w:p>
    <w:p w14:paraId="18E6E870" w14:textId="77777777" w:rsidR="0088776A" w:rsidRDefault="0088776A" w:rsidP="0088776A">
      <w:r>
        <w:t>El costo de montaje, al igual que los precios, se estableció para los más de 6.300 elementos que debieron valorizarse. Para muchos de estos elementos que no se aprecian en la planilla de montaje adjunta se utilizó como referencia el elemento más similar, modificando la cantidad de HH necesarias. Por ejemplo, para el montaje de los casi 2000 elementos de comunicaciones que se debió completar, se modificó la cantidad de HH de una cuadrilla utilizada para el montaje de protecciones. Como los elementos de comunicaciones eran variados, se definieron distintas cantidades de HH.</w:t>
      </w:r>
    </w:p>
    <w:p w14:paraId="6D6FC55C" w14:textId="77777777" w:rsidR="0088776A" w:rsidRDefault="0088776A" w:rsidP="0088776A">
      <w:r>
        <w:t>En la base de datos, los costos quedan ingresados en las mismas tablas de los precios, donde se completaron las columnas CantidadHH y ValorHH.</w:t>
      </w:r>
    </w:p>
    <w:p w14:paraId="73F34EDC" w14:textId="77777777" w:rsidR="0088776A" w:rsidRDefault="0088776A" w:rsidP="0088776A">
      <w:r>
        <w:t>En el Anexo VI_7 se encuentran las planillas de resultados con los costos de montaje.</w:t>
      </w:r>
    </w:p>
    <w:p w14:paraId="58253240" w14:textId="77777777" w:rsidR="0088776A" w:rsidRDefault="0088776A" w:rsidP="001C5645">
      <w:pPr>
        <w:pStyle w:val="Ttulo3"/>
      </w:pPr>
      <w:bookmarkStart w:id="29" w:name="_Toc34687178"/>
      <w:r>
        <w:t>Determinación de los recargos porcentuales</w:t>
      </w:r>
      <w:bookmarkEnd w:id="29"/>
    </w:p>
    <w:p w14:paraId="2605A37C" w14:textId="77777777" w:rsidR="0088776A" w:rsidRDefault="0088776A" w:rsidP="0088776A">
      <w:r>
        <w:t>La metodología que se ha aplicado consiste en la estimación de los recargos sobre la base de un conjunto de proyectos representativos y que permitan establecer cada tipo de recargo para todas las familias y subfamilias definidas. En conformidad a las bases, los proyectos se han seleccionado de modo tal que representen adecuadamente las características físicas y técnicas de cada conjunto de instalaciones de características similares.</w:t>
      </w:r>
    </w:p>
    <w:p w14:paraId="415D848B" w14:textId="77777777" w:rsidR="0088776A" w:rsidRDefault="0088776A" w:rsidP="0088776A">
      <w:r>
        <w:t>Las variables de definición, en el caso de las subestaciones son la cantidad de patios, niveles de tensión, configuración de barras, cantidad de paños por patio, transformadores de poder, equipos de compensación de reactivos, la altura geográfica de la instalación y la aislación de los distintos componentes con la altura geográfica, y la distancia de la instalación a centros poblados o industriales desde donde se pueden obtener los materiales y servicios.</w:t>
      </w:r>
    </w:p>
    <w:p w14:paraId="3BB2A0B0" w14:textId="77777777" w:rsidR="0088776A" w:rsidRDefault="0088776A" w:rsidP="0088776A">
      <w:r>
        <w:t>En el Anexo VI_8 se encuentran los archivos de respaldo del cálculo de los recargos utilizados en este estudio.</w:t>
      </w:r>
    </w:p>
    <w:p w14:paraId="4ECB51C2" w14:textId="77777777" w:rsidR="0088776A" w:rsidRDefault="0088776A" w:rsidP="0088776A">
      <w:r>
        <w:t>En el caso de las líneas de transmisión, las variables de definición de proyectos representativos son el nivel de tensión, la cantidad de circuitos, la sección y cantidad de conductores por fase.</w:t>
      </w:r>
    </w:p>
    <w:p w14:paraId="690C66CD" w14:textId="77777777" w:rsidR="0088776A" w:rsidRDefault="0088776A" w:rsidP="0088776A">
      <w:r>
        <w:t>Además, se considera las condiciones geográficas que tienen efecto en el V.I., como las siguientes:</w:t>
      </w:r>
    </w:p>
    <w:p w14:paraId="1BD0B2D2" w14:textId="77777777" w:rsidR="0088776A" w:rsidRDefault="0088776A" w:rsidP="0088776A">
      <w:r>
        <w:t>-</w:t>
      </w:r>
      <w:r>
        <w:tab/>
        <w:t>Zona de ubicación (montaña, valle, costa, desierto)</w:t>
      </w:r>
    </w:p>
    <w:p w14:paraId="3068EECB" w14:textId="77777777" w:rsidR="0088776A" w:rsidRDefault="0088776A" w:rsidP="0088776A">
      <w:r>
        <w:t>-</w:t>
      </w:r>
      <w:r>
        <w:tab/>
        <w:t>Clima (lluvioso ,seco)</w:t>
      </w:r>
    </w:p>
    <w:p w14:paraId="449DA6AE" w14:textId="77777777" w:rsidR="0088776A" w:rsidRDefault="0088776A" w:rsidP="0088776A">
      <w:r>
        <w:t>-</w:t>
      </w:r>
      <w:r>
        <w:tab/>
        <w:t>Altura sobre el nivel del mar (hasta 1.300 m, entre 1.300 y 2.500 m, sobre 2.500 m)</w:t>
      </w:r>
    </w:p>
    <w:p w14:paraId="6F103F3E" w14:textId="77777777" w:rsidR="0088776A" w:rsidRDefault="0088776A" w:rsidP="0088776A">
      <w:r>
        <w:t>Para aquellas subestaciones y líneas de transmisión que por sus características particulares no pueden agruparse bajo alguno de los proyectos representativos, se consideran como una nueva subfamilia. De esta forma. Se evita que una instalación quede afecta a recargos calculados para otra de características diferentes.</w:t>
      </w:r>
    </w:p>
    <w:p w14:paraId="5D572C27" w14:textId="77777777" w:rsidR="0088776A" w:rsidRDefault="0088776A" w:rsidP="0088776A">
      <w:r>
        <w:t>Para estimar los costos correspondientes a los recargos establecidos en las Bases Técnicas del estudio, se considera que las obras de cada proyecto representativo y de cada tramo económico a valorizar, se ejecuta bajo la modalidad de un contrato EPC ..</w:t>
      </w:r>
    </w:p>
    <w:p w14:paraId="7445AD1B" w14:textId="169A6A51" w:rsidR="0088776A" w:rsidRDefault="0088776A" w:rsidP="0088776A">
      <w:r>
        <w:t>El cálculo que se realiza, por cada uno de los tipos de obras y familias definidos, corresponde a la estimación de recargos para la totalidad de equipos y materiales.</w:t>
      </w:r>
    </w:p>
    <w:p w14:paraId="3CED736D" w14:textId="77777777" w:rsidR="00F94266" w:rsidRDefault="00F94266" w:rsidP="0088776A"/>
    <w:p w14:paraId="300ED5F4" w14:textId="77777777" w:rsidR="0088776A" w:rsidRDefault="0088776A" w:rsidP="001A42EA">
      <w:pPr>
        <w:pStyle w:val="Ttulo4"/>
      </w:pPr>
      <w:bookmarkStart w:id="30" w:name="_Toc34687179"/>
      <w:r>
        <w:t>Recargo por Flete</w:t>
      </w:r>
      <w:bookmarkEnd w:id="30"/>
    </w:p>
    <w:p w14:paraId="4432AFE8" w14:textId="77777777" w:rsidR="0088776A" w:rsidRDefault="0088776A" w:rsidP="0088776A">
      <w:r>
        <w:t xml:space="preserve">Para la determinación de este costo se establecieron como puertos de abastecimiento los ubicados en las ciudades de Iquique, Antofagasta, Coquimbo, Valparaíso, Talcahuano y Puerto Montt. </w:t>
      </w:r>
    </w:p>
    <w:p w14:paraId="67932EF2" w14:textId="77777777" w:rsidR="0088776A" w:rsidRDefault="0088776A" w:rsidP="0088776A">
      <w:r>
        <w:t xml:space="preserve">En cuanto a los tipos de transporte, se utilizan dos tipos con distintos costos, los cuales fueron obtenidos de las cotizaciones realizadas con motivo del presente estudio: </w:t>
      </w:r>
    </w:p>
    <w:p w14:paraId="781B7318" w14:textId="77777777" w:rsidR="001A42EA" w:rsidRPr="009269F9" w:rsidRDefault="001A42EA" w:rsidP="001A42EA">
      <w:pPr>
        <w:ind w:left="720"/>
        <w:contextualSpacing/>
        <w:rPr>
          <w:sz w:val="22"/>
          <w:szCs w:val="22"/>
          <w:lang w:val="es-CL"/>
        </w:rPr>
      </w:pPr>
      <w:r w:rsidRPr="009269F9">
        <w:rPr>
          <w:sz w:val="22"/>
          <w:szCs w:val="22"/>
          <w:lang w:val="es-CL"/>
        </w:rPr>
        <w:t xml:space="preserve">Transporte a granel: 0,2221 </w:t>
      </w:r>
      <m:oMath>
        <m:d>
          <m:dPr>
            <m:begChr m:val="["/>
            <m:endChr m:val="]"/>
            <m:ctrlPr>
              <w:rPr>
                <w:rFonts w:ascii="Cambria Math" w:hAnsi="Cambria Math"/>
                <w:i/>
                <w:sz w:val="22"/>
                <w:szCs w:val="22"/>
                <w:lang w:val="es-CL"/>
              </w:rPr>
            </m:ctrlPr>
          </m:dPr>
          <m:e>
            <m:f>
              <m:fPr>
                <m:ctrlPr>
                  <w:rPr>
                    <w:rFonts w:ascii="Cambria Math" w:hAnsi="Cambria Math"/>
                    <w:i/>
                    <w:sz w:val="22"/>
                    <w:szCs w:val="22"/>
                    <w:lang w:val="es-CL"/>
                  </w:rPr>
                </m:ctrlPr>
              </m:fPr>
              <m:num>
                <m:r>
                  <w:rPr>
                    <w:rFonts w:ascii="Cambria Math" w:hAnsi="Cambria Math"/>
                    <w:sz w:val="22"/>
                    <w:szCs w:val="22"/>
                    <w:lang w:val="es-CL"/>
                  </w:rPr>
                  <m:t>USD</m:t>
                </m:r>
              </m:num>
              <m:den>
                <m:r>
                  <w:rPr>
                    <w:rFonts w:ascii="Cambria Math" w:hAnsi="Cambria Math"/>
                    <w:sz w:val="22"/>
                    <w:szCs w:val="22"/>
                    <w:lang w:val="es-CL"/>
                  </w:rPr>
                  <m:t>ton∙km</m:t>
                </m:r>
              </m:den>
            </m:f>
          </m:e>
        </m:d>
      </m:oMath>
    </w:p>
    <w:p w14:paraId="501B49BE" w14:textId="77777777" w:rsidR="001A42EA" w:rsidRPr="009269F9" w:rsidRDefault="001A42EA" w:rsidP="001A42EA">
      <w:pPr>
        <w:ind w:left="720"/>
        <w:contextualSpacing/>
        <w:rPr>
          <w:sz w:val="22"/>
          <w:szCs w:val="22"/>
          <w:lang w:val="es-CL"/>
        </w:rPr>
      </w:pPr>
      <w:r w:rsidRPr="009269F9">
        <w:rPr>
          <w:sz w:val="22"/>
          <w:szCs w:val="22"/>
          <w:lang w:val="es-CL"/>
        </w:rPr>
        <w:t xml:space="preserve">Transporte especial: 1,3326 </w:t>
      </w:r>
      <m:oMath>
        <m:d>
          <m:dPr>
            <m:begChr m:val="["/>
            <m:endChr m:val="]"/>
            <m:ctrlPr>
              <w:rPr>
                <w:rFonts w:ascii="Cambria Math" w:hAnsi="Cambria Math"/>
                <w:i/>
                <w:sz w:val="22"/>
                <w:szCs w:val="22"/>
                <w:lang w:val="es-CL"/>
              </w:rPr>
            </m:ctrlPr>
          </m:dPr>
          <m:e>
            <m:f>
              <m:fPr>
                <m:ctrlPr>
                  <w:rPr>
                    <w:rFonts w:ascii="Cambria Math" w:hAnsi="Cambria Math"/>
                    <w:i/>
                    <w:sz w:val="22"/>
                    <w:szCs w:val="22"/>
                    <w:lang w:val="es-CL"/>
                  </w:rPr>
                </m:ctrlPr>
              </m:fPr>
              <m:num>
                <m:r>
                  <w:rPr>
                    <w:rFonts w:ascii="Cambria Math" w:hAnsi="Cambria Math"/>
                    <w:sz w:val="22"/>
                    <w:szCs w:val="22"/>
                    <w:lang w:val="es-CL"/>
                  </w:rPr>
                  <m:t>USD</m:t>
                </m:r>
              </m:num>
              <m:den>
                <m:r>
                  <w:rPr>
                    <w:rFonts w:ascii="Cambria Math" w:hAnsi="Cambria Math"/>
                    <w:sz w:val="22"/>
                    <w:szCs w:val="22"/>
                    <w:lang w:val="es-CL"/>
                  </w:rPr>
                  <m:t>ton∙km</m:t>
                </m:r>
              </m:den>
            </m:f>
          </m:e>
        </m:d>
      </m:oMath>
    </w:p>
    <w:p w14:paraId="16D10263" w14:textId="12A5A79A" w:rsidR="0088776A" w:rsidRPr="001A42EA" w:rsidRDefault="0088776A" w:rsidP="0088776A">
      <w:pPr>
        <w:rPr>
          <w:lang w:val="es-CL"/>
        </w:rPr>
      </w:pPr>
    </w:p>
    <w:p w14:paraId="6B555353" w14:textId="77777777" w:rsidR="0088776A" w:rsidRDefault="0088776A" w:rsidP="0088776A">
      <w:r>
        <w:t>Para los tramos de transporte de línea se determinó el puerto más cercano y se determinó la distancia para el punto de inicio y el punto final. Luego, la distancia considerada para el total de los elementos correspondió al promedio de estos dos valores, para así poder representar de forma adecuada el traslado de materiales a los distintos puntos en que se realiza la obra.</w:t>
      </w:r>
    </w:p>
    <w:p w14:paraId="436A7C4E" w14:textId="77777777" w:rsidR="0088776A" w:rsidRDefault="0088776A" w:rsidP="0088776A">
      <w:r>
        <w:t>Para cada tramo de subestación, incluyendo los tramos de transporte de transformación contenidos en ellos, se determinó cuál de estos puertos era el más cercano y se estableció la distancia a considerar. A modo de ejemplo, las subestaciones ubicadas en la Región Metropolitana se asignaron al puerto de Valparaíso.</w:t>
      </w:r>
    </w:p>
    <w:p w14:paraId="672F9E91" w14:textId="77777777" w:rsidR="0088776A" w:rsidRDefault="0088776A" w:rsidP="0088776A">
      <w:r>
        <w:t>En las tablas siguientes se presenta el total de costo de fletess de líneas y subestaciones.</w:t>
      </w:r>
    </w:p>
    <w:p w14:paraId="1693AC88" w14:textId="5C8D2278" w:rsidR="001A42EA" w:rsidRPr="00B81F0E" w:rsidRDefault="001A42EA" w:rsidP="001A42EA">
      <w:pPr>
        <w:spacing w:after="120"/>
        <w:jc w:val="center"/>
        <w:rPr>
          <w:b/>
          <w:bCs/>
          <w:i/>
          <w:iCs/>
          <w:sz w:val="20"/>
          <w:szCs w:val="20"/>
          <w:lang w:val="es-CL"/>
        </w:rPr>
      </w:pPr>
      <w:bookmarkStart w:id="31" w:name="_Toc34591052"/>
      <w:bookmarkStart w:id="32" w:name="_Toc34655186"/>
      <w:r w:rsidRPr="00801105">
        <w:rPr>
          <w:b/>
          <w:bCs/>
          <w:sz w:val="20"/>
          <w:szCs w:val="20"/>
        </w:rPr>
        <w:t xml:space="preserve">Tabla </w:t>
      </w:r>
      <w:r w:rsidRPr="00801105">
        <w:rPr>
          <w:b/>
          <w:bCs/>
          <w:sz w:val="20"/>
          <w:szCs w:val="20"/>
        </w:rPr>
        <w:fldChar w:fldCharType="begin"/>
      </w:r>
      <w:r w:rsidRPr="00801105">
        <w:rPr>
          <w:b/>
          <w:bCs/>
          <w:sz w:val="20"/>
          <w:szCs w:val="20"/>
        </w:rPr>
        <w:instrText xml:space="preserve"> SEQ Tabla \* ARABIC </w:instrText>
      </w:r>
      <w:r w:rsidRPr="00801105">
        <w:rPr>
          <w:b/>
          <w:bCs/>
          <w:sz w:val="20"/>
          <w:szCs w:val="20"/>
        </w:rPr>
        <w:fldChar w:fldCharType="separate"/>
      </w:r>
      <w:r w:rsidR="00F14BED">
        <w:rPr>
          <w:b/>
          <w:bCs/>
          <w:noProof/>
          <w:sz w:val="20"/>
          <w:szCs w:val="20"/>
        </w:rPr>
        <w:t>3</w:t>
      </w:r>
      <w:r w:rsidRPr="00801105">
        <w:rPr>
          <w:b/>
          <w:bCs/>
          <w:sz w:val="20"/>
          <w:szCs w:val="20"/>
        </w:rPr>
        <w:fldChar w:fldCharType="end"/>
      </w:r>
      <w:r w:rsidRPr="00801105">
        <w:rPr>
          <w:b/>
          <w:bCs/>
          <w:sz w:val="20"/>
          <w:szCs w:val="20"/>
        </w:rPr>
        <w:t>.</w:t>
      </w:r>
      <w:r w:rsidRPr="0037269A">
        <w:rPr>
          <w:b/>
          <w:bCs/>
          <w:sz w:val="20"/>
          <w:szCs w:val="20"/>
        </w:rPr>
        <w:t xml:space="preserve"> </w:t>
      </w:r>
      <w:r w:rsidRPr="0037269A">
        <w:rPr>
          <w:b/>
          <w:bCs/>
          <w:sz w:val="20"/>
          <w:szCs w:val="20"/>
          <w:lang w:val="es-CL"/>
        </w:rPr>
        <w:t>Total transporte líneas de transmisión nacionales</w:t>
      </w:r>
      <w:bookmarkEnd w:id="31"/>
      <w:bookmarkEnd w:id="32"/>
    </w:p>
    <w:tbl>
      <w:tblPr>
        <w:tblStyle w:val="Tablaconcuadrcula2"/>
        <w:tblW w:w="0" w:type="auto"/>
        <w:jc w:val="center"/>
        <w:tblLook w:val="04A0" w:firstRow="1" w:lastRow="0" w:firstColumn="1" w:lastColumn="0" w:noHBand="0" w:noVBand="1"/>
      </w:tblPr>
      <w:tblGrid>
        <w:gridCol w:w="3240"/>
        <w:gridCol w:w="2160"/>
      </w:tblGrid>
      <w:tr w:rsidR="001A42EA" w:rsidRPr="00B81F0E" w14:paraId="5033E722" w14:textId="77777777" w:rsidTr="00725CE1">
        <w:trPr>
          <w:trHeight w:val="340"/>
          <w:jc w:val="center"/>
        </w:trPr>
        <w:tc>
          <w:tcPr>
            <w:tcW w:w="3240" w:type="dxa"/>
          </w:tcPr>
          <w:p w14:paraId="3A4E972D" w14:textId="77777777" w:rsidR="001A42EA" w:rsidRPr="00B81F0E" w:rsidRDefault="001A42EA" w:rsidP="00725CE1">
            <w:pPr>
              <w:spacing w:before="120" w:after="120"/>
              <w:jc w:val="center"/>
              <w:rPr>
                <w:sz w:val="20"/>
                <w:szCs w:val="20"/>
                <w:lang w:val="es-CL" w:eastAsia="es-CL"/>
              </w:rPr>
            </w:pPr>
            <w:r w:rsidRPr="00B81F0E">
              <w:rPr>
                <w:sz w:val="20"/>
                <w:szCs w:val="20"/>
                <w:lang w:val="es-CL" w:eastAsia="es-CL"/>
              </w:rPr>
              <w:t>Total transporte líneas [USD]</w:t>
            </w:r>
          </w:p>
        </w:tc>
        <w:tc>
          <w:tcPr>
            <w:tcW w:w="2160" w:type="dxa"/>
          </w:tcPr>
          <w:p w14:paraId="740A74E8" w14:textId="77777777" w:rsidR="001A42EA" w:rsidRPr="00B81F0E" w:rsidRDefault="001A42EA" w:rsidP="00725CE1">
            <w:pPr>
              <w:spacing w:before="120" w:after="120"/>
              <w:jc w:val="center"/>
              <w:rPr>
                <w:sz w:val="20"/>
                <w:szCs w:val="20"/>
                <w:lang w:val="en-US" w:eastAsia="es-CL"/>
              </w:rPr>
            </w:pPr>
            <w:r w:rsidRPr="00B81F0E">
              <w:rPr>
                <w:sz w:val="20"/>
                <w:szCs w:val="20"/>
                <w:lang w:val="es-CL" w:eastAsia="es-CL"/>
              </w:rPr>
              <w:t>13.154.555,50</w:t>
            </w:r>
          </w:p>
        </w:tc>
      </w:tr>
    </w:tbl>
    <w:p w14:paraId="7236F11E" w14:textId="77777777" w:rsidR="001A42EA" w:rsidRDefault="001A42EA" w:rsidP="001A42EA">
      <w:pPr>
        <w:spacing w:after="0"/>
        <w:rPr>
          <w:lang w:val="es-CL"/>
        </w:rPr>
      </w:pPr>
    </w:p>
    <w:p w14:paraId="40CD1012" w14:textId="126806DF" w:rsidR="001A42EA" w:rsidRPr="0037269A" w:rsidRDefault="001A42EA" w:rsidP="001A42EA">
      <w:pPr>
        <w:spacing w:after="120"/>
        <w:jc w:val="center"/>
        <w:rPr>
          <w:b/>
          <w:bCs/>
          <w:sz w:val="20"/>
          <w:szCs w:val="20"/>
          <w:lang w:val="es-CL"/>
        </w:rPr>
      </w:pPr>
      <w:bookmarkStart w:id="33" w:name="_Toc34591053"/>
      <w:bookmarkStart w:id="34" w:name="_Toc34655187"/>
      <w:r w:rsidRPr="0037269A">
        <w:rPr>
          <w:b/>
          <w:bCs/>
          <w:sz w:val="20"/>
          <w:szCs w:val="20"/>
        </w:rPr>
        <w:t xml:space="preserve">Tabla </w:t>
      </w:r>
      <w:r w:rsidRPr="0037269A">
        <w:rPr>
          <w:b/>
          <w:bCs/>
          <w:sz w:val="20"/>
          <w:szCs w:val="20"/>
        </w:rPr>
        <w:fldChar w:fldCharType="begin"/>
      </w:r>
      <w:r w:rsidRPr="0037269A">
        <w:rPr>
          <w:b/>
          <w:bCs/>
          <w:sz w:val="20"/>
          <w:szCs w:val="20"/>
        </w:rPr>
        <w:instrText xml:space="preserve"> SEQ Tabla \* ARABIC </w:instrText>
      </w:r>
      <w:r w:rsidRPr="0037269A">
        <w:rPr>
          <w:b/>
          <w:bCs/>
          <w:sz w:val="20"/>
          <w:szCs w:val="20"/>
        </w:rPr>
        <w:fldChar w:fldCharType="separate"/>
      </w:r>
      <w:r w:rsidR="00F14BED">
        <w:rPr>
          <w:b/>
          <w:bCs/>
          <w:noProof/>
          <w:sz w:val="20"/>
          <w:szCs w:val="20"/>
        </w:rPr>
        <w:t>4</w:t>
      </w:r>
      <w:r w:rsidRPr="0037269A">
        <w:rPr>
          <w:b/>
          <w:bCs/>
          <w:sz w:val="20"/>
          <w:szCs w:val="20"/>
        </w:rPr>
        <w:fldChar w:fldCharType="end"/>
      </w:r>
      <w:r w:rsidRPr="0037269A">
        <w:rPr>
          <w:b/>
          <w:bCs/>
          <w:sz w:val="20"/>
          <w:szCs w:val="20"/>
        </w:rPr>
        <w:t xml:space="preserve">. </w:t>
      </w:r>
      <w:r w:rsidRPr="0037269A">
        <w:rPr>
          <w:b/>
          <w:bCs/>
          <w:sz w:val="20"/>
          <w:szCs w:val="20"/>
          <w:lang w:val="es-CL"/>
        </w:rPr>
        <w:t>Total transporte subestaciones nacionales</w:t>
      </w:r>
      <w:bookmarkEnd w:id="33"/>
      <w:bookmarkEnd w:id="34"/>
    </w:p>
    <w:tbl>
      <w:tblPr>
        <w:tblStyle w:val="Tablaconcuadrcula3"/>
        <w:tblW w:w="0" w:type="auto"/>
        <w:jc w:val="center"/>
        <w:tblLook w:val="04A0" w:firstRow="1" w:lastRow="0" w:firstColumn="1" w:lastColumn="0" w:noHBand="0" w:noVBand="1"/>
      </w:tblPr>
      <w:tblGrid>
        <w:gridCol w:w="2880"/>
        <w:gridCol w:w="2340"/>
      </w:tblGrid>
      <w:tr w:rsidR="001A42EA" w:rsidRPr="00B81F0E" w14:paraId="2BDD62DB" w14:textId="77777777" w:rsidTr="00F94266">
        <w:trPr>
          <w:jc w:val="center"/>
        </w:trPr>
        <w:tc>
          <w:tcPr>
            <w:tcW w:w="2880" w:type="dxa"/>
            <w:vAlign w:val="bottom"/>
          </w:tcPr>
          <w:p w14:paraId="15EE6C44" w14:textId="77777777" w:rsidR="001A42EA" w:rsidRPr="00B81F0E" w:rsidRDefault="001A42EA" w:rsidP="00725CE1">
            <w:pPr>
              <w:spacing w:before="120" w:after="120"/>
              <w:rPr>
                <w:sz w:val="20"/>
                <w:szCs w:val="20"/>
                <w:lang w:val="es-CL" w:eastAsia="es-CL"/>
              </w:rPr>
            </w:pPr>
            <w:r w:rsidRPr="00B81F0E">
              <w:rPr>
                <w:sz w:val="20"/>
                <w:szCs w:val="20"/>
                <w:lang w:val="es-CL" w:eastAsia="es-CL"/>
              </w:rPr>
              <w:t>Transporte a granel [USD]</w:t>
            </w:r>
          </w:p>
        </w:tc>
        <w:tc>
          <w:tcPr>
            <w:tcW w:w="2340" w:type="dxa"/>
            <w:vAlign w:val="bottom"/>
          </w:tcPr>
          <w:p w14:paraId="76BC2B7D" w14:textId="77777777" w:rsidR="001A42EA" w:rsidRPr="00B81F0E" w:rsidRDefault="001A42EA" w:rsidP="00725CE1">
            <w:pPr>
              <w:spacing w:before="120" w:after="120"/>
              <w:rPr>
                <w:sz w:val="20"/>
                <w:szCs w:val="20"/>
                <w:lang w:val="es-CL" w:eastAsia="es-CL"/>
              </w:rPr>
            </w:pPr>
            <w:r w:rsidRPr="00B81F0E">
              <w:rPr>
                <w:sz w:val="20"/>
                <w:szCs w:val="20"/>
                <w:lang w:val="es-CL" w:eastAsia="es-CL"/>
              </w:rPr>
              <w:t xml:space="preserve"> $       731,551.20 </w:t>
            </w:r>
          </w:p>
        </w:tc>
      </w:tr>
      <w:tr w:rsidR="001A42EA" w:rsidRPr="00B81F0E" w14:paraId="04C288DE" w14:textId="77777777" w:rsidTr="00F94266">
        <w:trPr>
          <w:jc w:val="center"/>
        </w:trPr>
        <w:tc>
          <w:tcPr>
            <w:tcW w:w="2880" w:type="dxa"/>
            <w:vAlign w:val="bottom"/>
          </w:tcPr>
          <w:p w14:paraId="67263C8E" w14:textId="77777777" w:rsidR="001A42EA" w:rsidRPr="00B81F0E" w:rsidRDefault="001A42EA" w:rsidP="00725CE1">
            <w:pPr>
              <w:spacing w:before="120" w:after="120"/>
              <w:rPr>
                <w:sz w:val="20"/>
                <w:szCs w:val="20"/>
                <w:lang w:val="es-CL" w:eastAsia="es-CL"/>
              </w:rPr>
            </w:pPr>
            <w:r w:rsidRPr="00B81F0E">
              <w:rPr>
                <w:sz w:val="20"/>
                <w:szCs w:val="20"/>
                <w:lang w:val="es-CL" w:eastAsia="es-CL"/>
              </w:rPr>
              <w:t>Transporte especial [USD]</w:t>
            </w:r>
          </w:p>
        </w:tc>
        <w:tc>
          <w:tcPr>
            <w:tcW w:w="2340" w:type="dxa"/>
            <w:vAlign w:val="bottom"/>
          </w:tcPr>
          <w:p w14:paraId="40EDFAFD" w14:textId="77777777" w:rsidR="001A42EA" w:rsidRPr="00B81F0E" w:rsidRDefault="001A42EA" w:rsidP="00725CE1">
            <w:pPr>
              <w:spacing w:before="120" w:after="120"/>
              <w:rPr>
                <w:sz w:val="20"/>
                <w:szCs w:val="20"/>
                <w:lang w:val="es-CL" w:eastAsia="es-CL"/>
              </w:rPr>
            </w:pPr>
            <w:r w:rsidRPr="00B81F0E">
              <w:rPr>
                <w:sz w:val="20"/>
                <w:szCs w:val="20"/>
                <w:lang w:val="es-CL" w:eastAsia="es-CL"/>
              </w:rPr>
              <w:t xml:space="preserve"> $   4,563,271.67 </w:t>
            </w:r>
          </w:p>
        </w:tc>
      </w:tr>
      <w:tr w:rsidR="001A42EA" w:rsidRPr="00B81F0E" w14:paraId="28F2457A" w14:textId="77777777" w:rsidTr="00F94266">
        <w:trPr>
          <w:jc w:val="center"/>
        </w:trPr>
        <w:tc>
          <w:tcPr>
            <w:tcW w:w="2880" w:type="dxa"/>
            <w:vAlign w:val="bottom"/>
          </w:tcPr>
          <w:p w14:paraId="36094EAB" w14:textId="77777777" w:rsidR="001A42EA" w:rsidRPr="00B81F0E" w:rsidRDefault="001A42EA" w:rsidP="00725CE1">
            <w:pPr>
              <w:spacing w:before="120" w:after="120"/>
              <w:rPr>
                <w:sz w:val="20"/>
                <w:szCs w:val="20"/>
                <w:lang w:val="es-CL" w:eastAsia="es-CL"/>
              </w:rPr>
            </w:pPr>
            <w:r w:rsidRPr="00B81F0E">
              <w:rPr>
                <w:sz w:val="20"/>
                <w:szCs w:val="20"/>
                <w:lang w:val="es-CL" w:eastAsia="es-CL"/>
              </w:rPr>
              <w:t>Total [USD]</w:t>
            </w:r>
          </w:p>
        </w:tc>
        <w:tc>
          <w:tcPr>
            <w:tcW w:w="2340" w:type="dxa"/>
            <w:vAlign w:val="bottom"/>
          </w:tcPr>
          <w:p w14:paraId="1E1BBB6F" w14:textId="77777777" w:rsidR="001A42EA" w:rsidRPr="00B81F0E" w:rsidRDefault="001A42EA" w:rsidP="00725CE1">
            <w:pPr>
              <w:spacing w:before="120" w:after="120"/>
              <w:rPr>
                <w:sz w:val="20"/>
                <w:szCs w:val="20"/>
                <w:lang w:val="es-CL" w:eastAsia="es-CL"/>
              </w:rPr>
            </w:pPr>
            <w:r w:rsidRPr="00B81F0E">
              <w:rPr>
                <w:sz w:val="20"/>
                <w:szCs w:val="20"/>
                <w:lang w:val="es-CL" w:eastAsia="es-CL"/>
              </w:rPr>
              <w:t xml:space="preserve"> $   5,294,822.88 </w:t>
            </w:r>
          </w:p>
        </w:tc>
      </w:tr>
    </w:tbl>
    <w:p w14:paraId="2784A2DE" w14:textId="71601CFA" w:rsidR="0088776A" w:rsidRDefault="0088776A" w:rsidP="0088776A">
      <w:r>
        <w:t xml:space="preserve"> </w:t>
      </w:r>
    </w:p>
    <w:p w14:paraId="2668EE99" w14:textId="77777777" w:rsidR="0088776A" w:rsidRDefault="0088776A" w:rsidP="001A42EA">
      <w:pPr>
        <w:pStyle w:val="Ttulo4"/>
      </w:pPr>
      <w:bookmarkStart w:id="35" w:name="_Toc34687180"/>
      <w:r>
        <w:t>Recargo por bodegaje (B)</w:t>
      </w:r>
      <w:bookmarkEnd w:id="35"/>
    </w:p>
    <w:p w14:paraId="22963628" w14:textId="77777777" w:rsidR="0088776A" w:rsidRDefault="0088776A" w:rsidP="0088776A">
      <w:r>
        <w:t>El costo de bodega se determinó según el tipo de tramo, ya sea líneas de transmisión o subestaciones, incluidos los transformadores de poder. En ambos casos se consideraron containers con un costo de arriendo mensual de 168 dólares, al que se le incluyó un recargo de un 20% para reflejar el costo del transporte de la bodega desde el punto de entrega al punto de instalación.</w:t>
      </w:r>
    </w:p>
    <w:p w14:paraId="77A85673" w14:textId="77777777" w:rsidR="0088776A" w:rsidRDefault="0088776A" w:rsidP="0088776A">
      <w:r>
        <w:t>Tanto para líneas como subestaciones se ha considerado que los elementos mayores no son almacenados. En el primer caso, equipos como transformadores de poder, reactores, condensadores, interruptores, etc. son colocados en el terreno de la subestación. En el segundo caso, las estructuras y conductor son almacenados en las distintas bases que se establecen durante la construcción de la línea.</w:t>
      </w:r>
    </w:p>
    <w:p w14:paraId="10096348" w14:textId="77777777" w:rsidR="0088776A" w:rsidRDefault="0088776A" w:rsidP="0088776A">
      <w:r>
        <w:t>Los resultados obtenidos se muestran en las tablas siguientes:</w:t>
      </w:r>
    </w:p>
    <w:p w14:paraId="4B98873F" w14:textId="26F3F322" w:rsidR="001A42EA" w:rsidRPr="00B81F0E" w:rsidRDefault="001A42EA" w:rsidP="001A42EA">
      <w:pPr>
        <w:keepNext/>
        <w:spacing w:after="120"/>
        <w:jc w:val="center"/>
        <w:rPr>
          <w:b/>
          <w:bCs/>
          <w:sz w:val="20"/>
          <w:szCs w:val="20"/>
          <w:lang w:val="es-CL"/>
        </w:rPr>
      </w:pPr>
      <w:bookmarkStart w:id="36" w:name="_Toc34591054"/>
      <w:bookmarkStart w:id="37" w:name="_Toc34655188"/>
      <w:r w:rsidRPr="00801105">
        <w:rPr>
          <w:b/>
          <w:bCs/>
          <w:sz w:val="20"/>
          <w:szCs w:val="20"/>
        </w:rPr>
        <w:t xml:space="preserve">Tabla </w:t>
      </w:r>
      <w:r w:rsidRPr="00801105">
        <w:rPr>
          <w:b/>
          <w:bCs/>
          <w:sz w:val="20"/>
          <w:szCs w:val="20"/>
        </w:rPr>
        <w:fldChar w:fldCharType="begin"/>
      </w:r>
      <w:r w:rsidRPr="00801105">
        <w:rPr>
          <w:b/>
          <w:bCs/>
          <w:sz w:val="20"/>
          <w:szCs w:val="20"/>
        </w:rPr>
        <w:instrText xml:space="preserve"> SEQ Tabla \* ARABIC </w:instrText>
      </w:r>
      <w:r w:rsidRPr="00801105">
        <w:rPr>
          <w:b/>
          <w:bCs/>
          <w:sz w:val="20"/>
          <w:szCs w:val="20"/>
        </w:rPr>
        <w:fldChar w:fldCharType="separate"/>
      </w:r>
      <w:r w:rsidR="00F14BED">
        <w:rPr>
          <w:b/>
          <w:bCs/>
          <w:noProof/>
          <w:sz w:val="20"/>
          <w:szCs w:val="20"/>
        </w:rPr>
        <w:t>5</w:t>
      </w:r>
      <w:r w:rsidRPr="00801105">
        <w:rPr>
          <w:b/>
          <w:bCs/>
          <w:sz w:val="20"/>
          <w:szCs w:val="20"/>
        </w:rPr>
        <w:fldChar w:fldCharType="end"/>
      </w:r>
      <w:r w:rsidRPr="00801105">
        <w:rPr>
          <w:b/>
          <w:bCs/>
          <w:sz w:val="20"/>
          <w:szCs w:val="20"/>
        </w:rPr>
        <w:t>.</w:t>
      </w:r>
      <w:r w:rsidRPr="00B81F0E">
        <w:rPr>
          <w:sz w:val="20"/>
          <w:szCs w:val="20"/>
          <w:lang w:val="es-CL"/>
        </w:rPr>
        <w:t xml:space="preserve"> </w:t>
      </w:r>
      <w:r w:rsidRPr="00B81F0E">
        <w:rPr>
          <w:b/>
          <w:bCs/>
          <w:sz w:val="20"/>
          <w:szCs w:val="20"/>
          <w:lang w:val="es-CL"/>
        </w:rPr>
        <w:t>Recargo bodegaje líneas de transmisión nacionales</w:t>
      </w:r>
      <w:bookmarkEnd w:id="36"/>
      <w:bookmarkEnd w:id="37"/>
    </w:p>
    <w:tbl>
      <w:tblPr>
        <w:tblW w:w="0" w:type="auto"/>
        <w:tblCellMar>
          <w:left w:w="70" w:type="dxa"/>
          <w:right w:w="70" w:type="dxa"/>
        </w:tblCellMar>
        <w:tblLook w:val="04A0" w:firstRow="1" w:lastRow="0" w:firstColumn="1" w:lastColumn="0" w:noHBand="0" w:noVBand="1"/>
      </w:tblPr>
      <w:tblGrid>
        <w:gridCol w:w="2006"/>
        <w:gridCol w:w="1185"/>
        <w:gridCol w:w="1944"/>
        <w:gridCol w:w="1388"/>
        <w:gridCol w:w="2073"/>
        <w:gridCol w:w="1079"/>
      </w:tblGrid>
      <w:tr w:rsidR="001A42EA" w:rsidRPr="00B81F0E" w14:paraId="7DCC3F07" w14:textId="77777777" w:rsidTr="00725CE1">
        <w:trPr>
          <w:trHeight w:val="20"/>
        </w:trPr>
        <w:tc>
          <w:tcPr>
            <w:tcW w:w="0" w:type="auto"/>
            <w:tcBorders>
              <w:top w:val="single" w:sz="4" w:space="0" w:color="auto"/>
              <w:left w:val="single" w:sz="4" w:space="0" w:color="auto"/>
              <w:bottom w:val="nil"/>
              <w:right w:val="single" w:sz="4" w:space="0" w:color="auto"/>
            </w:tcBorders>
            <w:shd w:val="clear" w:color="000000" w:fill="D9D9D9"/>
            <w:vAlign w:val="center"/>
            <w:hideMark/>
          </w:tcPr>
          <w:p w14:paraId="35895487"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Tipo</w:t>
            </w:r>
          </w:p>
        </w:tc>
        <w:tc>
          <w:tcPr>
            <w:tcW w:w="0" w:type="auto"/>
            <w:tcBorders>
              <w:top w:val="single" w:sz="4" w:space="0" w:color="auto"/>
              <w:left w:val="nil"/>
              <w:bottom w:val="nil"/>
              <w:right w:val="single" w:sz="4" w:space="0" w:color="auto"/>
            </w:tcBorders>
            <w:shd w:val="clear" w:color="000000" w:fill="D9D9D9"/>
            <w:vAlign w:val="center"/>
            <w:hideMark/>
          </w:tcPr>
          <w:p w14:paraId="707C944F"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Conteiners</w:t>
            </w:r>
          </w:p>
        </w:tc>
        <w:tc>
          <w:tcPr>
            <w:tcW w:w="0" w:type="auto"/>
            <w:tcBorders>
              <w:top w:val="single" w:sz="4" w:space="0" w:color="auto"/>
              <w:left w:val="nil"/>
              <w:bottom w:val="nil"/>
              <w:right w:val="single" w:sz="4" w:space="0" w:color="auto"/>
            </w:tcBorders>
            <w:shd w:val="clear" w:color="000000" w:fill="D9D9D9"/>
            <w:vAlign w:val="center"/>
            <w:hideMark/>
          </w:tcPr>
          <w:p w14:paraId="76528FA9"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Duración construcción</w:t>
            </w:r>
            <w:r w:rsidRPr="00B81F0E">
              <w:rPr>
                <w:rFonts w:ascii="Arial" w:eastAsia="Times New Roman" w:hAnsi="Arial" w:cs="Arial"/>
                <w:b/>
                <w:bCs/>
                <w:color w:val="000000"/>
                <w:sz w:val="20"/>
                <w:szCs w:val="20"/>
                <w:lang w:val="es-CL" w:eastAsia="es-CL"/>
              </w:rPr>
              <w:br/>
              <w:t>meses</w:t>
            </w:r>
          </w:p>
        </w:tc>
        <w:tc>
          <w:tcPr>
            <w:tcW w:w="0" w:type="auto"/>
            <w:tcBorders>
              <w:top w:val="single" w:sz="4" w:space="0" w:color="auto"/>
              <w:left w:val="nil"/>
              <w:bottom w:val="nil"/>
              <w:right w:val="single" w:sz="4" w:space="0" w:color="auto"/>
            </w:tcBorders>
            <w:shd w:val="clear" w:color="000000" w:fill="D9D9D9"/>
            <w:vAlign w:val="center"/>
            <w:hideMark/>
          </w:tcPr>
          <w:p w14:paraId="585E3510"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Costo bodegaje</w:t>
            </w:r>
            <w:r w:rsidRPr="00B81F0E">
              <w:rPr>
                <w:rFonts w:ascii="Arial" w:eastAsia="Times New Roman" w:hAnsi="Arial" w:cs="Arial"/>
                <w:b/>
                <w:bCs/>
                <w:color w:val="000000"/>
                <w:sz w:val="20"/>
                <w:szCs w:val="20"/>
                <w:lang w:val="es-CL" w:eastAsia="es-CL"/>
              </w:rPr>
              <w:br/>
              <w:t>USD</w:t>
            </w:r>
          </w:p>
        </w:tc>
        <w:tc>
          <w:tcPr>
            <w:tcW w:w="0" w:type="auto"/>
            <w:tcBorders>
              <w:top w:val="single" w:sz="4" w:space="0" w:color="auto"/>
              <w:left w:val="nil"/>
              <w:bottom w:val="nil"/>
              <w:right w:val="nil"/>
            </w:tcBorders>
            <w:shd w:val="clear" w:color="000000" w:fill="D9D9D9"/>
            <w:vAlign w:val="center"/>
            <w:hideMark/>
          </w:tcPr>
          <w:p w14:paraId="31268B98"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Costo materiales promedio</w:t>
            </w:r>
            <w:r w:rsidRPr="00B81F0E">
              <w:rPr>
                <w:rFonts w:ascii="Arial" w:eastAsia="Times New Roman" w:hAnsi="Arial" w:cs="Arial"/>
                <w:b/>
                <w:bCs/>
                <w:color w:val="000000"/>
                <w:sz w:val="20"/>
                <w:szCs w:val="20"/>
                <w:lang w:val="es-CL" w:eastAsia="es-CL"/>
              </w:rPr>
              <w:br/>
              <w:t>USD</w:t>
            </w:r>
          </w:p>
        </w:tc>
        <w:tc>
          <w:tcPr>
            <w:tcW w:w="0" w:type="auto"/>
            <w:tcBorders>
              <w:top w:val="single" w:sz="8" w:space="0" w:color="auto"/>
              <w:left w:val="single" w:sz="8" w:space="0" w:color="auto"/>
              <w:bottom w:val="nil"/>
              <w:right w:val="single" w:sz="8" w:space="0" w:color="auto"/>
            </w:tcBorders>
            <w:shd w:val="clear" w:color="000000" w:fill="D9D9D9"/>
            <w:vAlign w:val="center"/>
            <w:hideMark/>
          </w:tcPr>
          <w:p w14:paraId="2EC60576"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Recargo %</w:t>
            </w:r>
          </w:p>
        </w:tc>
      </w:tr>
      <w:tr w:rsidR="001A42EA" w:rsidRPr="00B81F0E" w14:paraId="41E27171" w14:textId="77777777" w:rsidTr="00725CE1">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AF478"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Entre 0 y 5 km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6A15C10"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7559BB1"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42B2E3"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6.472</w:t>
            </w:r>
          </w:p>
        </w:tc>
        <w:tc>
          <w:tcPr>
            <w:tcW w:w="0" w:type="auto"/>
            <w:tcBorders>
              <w:top w:val="single" w:sz="4" w:space="0" w:color="auto"/>
              <w:left w:val="nil"/>
              <w:bottom w:val="single" w:sz="4" w:space="0" w:color="auto"/>
              <w:right w:val="nil"/>
            </w:tcBorders>
            <w:shd w:val="clear" w:color="auto" w:fill="auto"/>
            <w:noWrap/>
            <w:vAlign w:val="center"/>
            <w:hideMark/>
          </w:tcPr>
          <w:p w14:paraId="2BD58349"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140.425</w:t>
            </w:r>
          </w:p>
        </w:tc>
        <w:tc>
          <w:tcPr>
            <w:tcW w:w="0" w:type="auto"/>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91A52AC"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4,61</w:t>
            </w:r>
          </w:p>
        </w:tc>
      </w:tr>
      <w:tr w:rsidR="001A42EA" w:rsidRPr="00B81F0E" w14:paraId="6FA3AEE8"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26D78A"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Entre 5 y 25 km</w:t>
            </w:r>
          </w:p>
        </w:tc>
        <w:tc>
          <w:tcPr>
            <w:tcW w:w="0" w:type="auto"/>
            <w:tcBorders>
              <w:top w:val="nil"/>
              <w:left w:val="nil"/>
              <w:bottom w:val="single" w:sz="4" w:space="0" w:color="auto"/>
              <w:right w:val="single" w:sz="4" w:space="0" w:color="auto"/>
            </w:tcBorders>
            <w:shd w:val="clear" w:color="auto" w:fill="auto"/>
            <w:noWrap/>
            <w:vAlign w:val="center"/>
            <w:hideMark/>
          </w:tcPr>
          <w:p w14:paraId="18279AA8"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6</w:t>
            </w:r>
          </w:p>
        </w:tc>
        <w:tc>
          <w:tcPr>
            <w:tcW w:w="0" w:type="auto"/>
            <w:tcBorders>
              <w:top w:val="nil"/>
              <w:left w:val="nil"/>
              <w:bottom w:val="single" w:sz="4" w:space="0" w:color="auto"/>
              <w:right w:val="single" w:sz="4" w:space="0" w:color="auto"/>
            </w:tcBorders>
            <w:shd w:val="clear" w:color="auto" w:fill="auto"/>
            <w:noWrap/>
            <w:vAlign w:val="center"/>
            <w:hideMark/>
          </w:tcPr>
          <w:p w14:paraId="4264EA7C"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9</w:t>
            </w:r>
          </w:p>
        </w:tc>
        <w:tc>
          <w:tcPr>
            <w:tcW w:w="0" w:type="auto"/>
            <w:tcBorders>
              <w:top w:val="nil"/>
              <w:left w:val="nil"/>
              <w:bottom w:val="single" w:sz="4" w:space="0" w:color="auto"/>
              <w:right w:val="single" w:sz="4" w:space="0" w:color="auto"/>
            </w:tcBorders>
            <w:shd w:val="clear" w:color="auto" w:fill="auto"/>
            <w:noWrap/>
            <w:vAlign w:val="center"/>
            <w:hideMark/>
          </w:tcPr>
          <w:p w14:paraId="34846D84"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10.921</w:t>
            </w:r>
          </w:p>
        </w:tc>
        <w:tc>
          <w:tcPr>
            <w:tcW w:w="0" w:type="auto"/>
            <w:tcBorders>
              <w:top w:val="nil"/>
              <w:left w:val="nil"/>
              <w:bottom w:val="single" w:sz="4" w:space="0" w:color="auto"/>
              <w:right w:val="nil"/>
            </w:tcBorders>
            <w:shd w:val="clear" w:color="auto" w:fill="auto"/>
            <w:noWrap/>
            <w:vAlign w:val="center"/>
            <w:hideMark/>
          </w:tcPr>
          <w:p w14:paraId="576A2BF5"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1.050.965</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1F252907"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1,04</w:t>
            </w:r>
          </w:p>
        </w:tc>
      </w:tr>
      <w:tr w:rsidR="001A42EA" w:rsidRPr="00B81F0E" w14:paraId="1D4EA8B8"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79F16A"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Entre 25 y 50 km</w:t>
            </w:r>
          </w:p>
        </w:tc>
        <w:tc>
          <w:tcPr>
            <w:tcW w:w="0" w:type="auto"/>
            <w:tcBorders>
              <w:top w:val="nil"/>
              <w:left w:val="nil"/>
              <w:bottom w:val="single" w:sz="4" w:space="0" w:color="auto"/>
              <w:right w:val="single" w:sz="4" w:space="0" w:color="auto"/>
            </w:tcBorders>
            <w:shd w:val="clear" w:color="auto" w:fill="auto"/>
            <w:noWrap/>
            <w:vAlign w:val="center"/>
            <w:hideMark/>
          </w:tcPr>
          <w:p w14:paraId="622F6884"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8</w:t>
            </w:r>
          </w:p>
        </w:tc>
        <w:tc>
          <w:tcPr>
            <w:tcW w:w="0" w:type="auto"/>
            <w:tcBorders>
              <w:top w:val="nil"/>
              <w:left w:val="nil"/>
              <w:bottom w:val="single" w:sz="4" w:space="0" w:color="auto"/>
              <w:right w:val="single" w:sz="4" w:space="0" w:color="auto"/>
            </w:tcBorders>
            <w:shd w:val="clear" w:color="auto" w:fill="auto"/>
            <w:noWrap/>
            <w:vAlign w:val="center"/>
            <w:hideMark/>
          </w:tcPr>
          <w:p w14:paraId="4FC97747"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13</w:t>
            </w:r>
          </w:p>
        </w:tc>
        <w:tc>
          <w:tcPr>
            <w:tcW w:w="0" w:type="auto"/>
            <w:tcBorders>
              <w:top w:val="nil"/>
              <w:left w:val="nil"/>
              <w:bottom w:val="single" w:sz="4" w:space="0" w:color="auto"/>
              <w:right w:val="single" w:sz="4" w:space="0" w:color="auto"/>
            </w:tcBorders>
            <w:shd w:val="clear" w:color="auto" w:fill="auto"/>
            <w:noWrap/>
            <w:vAlign w:val="center"/>
            <w:hideMark/>
          </w:tcPr>
          <w:p w14:paraId="7EF1CB23"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21.034</w:t>
            </w:r>
          </w:p>
        </w:tc>
        <w:tc>
          <w:tcPr>
            <w:tcW w:w="0" w:type="auto"/>
            <w:tcBorders>
              <w:top w:val="nil"/>
              <w:left w:val="nil"/>
              <w:bottom w:val="single" w:sz="4" w:space="0" w:color="auto"/>
              <w:right w:val="nil"/>
            </w:tcBorders>
            <w:shd w:val="clear" w:color="auto" w:fill="auto"/>
            <w:noWrap/>
            <w:vAlign w:val="center"/>
            <w:hideMark/>
          </w:tcPr>
          <w:p w14:paraId="1D0AF095"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3.816.644</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47BC4923"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0,55</w:t>
            </w:r>
          </w:p>
        </w:tc>
      </w:tr>
      <w:tr w:rsidR="001A42EA" w:rsidRPr="00B81F0E" w14:paraId="46634056"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AB6EFC"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Entre 50 km y 100 km</w:t>
            </w:r>
          </w:p>
        </w:tc>
        <w:tc>
          <w:tcPr>
            <w:tcW w:w="0" w:type="auto"/>
            <w:tcBorders>
              <w:top w:val="nil"/>
              <w:left w:val="nil"/>
              <w:bottom w:val="single" w:sz="4" w:space="0" w:color="auto"/>
              <w:right w:val="single" w:sz="4" w:space="0" w:color="auto"/>
            </w:tcBorders>
            <w:shd w:val="clear" w:color="auto" w:fill="auto"/>
            <w:noWrap/>
            <w:vAlign w:val="center"/>
            <w:hideMark/>
          </w:tcPr>
          <w:p w14:paraId="64CDB913"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10</w:t>
            </w:r>
          </w:p>
        </w:tc>
        <w:tc>
          <w:tcPr>
            <w:tcW w:w="0" w:type="auto"/>
            <w:tcBorders>
              <w:top w:val="nil"/>
              <w:left w:val="nil"/>
              <w:bottom w:val="single" w:sz="4" w:space="0" w:color="auto"/>
              <w:right w:val="single" w:sz="4" w:space="0" w:color="auto"/>
            </w:tcBorders>
            <w:shd w:val="clear" w:color="auto" w:fill="auto"/>
            <w:noWrap/>
            <w:vAlign w:val="center"/>
            <w:hideMark/>
          </w:tcPr>
          <w:p w14:paraId="4341EDBC"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15</w:t>
            </w:r>
          </w:p>
        </w:tc>
        <w:tc>
          <w:tcPr>
            <w:tcW w:w="0" w:type="auto"/>
            <w:tcBorders>
              <w:top w:val="nil"/>
              <w:left w:val="nil"/>
              <w:bottom w:val="single" w:sz="4" w:space="0" w:color="auto"/>
              <w:right w:val="single" w:sz="4" w:space="0" w:color="auto"/>
            </w:tcBorders>
            <w:shd w:val="clear" w:color="auto" w:fill="auto"/>
            <w:noWrap/>
            <w:vAlign w:val="center"/>
            <w:hideMark/>
          </w:tcPr>
          <w:p w14:paraId="534A2B59"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30.337</w:t>
            </w:r>
          </w:p>
        </w:tc>
        <w:tc>
          <w:tcPr>
            <w:tcW w:w="0" w:type="auto"/>
            <w:tcBorders>
              <w:top w:val="nil"/>
              <w:left w:val="nil"/>
              <w:bottom w:val="single" w:sz="4" w:space="0" w:color="auto"/>
              <w:right w:val="nil"/>
            </w:tcBorders>
            <w:shd w:val="clear" w:color="auto" w:fill="auto"/>
            <w:noWrap/>
            <w:vAlign w:val="center"/>
            <w:hideMark/>
          </w:tcPr>
          <w:p w14:paraId="5F6DDE4E"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4.763.299</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14F64289"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0,64</w:t>
            </w:r>
          </w:p>
        </w:tc>
      </w:tr>
      <w:tr w:rsidR="001A42EA" w:rsidRPr="00B81F0E" w14:paraId="47585F3C"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A7F06B"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Entre 100 km y 250 km</w:t>
            </w:r>
          </w:p>
        </w:tc>
        <w:tc>
          <w:tcPr>
            <w:tcW w:w="0" w:type="auto"/>
            <w:tcBorders>
              <w:top w:val="nil"/>
              <w:left w:val="nil"/>
              <w:bottom w:val="single" w:sz="4" w:space="0" w:color="auto"/>
              <w:right w:val="single" w:sz="4" w:space="0" w:color="auto"/>
            </w:tcBorders>
            <w:shd w:val="clear" w:color="auto" w:fill="auto"/>
            <w:noWrap/>
            <w:vAlign w:val="center"/>
            <w:hideMark/>
          </w:tcPr>
          <w:p w14:paraId="0DBF1629"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16</w:t>
            </w:r>
          </w:p>
        </w:tc>
        <w:tc>
          <w:tcPr>
            <w:tcW w:w="0" w:type="auto"/>
            <w:tcBorders>
              <w:top w:val="nil"/>
              <w:left w:val="nil"/>
              <w:bottom w:val="single" w:sz="4" w:space="0" w:color="auto"/>
              <w:right w:val="single" w:sz="4" w:space="0" w:color="auto"/>
            </w:tcBorders>
            <w:shd w:val="clear" w:color="auto" w:fill="auto"/>
            <w:noWrap/>
            <w:vAlign w:val="center"/>
            <w:hideMark/>
          </w:tcPr>
          <w:p w14:paraId="76C1DBD6"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17</w:t>
            </w:r>
          </w:p>
        </w:tc>
        <w:tc>
          <w:tcPr>
            <w:tcW w:w="0" w:type="auto"/>
            <w:tcBorders>
              <w:top w:val="nil"/>
              <w:left w:val="nil"/>
              <w:bottom w:val="single" w:sz="4" w:space="0" w:color="auto"/>
              <w:right w:val="single" w:sz="4" w:space="0" w:color="auto"/>
            </w:tcBorders>
            <w:shd w:val="clear" w:color="auto" w:fill="auto"/>
            <w:noWrap/>
            <w:vAlign w:val="center"/>
            <w:hideMark/>
          </w:tcPr>
          <w:p w14:paraId="061BA2BF"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55.012</w:t>
            </w:r>
          </w:p>
        </w:tc>
        <w:tc>
          <w:tcPr>
            <w:tcW w:w="0" w:type="auto"/>
            <w:tcBorders>
              <w:top w:val="nil"/>
              <w:left w:val="nil"/>
              <w:bottom w:val="single" w:sz="4" w:space="0" w:color="auto"/>
              <w:right w:val="nil"/>
            </w:tcBorders>
            <w:shd w:val="clear" w:color="auto" w:fill="auto"/>
            <w:noWrap/>
            <w:vAlign w:val="center"/>
            <w:hideMark/>
          </w:tcPr>
          <w:p w14:paraId="6D3F328E"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20.610.798</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2C836221"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0,27</w:t>
            </w:r>
          </w:p>
        </w:tc>
      </w:tr>
      <w:tr w:rsidR="001A42EA" w:rsidRPr="00B81F0E" w14:paraId="0C3982A4"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4A5312"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Mayor a 250 km</w:t>
            </w:r>
          </w:p>
        </w:tc>
        <w:tc>
          <w:tcPr>
            <w:tcW w:w="0" w:type="auto"/>
            <w:tcBorders>
              <w:top w:val="nil"/>
              <w:left w:val="nil"/>
              <w:bottom w:val="single" w:sz="4" w:space="0" w:color="auto"/>
              <w:right w:val="single" w:sz="4" w:space="0" w:color="auto"/>
            </w:tcBorders>
            <w:shd w:val="clear" w:color="auto" w:fill="auto"/>
            <w:noWrap/>
            <w:vAlign w:val="center"/>
            <w:hideMark/>
          </w:tcPr>
          <w:p w14:paraId="52619DF3"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36</w:t>
            </w:r>
          </w:p>
        </w:tc>
        <w:tc>
          <w:tcPr>
            <w:tcW w:w="0" w:type="auto"/>
            <w:tcBorders>
              <w:top w:val="nil"/>
              <w:left w:val="nil"/>
              <w:bottom w:val="single" w:sz="4" w:space="0" w:color="auto"/>
              <w:right w:val="single" w:sz="4" w:space="0" w:color="auto"/>
            </w:tcBorders>
            <w:shd w:val="clear" w:color="auto" w:fill="auto"/>
            <w:noWrap/>
            <w:vAlign w:val="center"/>
            <w:hideMark/>
          </w:tcPr>
          <w:p w14:paraId="05F546E7"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21</w:t>
            </w:r>
          </w:p>
        </w:tc>
        <w:tc>
          <w:tcPr>
            <w:tcW w:w="0" w:type="auto"/>
            <w:tcBorders>
              <w:top w:val="nil"/>
              <w:left w:val="nil"/>
              <w:bottom w:val="single" w:sz="4" w:space="0" w:color="auto"/>
              <w:right w:val="single" w:sz="4" w:space="0" w:color="auto"/>
            </w:tcBorders>
            <w:shd w:val="clear" w:color="auto" w:fill="auto"/>
            <w:noWrap/>
            <w:vAlign w:val="center"/>
            <w:hideMark/>
          </w:tcPr>
          <w:p w14:paraId="2DADB44E"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152.900</w:t>
            </w:r>
          </w:p>
        </w:tc>
        <w:tc>
          <w:tcPr>
            <w:tcW w:w="0" w:type="auto"/>
            <w:tcBorders>
              <w:top w:val="nil"/>
              <w:left w:val="nil"/>
              <w:bottom w:val="single" w:sz="4" w:space="0" w:color="auto"/>
              <w:right w:val="nil"/>
            </w:tcBorders>
            <w:shd w:val="clear" w:color="auto" w:fill="auto"/>
            <w:noWrap/>
            <w:vAlign w:val="center"/>
            <w:hideMark/>
          </w:tcPr>
          <w:p w14:paraId="7BEAEA80"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83.150.921</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7E332C5A" w14:textId="77777777" w:rsidR="001A42EA" w:rsidRPr="00B81F0E" w:rsidRDefault="001A42EA" w:rsidP="00725CE1">
            <w:pPr>
              <w:spacing w:after="0" w:line="240" w:lineRule="auto"/>
              <w:jc w:val="center"/>
              <w:rPr>
                <w:rFonts w:eastAsia="Times New Roman" w:cs="Calibri"/>
                <w:color w:val="000000"/>
                <w:sz w:val="20"/>
                <w:szCs w:val="20"/>
                <w:lang w:val="es-CL" w:eastAsia="es-CL"/>
              </w:rPr>
            </w:pPr>
            <w:r w:rsidRPr="00B81F0E">
              <w:rPr>
                <w:rFonts w:eastAsia="Times New Roman" w:cs="Calibri"/>
                <w:color w:val="000000"/>
                <w:sz w:val="20"/>
                <w:szCs w:val="20"/>
                <w:lang w:val="es-CL" w:eastAsia="es-CL"/>
              </w:rPr>
              <w:t>0,18</w:t>
            </w:r>
          </w:p>
        </w:tc>
      </w:tr>
    </w:tbl>
    <w:p w14:paraId="1555907E" w14:textId="77777777" w:rsidR="001A42EA" w:rsidRDefault="001A42EA" w:rsidP="001A42EA">
      <w:pPr>
        <w:spacing w:after="120"/>
      </w:pPr>
    </w:p>
    <w:p w14:paraId="0E94ED1F" w14:textId="20C7BAD9" w:rsidR="001A42EA" w:rsidRPr="00B81F0E" w:rsidRDefault="001A42EA" w:rsidP="001A42EA">
      <w:pPr>
        <w:spacing w:after="120"/>
        <w:jc w:val="center"/>
        <w:rPr>
          <w:b/>
          <w:bCs/>
          <w:i/>
          <w:iCs/>
          <w:sz w:val="20"/>
          <w:szCs w:val="20"/>
          <w:lang w:val="es-CL"/>
        </w:rPr>
      </w:pPr>
      <w:bookmarkStart w:id="38" w:name="_Toc34591055"/>
      <w:bookmarkStart w:id="39" w:name="_Toc34655189"/>
      <w:r w:rsidRPr="00801105">
        <w:rPr>
          <w:b/>
          <w:bCs/>
          <w:sz w:val="20"/>
          <w:szCs w:val="20"/>
        </w:rPr>
        <w:t xml:space="preserve">Tabla </w:t>
      </w:r>
      <w:r w:rsidRPr="00801105">
        <w:rPr>
          <w:b/>
          <w:bCs/>
          <w:sz w:val="20"/>
          <w:szCs w:val="20"/>
        </w:rPr>
        <w:fldChar w:fldCharType="begin"/>
      </w:r>
      <w:r w:rsidRPr="00801105">
        <w:rPr>
          <w:b/>
          <w:bCs/>
          <w:sz w:val="20"/>
          <w:szCs w:val="20"/>
        </w:rPr>
        <w:instrText xml:space="preserve"> SEQ Tabla \* ARABIC </w:instrText>
      </w:r>
      <w:r w:rsidRPr="00801105">
        <w:rPr>
          <w:b/>
          <w:bCs/>
          <w:sz w:val="20"/>
          <w:szCs w:val="20"/>
        </w:rPr>
        <w:fldChar w:fldCharType="separate"/>
      </w:r>
      <w:r w:rsidR="00F14BED">
        <w:rPr>
          <w:b/>
          <w:bCs/>
          <w:noProof/>
          <w:sz w:val="20"/>
          <w:szCs w:val="20"/>
        </w:rPr>
        <w:t>6</w:t>
      </w:r>
      <w:r w:rsidRPr="00801105">
        <w:rPr>
          <w:b/>
          <w:bCs/>
          <w:sz w:val="20"/>
          <w:szCs w:val="20"/>
        </w:rPr>
        <w:fldChar w:fldCharType="end"/>
      </w:r>
      <w:r w:rsidRPr="00801105">
        <w:rPr>
          <w:b/>
          <w:bCs/>
          <w:sz w:val="20"/>
          <w:szCs w:val="20"/>
        </w:rPr>
        <w:t>.</w:t>
      </w:r>
      <w:r w:rsidRPr="00B81F0E">
        <w:rPr>
          <w:i/>
          <w:iCs/>
          <w:sz w:val="20"/>
          <w:szCs w:val="20"/>
          <w:lang w:val="es-CL"/>
        </w:rPr>
        <w:t xml:space="preserve"> </w:t>
      </w:r>
      <w:r w:rsidRPr="0037269A">
        <w:rPr>
          <w:b/>
          <w:bCs/>
          <w:sz w:val="20"/>
          <w:szCs w:val="20"/>
          <w:lang w:val="es-CL"/>
        </w:rPr>
        <w:t>Recargo bodegaje subestaciones nacionales</w:t>
      </w:r>
      <w:bookmarkEnd w:id="38"/>
      <w:bookmarkEnd w:id="39"/>
    </w:p>
    <w:tbl>
      <w:tblPr>
        <w:tblW w:w="0" w:type="auto"/>
        <w:tblCellMar>
          <w:left w:w="70" w:type="dxa"/>
          <w:right w:w="70" w:type="dxa"/>
        </w:tblCellMar>
        <w:tblLook w:val="04A0" w:firstRow="1" w:lastRow="0" w:firstColumn="1" w:lastColumn="0" w:noHBand="0" w:noVBand="1"/>
      </w:tblPr>
      <w:tblGrid>
        <w:gridCol w:w="563"/>
        <w:gridCol w:w="1185"/>
        <w:gridCol w:w="2319"/>
        <w:gridCol w:w="1641"/>
        <w:gridCol w:w="2719"/>
        <w:gridCol w:w="1174"/>
      </w:tblGrid>
      <w:tr w:rsidR="001A42EA" w:rsidRPr="00B81F0E" w14:paraId="1CDD96A6" w14:textId="77777777" w:rsidTr="00725CE1">
        <w:trPr>
          <w:trHeight w:val="20"/>
        </w:trPr>
        <w:tc>
          <w:tcPr>
            <w:tcW w:w="0" w:type="auto"/>
            <w:tcBorders>
              <w:top w:val="single" w:sz="4" w:space="0" w:color="auto"/>
              <w:left w:val="single" w:sz="4" w:space="0" w:color="auto"/>
              <w:bottom w:val="nil"/>
              <w:right w:val="single" w:sz="4" w:space="0" w:color="auto"/>
            </w:tcBorders>
            <w:shd w:val="clear" w:color="000000" w:fill="D9D9D9"/>
            <w:vAlign w:val="center"/>
            <w:hideMark/>
          </w:tcPr>
          <w:p w14:paraId="02596C59"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Tipo</w:t>
            </w:r>
          </w:p>
        </w:tc>
        <w:tc>
          <w:tcPr>
            <w:tcW w:w="0" w:type="auto"/>
            <w:tcBorders>
              <w:top w:val="single" w:sz="4" w:space="0" w:color="auto"/>
              <w:left w:val="nil"/>
              <w:bottom w:val="nil"/>
              <w:right w:val="single" w:sz="4" w:space="0" w:color="auto"/>
            </w:tcBorders>
            <w:shd w:val="clear" w:color="000000" w:fill="D9D9D9"/>
            <w:vAlign w:val="center"/>
            <w:hideMark/>
          </w:tcPr>
          <w:p w14:paraId="3B9E3AA5"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Conteiners</w:t>
            </w:r>
          </w:p>
        </w:tc>
        <w:tc>
          <w:tcPr>
            <w:tcW w:w="0" w:type="auto"/>
            <w:tcBorders>
              <w:top w:val="single" w:sz="4" w:space="0" w:color="auto"/>
              <w:left w:val="nil"/>
              <w:bottom w:val="nil"/>
              <w:right w:val="single" w:sz="4" w:space="0" w:color="auto"/>
            </w:tcBorders>
            <w:shd w:val="clear" w:color="000000" w:fill="D9D9D9"/>
            <w:vAlign w:val="center"/>
            <w:hideMark/>
          </w:tcPr>
          <w:p w14:paraId="403C9B25"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Duración construcción</w:t>
            </w:r>
            <w:r w:rsidRPr="00B81F0E">
              <w:rPr>
                <w:rFonts w:ascii="Arial" w:eastAsia="Times New Roman" w:hAnsi="Arial" w:cs="Arial"/>
                <w:b/>
                <w:bCs/>
                <w:color w:val="000000"/>
                <w:sz w:val="20"/>
                <w:szCs w:val="20"/>
                <w:lang w:val="es-CL" w:eastAsia="es-CL"/>
              </w:rPr>
              <w:br/>
              <w:t>meses</w:t>
            </w:r>
          </w:p>
        </w:tc>
        <w:tc>
          <w:tcPr>
            <w:tcW w:w="0" w:type="auto"/>
            <w:tcBorders>
              <w:top w:val="single" w:sz="4" w:space="0" w:color="auto"/>
              <w:left w:val="nil"/>
              <w:bottom w:val="nil"/>
              <w:right w:val="single" w:sz="4" w:space="0" w:color="auto"/>
            </w:tcBorders>
            <w:shd w:val="clear" w:color="000000" w:fill="D9D9D9"/>
            <w:vAlign w:val="center"/>
            <w:hideMark/>
          </w:tcPr>
          <w:p w14:paraId="7018A4B1"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Costo bodegaje</w:t>
            </w:r>
            <w:r w:rsidRPr="00B81F0E">
              <w:rPr>
                <w:rFonts w:ascii="Arial" w:eastAsia="Times New Roman" w:hAnsi="Arial" w:cs="Arial"/>
                <w:b/>
                <w:bCs/>
                <w:color w:val="000000"/>
                <w:sz w:val="20"/>
                <w:szCs w:val="20"/>
                <w:lang w:val="es-CL" w:eastAsia="es-CL"/>
              </w:rPr>
              <w:br/>
              <w:t>USD</w:t>
            </w:r>
          </w:p>
        </w:tc>
        <w:tc>
          <w:tcPr>
            <w:tcW w:w="0" w:type="auto"/>
            <w:tcBorders>
              <w:top w:val="single" w:sz="4" w:space="0" w:color="auto"/>
              <w:left w:val="nil"/>
              <w:bottom w:val="nil"/>
              <w:right w:val="nil"/>
            </w:tcBorders>
            <w:shd w:val="clear" w:color="000000" w:fill="D9D9D9"/>
            <w:vAlign w:val="center"/>
            <w:hideMark/>
          </w:tcPr>
          <w:p w14:paraId="7C731AB9"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Costo materiales promedio</w:t>
            </w:r>
            <w:r w:rsidRPr="00B81F0E">
              <w:rPr>
                <w:rFonts w:ascii="Arial" w:eastAsia="Times New Roman" w:hAnsi="Arial" w:cs="Arial"/>
                <w:b/>
                <w:bCs/>
                <w:color w:val="000000"/>
                <w:sz w:val="20"/>
                <w:szCs w:val="20"/>
                <w:lang w:val="es-CL" w:eastAsia="es-CL"/>
              </w:rPr>
              <w:br/>
              <w:t>USD</w:t>
            </w:r>
          </w:p>
        </w:tc>
        <w:tc>
          <w:tcPr>
            <w:tcW w:w="0" w:type="auto"/>
            <w:tcBorders>
              <w:top w:val="single" w:sz="8" w:space="0" w:color="auto"/>
              <w:left w:val="single" w:sz="8" w:space="0" w:color="auto"/>
              <w:bottom w:val="nil"/>
              <w:right w:val="single" w:sz="8" w:space="0" w:color="auto"/>
            </w:tcBorders>
            <w:shd w:val="clear" w:color="000000" w:fill="D9D9D9"/>
            <w:vAlign w:val="center"/>
            <w:hideMark/>
          </w:tcPr>
          <w:p w14:paraId="66D5384C" w14:textId="77777777" w:rsidR="001A42EA" w:rsidRPr="00B81F0E" w:rsidRDefault="001A42EA" w:rsidP="00725CE1">
            <w:pPr>
              <w:spacing w:after="0" w:line="240" w:lineRule="auto"/>
              <w:jc w:val="center"/>
              <w:rPr>
                <w:rFonts w:ascii="Arial" w:eastAsia="Times New Roman" w:hAnsi="Arial" w:cs="Arial"/>
                <w:b/>
                <w:bCs/>
                <w:color w:val="000000"/>
                <w:sz w:val="20"/>
                <w:szCs w:val="20"/>
                <w:lang w:val="es-CL" w:eastAsia="es-CL"/>
              </w:rPr>
            </w:pPr>
            <w:r w:rsidRPr="00B81F0E">
              <w:rPr>
                <w:rFonts w:ascii="Arial" w:eastAsia="Times New Roman" w:hAnsi="Arial" w:cs="Arial"/>
                <w:b/>
                <w:bCs/>
                <w:color w:val="000000"/>
                <w:sz w:val="20"/>
                <w:szCs w:val="20"/>
                <w:lang w:val="es-CL" w:eastAsia="es-CL"/>
              </w:rPr>
              <w:t>Recargo %</w:t>
            </w:r>
          </w:p>
        </w:tc>
      </w:tr>
      <w:tr w:rsidR="001A42EA" w:rsidRPr="00B81F0E" w14:paraId="755A72D9" w14:textId="77777777" w:rsidTr="00725CE1">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92C60"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I</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58696B"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D1022A"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4CEC5B"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5.663</w:t>
            </w:r>
          </w:p>
        </w:tc>
        <w:tc>
          <w:tcPr>
            <w:tcW w:w="0" w:type="auto"/>
            <w:tcBorders>
              <w:top w:val="single" w:sz="4" w:space="0" w:color="auto"/>
              <w:left w:val="nil"/>
              <w:bottom w:val="single" w:sz="4" w:space="0" w:color="auto"/>
              <w:right w:val="nil"/>
            </w:tcBorders>
            <w:shd w:val="clear" w:color="auto" w:fill="auto"/>
            <w:noWrap/>
            <w:vAlign w:val="center"/>
            <w:hideMark/>
          </w:tcPr>
          <w:p w14:paraId="0C145CDE"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1.227.568</w:t>
            </w:r>
          </w:p>
        </w:tc>
        <w:tc>
          <w:tcPr>
            <w:tcW w:w="0" w:type="auto"/>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43B633B"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0,46</w:t>
            </w:r>
          </w:p>
        </w:tc>
      </w:tr>
      <w:tr w:rsidR="001A42EA" w:rsidRPr="00B81F0E" w14:paraId="070B39E3"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F4D350"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II</w:t>
            </w:r>
          </w:p>
        </w:tc>
        <w:tc>
          <w:tcPr>
            <w:tcW w:w="0" w:type="auto"/>
            <w:tcBorders>
              <w:top w:val="nil"/>
              <w:left w:val="nil"/>
              <w:bottom w:val="single" w:sz="4" w:space="0" w:color="auto"/>
              <w:right w:val="single" w:sz="4" w:space="0" w:color="auto"/>
            </w:tcBorders>
            <w:shd w:val="clear" w:color="auto" w:fill="auto"/>
            <w:noWrap/>
            <w:vAlign w:val="center"/>
            <w:hideMark/>
          </w:tcPr>
          <w:p w14:paraId="305B6DDE"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3</w:t>
            </w:r>
          </w:p>
        </w:tc>
        <w:tc>
          <w:tcPr>
            <w:tcW w:w="0" w:type="auto"/>
            <w:tcBorders>
              <w:top w:val="nil"/>
              <w:left w:val="nil"/>
              <w:bottom w:val="single" w:sz="4" w:space="0" w:color="auto"/>
              <w:right w:val="single" w:sz="4" w:space="0" w:color="auto"/>
            </w:tcBorders>
            <w:shd w:val="clear" w:color="auto" w:fill="auto"/>
            <w:noWrap/>
            <w:vAlign w:val="center"/>
            <w:hideMark/>
          </w:tcPr>
          <w:p w14:paraId="3E92B444"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14</w:t>
            </w:r>
          </w:p>
        </w:tc>
        <w:tc>
          <w:tcPr>
            <w:tcW w:w="0" w:type="auto"/>
            <w:tcBorders>
              <w:top w:val="nil"/>
              <w:left w:val="nil"/>
              <w:bottom w:val="single" w:sz="4" w:space="0" w:color="auto"/>
              <w:right w:val="single" w:sz="4" w:space="0" w:color="auto"/>
            </w:tcBorders>
            <w:shd w:val="clear" w:color="auto" w:fill="auto"/>
            <w:noWrap/>
            <w:vAlign w:val="center"/>
            <w:hideMark/>
          </w:tcPr>
          <w:p w14:paraId="1D1A6DA5"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8.494</w:t>
            </w:r>
          </w:p>
        </w:tc>
        <w:tc>
          <w:tcPr>
            <w:tcW w:w="0" w:type="auto"/>
            <w:tcBorders>
              <w:top w:val="nil"/>
              <w:left w:val="nil"/>
              <w:bottom w:val="single" w:sz="4" w:space="0" w:color="auto"/>
              <w:right w:val="nil"/>
            </w:tcBorders>
            <w:shd w:val="clear" w:color="auto" w:fill="auto"/>
            <w:noWrap/>
            <w:vAlign w:val="center"/>
            <w:hideMark/>
          </w:tcPr>
          <w:p w14:paraId="19ED1DB9"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2.298.515</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389A0053"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0,37</w:t>
            </w:r>
          </w:p>
        </w:tc>
      </w:tr>
      <w:tr w:rsidR="001A42EA" w:rsidRPr="00B81F0E" w14:paraId="0C8866C7"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B862C0"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III</w:t>
            </w:r>
          </w:p>
        </w:tc>
        <w:tc>
          <w:tcPr>
            <w:tcW w:w="0" w:type="auto"/>
            <w:tcBorders>
              <w:top w:val="nil"/>
              <w:left w:val="nil"/>
              <w:bottom w:val="single" w:sz="4" w:space="0" w:color="auto"/>
              <w:right w:val="single" w:sz="4" w:space="0" w:color="auto"/>
            </w:tcBorders>
            <w:shd w:val="clear" w:color="auto" w:fill="auto"/>
            <w:noWrap/>
            <w:vAlign w:val="center"/>
            <w:hideMark/>
          </w:tcPr>
          <w:p w14:paraId="40B13CD0"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4</w:t>
            </w:r>
          </w:p>
        </w:tc>
        <w:tc>
          <w:tcPr>
            <w:tcW w:w="0" w:type="auto"/>
            <w:tcBorders>
              <w:top w:val="nil"/>
              <w:left w:val="nil"/>
              <w:bottom w:val="single" w:sz="4" w:space="0" w:color="auto"/>
              <w:right w:val="single" w:sz="4" w:space="0" w:color="auto"/>
            </w:tcBorders>
            <w:shd w:val="clear" w:color="auto" w:fill="auto"/>
            <w:noWrap/>
            <w:vAlign w:val="center"/>
            <w:hideMark/>
          </w:tcPr>
          <w:p w14:paraId="6A76C1F7"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14</w:t>
            </w:r>
          </w:p>
        </w:tc>
        <w:tc>
          <w:tcPr>
            <w:tcW w:w="0" w:type="auto"/>
            <w:tcBorders>
              <w:top w:val="nil"/>
              <w:left w:val="nil"/>
              <w:bottom w:val="single" w:sz="4" w:space="0" w:color="auto"/>
              <w:right w:val="single" w:sz="4" w:space="0" w:color="auto"/>
            </w:tcBorders>
            <w:shd w:val="clear" w:color="auto" w:fill="auto"/>
            <w:noWrap/>
            <w:vAlign w:val="center"/>
            <w:hideMark/>
          </w:tcPr>
          <w:p w14:paraId="68FC08BB"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11.326</w:t>
            </w:r>
          </w:p>
        </w:tc>
        <w:tc>
          <w:tcPr>
            <w:tcW w:w="0" w:type="auto"/>
            <w:tcBorders>
              <w:top w:val="nil"/>
              <w:left w:val="nil"/>
              <w:bottom w:val="single" w:sz="4" w:space="0" w:color="auto"/>
              <w:right w:val="nil"/>
            </w:tcBorders>
            <w:shd w:val="clear" w:color="auto" w:fill="auto"/>
            <w:noWrap/>
            <w:vAlign w:val="center"/>
            <w:hideMark/>
          </w:tcPr>
          <w:p w14:paraId="27E7CC45"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5.610.980</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029440D9"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0,20</w:t>
            </w:r>
          </w:p>
        </w:tc>
      </w:tr>
      <w:tr w:rsidR="001A42EA" w:rsidRPr="00B81F0E" w14:paraId="3AD3D03C"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DB9EA2"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IV</w:t>
            </w:r>
          </w:p>
        </w:tc>
        <w:tc>
          <w:tcPr>
            <w:tcW w:w="0" w:type="auto"/>
            <w:tcBorders>
              <w:top w:val="nil"/>
              <w:left w:val="nil"/>
              <w:bottom w:val="single" w:sz="4" w:space="0" w:color="auto"/>
              <w:right w:val="single" w:sz="4" w:space="0" w:color="auto"/>
            </w:tcBorders>
            <w:shd w:val="clear" w:color="auto" w:fill="auto"/>
            <w:noWrap/>
            <w:vAlign w:val="center"/>
            <w:hideMark/>
          </w:tcPr>
          <w:p w14:paraId="6F61A27A"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6</w:t>
            </w:r>
          </w:p>
        </w:tc>
        <w:tc>
          <w:tcPr>
            <w:tcW w:w="0" w:type="auto"/>
            <w:tcBorders>
              <w:top w:val="nil"/>
              <w:left w:val="nil"/>
              <w:bottom w:val="single" w:sz="4" w:space="0" w:color="auto"/>
              <w:right w:val="single" w:sz="4" w:space="0" w:color="auto"/>
            </w:tcBorders>
            <w:shd w:val="clear" w:color="auto" w:fill="auto"/>
            <w:noWrap/>
            <w:vAlign w:val="center"/>
            <w:hideMark/>
          </w:tcPr>
          <w:p w14:paraId="0FA319FC"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14</w:t>
            </w:r>
          </w:p>
        </w:tc>
        <w:tc>
          <w:tcPr>
            <w:tcW w:w="0" w:type="auto"/>
            <w:tcBorders>
              <w:top w:val="nil"/>
              <w:left w:val="nil"/>
              <w:bottom w:val="single" w:sz="4" w:space="0" w:color="auto"/>
              <w:right w:val="single" w:sz="4" w:space="0" w:color="auto"/>
            </w:tcBorders>
            <w:shd w:val="clear" w:color="auto" w:fill="auto"/>
            <w:noWrap/>
            <w:vAlign w:val="center"/>
            <w:hideMark/>
          </w:tcPr>
          <w:p w14:paraId="7F288F2B"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16.989</w:t>
            </w:r>
          </w:p>
        </w:tc>
        <w:tc>
          <w:tcPr>
            <w:tcW w:w="0" w:type="auto"/>
            <w:tcBorders>
              <w:top w:val="nil"/>
              <w:left w:val="nil"/>
              <w:bottom w:val="single" w:sz="4" w:space="0" w:color="auto"/>
              <w:right w:val="nil"/>
            </w:tcBorders>
            <w:shd w:val="clear" w:color="auto" w:fill="auto"/>
            <w:noWrap/>
            <w:vAlign w:val="center"/>
            <w:hideMark/>
          </w:tcPr>
          <w:p w14:paraId="52094E6B"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13.947.482</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4A124AFE"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0,12</w:t>
            </w:r>
          </w:p>
        </w:tc>
      </w:tr>
      <w:tr w:rsidR="001A42EA" w:rsidRPr="00B81F0E" w14:paraId="607755C2"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E85F17"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V</w:t>
            </w:r>
          </w:p>
        </w:tc>
        <w:tc>
          <w:tcPr>
            <w:tcW w:w="0" w:type="auto"/>
            <w:tcBorders>
              <w:top w:val="nil"/>
              <w:left w:val="nil"/>
              <w:bottom w:val="single" w:sz="4" w:space="0" w:color="auto"/>
              <w:right w:val="single" w:sz="4" w:space="0" w:color="auto"/>
            </w:tcBorders>
            <w:shd w:val="clear" w:color="auto" w:fill="auto"/>
            <w:noWrap/>
            <w:vAlign w:val="center"/>
            <w:hideMark/>
          </w:tcPr>
          <w:p w14:paraId="6F94F8A1"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8</w:t>
            </w:r>
          </w:p>
        </w:tc>
        <w:tc>
          <w:tcPr>
            <w:tcW w:w="0" w:type="auto"/>
            <w:tcBorders>
              <w:top w:val="nil"/>
              <w:left w:val="nil"/>
              <w:bottom w:val="single" w:sz="4" w:space="0" w:color="auto"/>
              <w:right w:val="single" w:sz="4" w:space="0" w:color="auto"/>
            </w:tcBorders>
            <w:shd w:val="clear" w:color="auto" w:fill="auto"/>
            <w:noWrap/>
            <w:vAlign w:val="center"/>
            <w:hideMark/>
          </w:tcPr>
          <w:p w14:paraId="41131B52"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17</w:t>
            </w:r>
          </w:p>
        </w:tc>
        <w:tc>
          <w:tcPr>
            <w:tcW w:w="0" w:type="auto"/>
            <w:tcBorders>
              <w:top w:val="nil"/>
              <w:left w:val="nil"/>
              <w:bottom w:val="single" w:sz="4" w:space="0" w:color="auto"/>
              <w:right w:val="single" w:sz="4" w:space="0" w:color="auto"/>
            </w:tcBorders>
            <w:shd w:val="clear" w:color="auto" w:fill="auto"/>
            <w:noWrap/>
            <w:vAlign w:val="center"/>
            <w:hideMark/>
          </w:tcPr>
          <w:p w14:paraId="150BE2BF"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27.506</w:t>
            </w:r>
          </w:p>
        </w:tc>
        <w:tc>
          <w:tcPr>
            <w:tcW w:w="0" w:type="auto"/>
            <w:tcBorders>
              <w:top w:val="nil"/>
              <w:left w:val="nil"/>
              <w:bottom w:val="single" w:sz="4" w:space="0" w:color="auto"/>
              <w:right w:val="nil"/>
            </w:tcBorders>
            <w:shd w:val="clear" w:color="auto" w:fill="auto"/>
            <w:noWrap/>
            <w:vAlign w:val="center"/>
            <w:hideMark/>
          </w:tcPr>
          <w:p w14:paraId="04067795"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37.490.630</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07263978"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0,07</w:t>
            </w:r>
          </w:p>
        </w:tc>
      </w:tr>
      <w:tr w:rsidR="001A42EA" w:rsidRPr="00B81F0E" w14:paraId="09373CDA" w14:textId="77777777" w:rsidTr="00725CE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21D0E9"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VI</w:t>
            </w:r>
          </w:p>
        </w:tc>
        <w:tc>
          <w:tcPr>
            <w:tcW w:w="0" w:type="auto"/>
            <w:tcBorders>
              <w:top w:val="nil"/>
              <w:left w:val="nil"/>
              <w:bottom w:val="single" w:sz="4" w:space="0" w:color="auto"/>
              <w:right w:val="single" w:sz="4" w:space="0" w:color="auto"/>
            </w:tcBorders>
            <w:shd w:val="clear" w:color="auto" w:fill="auto"/>
            <w:noWrap/>
            <w:vAlign w:val="center"/>
            <w:hideMark/>
          </w:tcPr>
          <w:p w14:paraId="755867E3"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10</w:t>
            </w:r>
          </w:p>
        </w:tc>
        <w:tc>
          <w:tcPr>
            <w:tcW w:w="0" w:type="auto"/>
            <w:tcBorders>
              <w:top w:val="nil"/>
              <w:left w:val="nil"/>
              <w:bottom w:val="single" w:sz="4" w:space="0" w:color="auto"/>
              <w:right w:val="single" w:sz="4" w:space="0" w:color="auto"/>
            </w:tcBorders>
            <w:shd w:val="clear" w:color="auto" w:fill="auto"/>
            <w:noWrap/>
            <w:vAlign w:val="center"/>
            <w:hideMark/>
          </w:tcPr>
          <w:p w14:paraId="5B966939"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19</w:t>
            </w:r>
          </w:p>
        </w:tc>
        <w:tc>
          <w:tcPr>
            <w:tcW w:w="0" w:type="auto"/>
            <w:tcBorders>
              <w:top w:val="nil"/>
              <w:left w:val="nil"/>
              <w:bottom w:val="single" w:sz="4" w:space="0" w:color="auto"/>
              <w:right w:val="single" w:sz="4" w:space="0" w:color="auto"/>
            </w:tcBorders>
            <w:shd w:val="clear" w:color="auto" w:fill="auto"/>
            <w:noWrap/>
            <w:vAlign w:val="center"/>
            <w:hideMark/>
          </w:tcPr>
          <w:p w14:paraId="344F8FFE"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38.427</w:t>
            </w:r>
          </w:p>
        </w:tc>
        <w:tc>
          <w:tcPr>
            <w:tcW w:w="0" w:type="auto"/>
            <w:tcBorders>
              <w:top w:val="nil"/>
              <w:left w:val="nil"/>
              <w:bottom w:val="single" w:sz="4" w:space="0" w:color="auto"/>
              <w:right w:val="nil"/>
            </w:tcBorders>
            <w:shd w:val="clear" w:color="auto" w:fill="auto"/>
            <w:noWrap/>
            <w:vAlign w:val="center"/>
            <w:hideMark/>
          </w:tcPr>
          <w:p w14:paraId="6B53C668"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42.064.410</w:t>
            </w:r>
          </w:p>
        </w:tc>
        <w:tc>
          <w:tcPr>
            <w:tcW w:w="0" w:type="auto"/>
            <w:tcBorders>
              <w:top w:val="nil"/>
              <w:left w:val="single" w:sz="8" w:space="0" w:color="auto"/>
              <w:bottom w:val="single" w:sz="4" w:space="0" w:color="auto"/>
              <w:right w:val="single" w:sz="8" w:space="0" w:color="auto"/>
            </w:tcBorders>
            <w:shd w:val="clear" w:color="auto" w:fill="auto"/>
            <w:noWrap/>
            <w:vAlign w:val="center"/>
            <w:hideMark/>
          </w:tcPr>
          <w:p w14:paraId="07EF7A66" w14:textId="77777777" w:rsidR="001A42EA" w:rsidRPr="00B81F0E" w:rsidRDefault="001A42EA" w:rsidP="00725CE1">
            <w:pPr>
              <w:spacing w:after="0" w:line="240" w:lineRule="auto"/>
              <w:jc w:val="center"/>
              <w:rPr>
                <w:rFonts w:eastAsia="Times New Roman"/>
                <w:color w:val="000000"/>
                <w:sz w:val="20"/>
                <w:szCs w:val="20"/>
                <w:lang w:val="es-CL" w:eastAsia="es-CL"/>
              </w:rPr>
            </w:pPr>
            <w:r w:rsidRPr="00B81F0E">
              <w:rPr>
                <w:rFonts w:eastAsia="Times New Roman"/>
                <w:color w:val="000000"/>
                <w:sz w:val="20"/>
                <w:szCs w:val="20"/>
                <w:lang w:val="es-CL" w:eastAsia="es-CL"/>
              </w:rPr>
              <w:t>0,09</w:t>
            </w:r>
          </w:p>
        </w:tc>
      </w:tr>
    </w:tbl>
    <w:p w14:paraId="71044358" w14:textId="77777777" w:rsidR="001A42EA" w:rsidRDefault="001A42EA" w:rsidP="0088776A"/>
    <w:p w14:paraId="6A0E486C" w14:textId="77777777" w:rsidR="0088776A" w:rsidRDefault="0088776A" w:rsidP="001A42EA">
      <w:pPr>
        <w:pStyle w:val="Ttulo4"/>
      </w:pPr>
      <w:bookmarkStart w:id="40" w:name="_Toc34687181"/>
      <w:r>
        <w:t>Recargo por ingeniería (Ing)</w:t>
      </w:r>
      <w:bookmarkEnd w:id="40"/>
    </w:p>
    <w:p w14:paraId="40FD4FF2" w14:textId="77777777" w:rsidR="0088776A" w:rsidRDefault="0088776A" w:rsidP="0088776A">
      <w:r>
        <w:t>Para determinar el costo, se determinó la ingeniería para líneas de trasmisión y para subestaciones, por la naturaleza de los estudios a realizar en cada caso.</w:t>
      </w:r>
    </w:p>
    <w:p w14:paraId="50F0C24B" w14:textId="77777777" w:rsidR="0088776A" w:rsidRDefault="0088776A" w:rsidP="0088776A">
      <w:r>
        <w:t xml:space="preserve">En ambos casos, la ingeniería se dividió en: ingeniería conceptual, ingeniería básica e ingeniería de detalle, con revisiones para cada una de ellas. En todas ellas se estableció el siguiente personal que se considera trabajará en los estudios de ingeniería: jefe de proyecto, jefe de especialidad eléctrica, jefe de especialidad civil, ingenieros especialistas, proyectistas, dibujantes y administrativos. </w:t>
      </w:r>
    </w:p>
    <w:p w14:paraId="3F5A86BF" w14:textId="77777777" w:rsidR="0088776A" w:rsidRDefault="0088776A" w:rsidP="0088776A">
      <w:r>
        <w:t xml:space="preserve">El cálculo en cada una de las ingenierías se hizo realizando un listado de actividades a realizar y estableciendo la cantidad de horas de trabajo según el tipo de trabajador. Luego, se obtiene un subtotal multiplicando las horas-hombre por el costo de la hora de trabajo, obtenido desde el Estudio de Remuneraciones PWC. En la planilla de cálculo creada, se indica el código del trabajador homologado a los distintos cargos del párrafo anterior. </w:t>
      </w:r>
    </w:p>
    <w:p w14:paraId="0EF01C84" w14:textId="77777777" w:rsidR="0088776A" w:rsidRDefault="0088776A" w:rsidP="0088776A">
      <w:r>
        <w:t>El costo final de las ingenierías fue multiplicado por un factor dos para representar los costos de una oficina de ingeniería externa: oficinas, personal administrativo y de aseo, software, etc.</w:t>
      </w:r>
    </w:p>
    <w:p w14:paraId="2C82A03D" w14:textId="77777777" w:rsidR="0088776A" w:rsidRDefault="0088776A" w:rsidP="0088776A">
      <w:r>
        <w:t>El costo de la revisión se consideró un 10% del costo original de cada ingeniería.</w:t>
      </w:r>
    </w:p>
    <w:p w14:paraId="2A4A050D" w14:textId="77777777" w:rsidR="0088776A" w:rsidRDefault="0088776A" w:rsidP="0088776A">
      <w:r>
        <w:t>En el caso de las líneas de transmisión, el costo de la ingeniería básica e ingeniería de detalle se hicieron variables en función del largo de la línea, puesto que afecta el costo de la topografía, mecánica de suelos, planos de perfil longitudinal, etc. Se tomó como valor referencial una línea entre 50 km y 100 km, por lo que líneas más cortas presentan un factor de ajuste menor a 1 y líneas más largas presentan un factor de ajuste mayor a 1.</w:t>
      </w:r>
    </w:p>
    <w:p w14:paraId="74B082BC" w14:textId="77777777" w:rsidR="0088776A" w:rsidRDefault="0088776A" w:rsidP="0088776A">
      <w:r>
        <w:t>En el caso de las subestaciones, el costo de la ingeniería básica y de detalle se hace variable según las siguientes cantidades equipos: patios, paños, transformadores 500/220 kV, reactores 500 kV, transformadores AT/MT, banco de condensadores y reactores, Compensadores Estáticos de Reactivos y compensaciones serie. Esto se debe a que cada instalación requiere su respectiva especificación técnica, memoria de cálculo y planos para fundación, planos de disposición, planos de control en corriente continua y corriente alterna, etc.</w:t>
      </w:r>
    </w:p>
    <w:p w14:paraId="32945D49" w14:textId="77777777" w:rsidR="0088776A" w:rsidRDefault="0088776A" w:rsidP="0088776A">
      <w:r>
        <w:t>Finalmente, el recargo de ingeniería corresponde a la suma de los 4 tipos de ingeniería (conceptual, básica, detalle y revisión) dividido en el subtotal de la subestación o línea, el cual considera costo de materiales, montaje, flete y bodegaje.</w:t>
      </w:r>
    </w:p>
    <w:p w14:paraId="00CB7E15" w14:textId="77777777" w:rsidR="0088776A" w:rsidRDefault="0088776A" w:rsidP="0088776A">
      <w:r>
        <w:t>El listado de actividades considerado y los resultados de recargo de ingeniería se pueden observar en el archivo Ingenieria.xlsx que se encuentra en el Anexo VI_8.</w:t>
      </w:r>
    </w:p>
    <w:p w14:paraId="19B0A6D3" w14:textId="77777777" w:rsidR="0088776A" w:rsidRDefault="0088776A" w:rsidP="001A42EA">
      <w:pPr>
        <w:pStyle w:val="Ttulo4"/>
      </w:pPr>
      <w:bookmarkStart w:id="41" w:name="_Toc34687182"/>
      <w:r>
        <w:t>Recargo por gastos generales (Gg)</w:t>
      </w:r>
      <w:bookmarkEnd w:id="41"/>
    </w:p>
    <w:p w14:paraId="28FCB32A" w14:textId="77777777" w:rsidR="0088776A" w:rsidRDefault="0088776A" w:rsidP="0088776A">
      <w:r>
        <w:t>De acuerdo a lo indicado en las Bases de Licitación, los costos por gastos generales considerarán lo siguiente:</w:t>
      </w:r>
    </w:p>
    <w:p w14:paraId="01720E51" w14:textId="3AFAA40B" w:rsidR="0088776A" w:rsidRDefault="0088776A" w:rsidP="002E20CA">
      <w:pPr>
        <w:pStyle w:val="Prrafodelista"/>
        <w:numPr>
          <w:ilvl w:val="0"/>
          <w:numId w:val="76"/>
        </w:numPr>
      </w:pPr>
      <w:r>
        <w:t>Administración de obras contratadas a terceros; y</w:t>
      </w:r>
    </w:p>
    <w:p w14:paraId="0F9BF02A" w14:textId="1ED13CEA" w:rsidR="0088776A" w:rsidRDefault="0088776A" w:rsidP="002E20CA">
      <w:pPr>
        <w:pStyle w:val="Prrafodelista"/>
        <w:numPr>
          <w:ilvl w:val="0"/>
          <w:numId w:val="76"/>
        </w:numPr>
      </w:pPr>
      <w:r>
        <w:t>Otros costos asociados a gastos generales debidamente justificados y respaldados.</w:t>
      </w:r>
    </w:p>
    <w:p w14:paraId="6C5935F7" w14:textId="77777777" w:rsidR="0088776A" w:rsidRDefault="0088776A" w:rsidP="0088776A">
      <w:r>
        <w:t>En los costos de administración de obras contratadas a terceros; se considera los gastos del mandante en la elaboración de la documentación y la realización del proceso de licitación para la adjudicación del contrato EPC, los gastos de administración asociados al seguimiento, revisión y control de la ejecución del contrato y todo otro gasto de administración del mandante que se realice en relación con la construcción del proyecto.</w:t>
      </w:r>
    </w:p>
    <w:p w14:paraId="357822FE" w14:textId="77777777" w:rsidR="0088776A" w:rsidRDefault="0088776A" w:rsidP="0088776A">
      <w:r>
        <w:t xml:space="preserve">Se calculan mediante el dimensionamiento de los recursos requeridos y la determinación del costo correspondiente, para el conjunto de proyectos seleccionados y durante el tiempo desde el inicio del proyecto con los estudios de factibilidad hasta la puesta en servicio. </w:t>
      </w:r>
    </w:p>
    <w:p w14:paraId="5CE3313B" w14:textId="77777777" w:rsidR="0088776A" w:rsidRDefault="0088776A" w:rsidP="0088776A">
      <w:r>
        <w:t>En “Otros costos asociados a gastos generales” se incluirá los gastos generales del contratista y todos los gastos que no se consideran en los recargos anteriores, correspondientes a costos indirectos que generalmente se valorizan como porcentajes del costo directo y que habitualmente están incorporados en los valores de los contratos EPC. Entre estos se incluirá el ítem Seguros, la garantía del contrato, las utilidades e imprevistos del contratista. Los porcentajes a utilizar se han obtenido de contratos EPC de años anteriores que se logrado analizar.</w:t>
      </w:r>
    </w:p>
    <w:p w14:paraId="12E47ECD" w14:textId="77777777" w:rsidR="0088776A" w:rsidRDefault="0088776A" w:rsidP="0088776A">
      <w:r>
        <w:t>Para el cálculo se ha considerado que al tener definido el alcance y la forma de ejecutar la obra sabemos qué recursos serán requeridos en cuanto a personal (con sus especialidades) equipos e instalaciones.</w:t>
      </w:r>
    </w:p>
    <w:p w14:paraId="62E13432" w14:textId="77777777" w:rsidR="0088776A" w:rsidRDefault="0088776A" w:rsidP="0088776A">
      <w:r>
        <w:t>Una vez determinada la cantidad y tipo de recursos corresponde entonces valorizarlos. Con este fin se ha desarrollado un modelo para el cálculo de los gastos generales en obras de subestaciones y otro para el cálculo de los gastos generales de líneas de transmisión, considerando las exigencias legales existentes en Chile, las que define el mandante para este tipo de obras, el monto de la obra y el plazo necesario para ejecutarla.</w:t>
      </w:r>
    </w:p>
    <w:p w14:paraId="749C4511" w14:textId="77777777" w:rsidR="0088776A" w:rsidRDefault="0088776A" w:rsidP="0088776A">
      <w:r>
        <w:t>Para la valorización se consideró el promedio de los gastos generales que se obtiene para cada familia como se muestra en la planilla que se encuentra en el Anexo VI_8, porque esto elimina las distorsiones generadas por las diversas combinaciones de materiales y montaje. Así para el gasto general de subestaciones se obtuvo un 7,1%, al cual se le adiciona un 4,1% para considerar el efecto de los seguros de obra y utilidades de contratista, completando un 11,2%.</w:t>
      </w:r>
    </w:p>
    <w:p w14:paraId="2A129463" w14:textId="77777777" w:rsidR="0088776A" w:rsidRDefault="0088776A" w:rsidP="001A42EA">
      <w:pPr>
        <w:pStyle w:val="Ttulo4"/>
      </w:pPr>
      <w:bookmarkStart w:id="42" w:name="_Toc34687183"/>
      <w:r>
        <w:t>Intereses intercalarios</w:t>
      </w:r>
      <w:bookmarkEnd w:id="42"/>
      <w:r>
        <w:t xml:space="preserve"> </w:t>
      </w:r>
    </w:p>
    <w:p w14:paraId="25D37382" w14:textId="77777777" w:rsidR="0088776A" w:rsidRDefault="0088776A" w:rsidP="0088776A">
      <w:r>
        <w:t>Los intereses intercalarios representan el costo financiero de una obra, lo cual se relaciona con el capital previo que necesita una empresa para ejecutar una obra ya que debe financiar el estudio de impacto ambiental, las diversas ingenierías, las órdenes de compra, la inspección técnica de obra, etc. En todos estos casos, el propietario debe hacer pagos previos a la fecha de puesta en servicio, instante en que comienza a recibir la correspondiente remuneración por la obra.</w:t>
      </w:r>
    </w:p>
    <w:p w14:paraId="3C02F807" w14:textId="77777777" w:rsidR="0088776A" w:rsidRDefault="0088776A" w:rsidP="0088776A">
      <w:r>
        <w:t>Para determinar este recargo porcentual se consideró una tasa financiera de un 7% anual.</w:t>
      </w:r>
    </w:p>
    <w:p w14:paraId="58F1E80D" w14:textId="77777777" w:rsidR="0088776A" w:rsidRDefault="0088776A" w:rsidP="0088776A">
      <w:r>
        <w:t xml:space="preserve">Para determinar el flujo de desembolsos se realizaron diversas cartas Gantt tanto para líneas como para subestaciones, indicando las diversas actividades desde que es licitada una obra hasta su puesta en servicio. Los costos de estas actividades se representaron en términos porcentuales del costo total de la obra. </w:t>
      </w:r>
    </w:p>
    <w:p w14:paraId="53602DD0" w14:textId="77777777" w:rsidR="0088776A" w:rsidRDefault="0088776A" w:rsidP="0088776A">
      <w:r>
        <w:t>Luego, para cada etapa del estudio se creó un cuadro de pagos, también en términos porcentuales, por ejemplo, un pago de 10% al inicio de la actividad y el pago del 90% un mes después de finalizada la actividad.</w:t>
      </w:r>
    </w:p>
    <w:p w14:paraId="2BCA5E67" w14:textId="77777777" w:rsidR="0088776A" w:rsidRDefault="0088776A" w:rsidP="0088776A">
      <w:r>
        <w:t>Para las líneas de transmisión se determinaron las cartas Gantt y sus respectivos pagos para las líneas en función de su longitud, mientras que en el caso de las subestaciones se realizaron para tres tipos de obras, cada una de ellas con plazos constructivos y montos distintos.</w:t>
      </w:r>
    </w:p>
    <w:p w14:paraId="0D946718" w14:textId="77777777" w:rsidR="0088776A" w:rsidRDefault="0088776A" w:rsidP="0088776A">
      <w:r>
        <w:t xml:space="preserve">Teniendo el plazo de la obra, la tasa de interés y los porcentajes de pago, se determinó el costo del pago porcentual en valor presente para cada mes de la obra. Finalmente, el interés intercalario es la suma de dichos porcentajes. </w:t>
      </w:r>
    </w:p>
    <w:p w14:paraId="6573AF84" w14:textId="1143B6C0" w:rsidR="0088776A" w:rsidRPr="0088776A" w:rsidRDefault="0088776A" w:rsidP="0088776A">
      <w:r>
        <w:t>Las cartas Gantt creadas y los resultados para cada tipo de obra se pueden apreciar en el archivo intereses intercalarios.xlsx que se encuentra en el Anexo VI_8 de este Informe de Avance 2.</w:t>
      </w:r>
    </w:p>
    <w:p w14:paraId="65211211" w14:textId="77777777" w:rsidR="00F43502" w:rsidRPr="00F43502" w:rsidRDefault="00F43502" w:rsidP="00F43502"/>
    <w:p w14:paraId="0016F454" w14:textId="77777777" w:rsidR="00003F6D" w:rsidRPr="00930F4D" w:rsidRDefault="00003F6D" w:rsidP="00003F6D">
      <w:pPr>
        <w:pStyle w:val="Ttulo2"/>
        <w:rPr>
          <w:sz w:val="24"/>
          <w:szCs w:val="24"/>
        </w:rPr>
      </w:pPr>
      <w:bookmarkStart w:id="43" w:name="_Toc34687184"/>
      <w:r w:rsidRPr="00930F4D">
        <w:rPr>
          <w:sz w:val="24"/>
          <w:szCs w:val="24"/>
        </w:rPr>
        <w:t xml:space="preserve">Metodología aplicada a la determinación del </w:t>
      </w:r>
      <w:r>
        <w:rPr>
          <w:sz w:val="24"/>
          <w:szCs w:val="24"/>
        </w:rPr>
        <w:t>C.O.M.A.</w:t>
      </w:r>
      <w:bookmarkEnd w:id="43"/>
    </w:p>
    <w:p w14:paraId="0BA7E5C1" w14:textId="77777777" w:rsidR="0079428C" w:rsidRPr="00F465C5" w:rsidRDefault="0079428C" w:rsidP="0079428C">
      <w:pPr>
        <w:pStyle w:val="Ttulo3"/>
      </w:pPr>
      <w:bookmarkStart w:id="44" w:name="_Toc21077625"/>
      <w:bookmarkStart w:id="45" w:name="_Toc32389947"/>
      <w:bookmarkStart w:id="46" w:name="_Toc34398089"/>
      <w:bookmarkStart w:id="47" w:name="_Toc34687185"/>
      <w:r w:rsidRPr="00F465C5">
        <w:t>Introducción</w:t>
      </w:r>
      <w:bookmarkEnd w:id="44"/>
      <w:bookmarkEnd w:id="45"/>
      <w:bookmarkEnd w:id="46"/>
      <w:bookmarkEnd w:id="47"/>
    </w:p>
    <w:p w14:paraId="4325C92C" w14:textId="77777777" w:rsidR="0079428C" w:rsidRPr="00B06D23" w:rsidRDefault="0079428C" w:rsidP="0079428C">
      <w:pPr>
        <w:rPr>
          <w:lang w:val="es-ES"/>
        </w:rPr>
      </w:pPr>
      <w:r w:rsidRPr="00B06D23">
        <w:rPr>
          <w:lang w:val="es-ES"/>
        </w:rPr>
        <w:t>El objetivo de esta sección es presentar la metodología, y criterios para determinar el COMA, compuesto por los costos anuales de operación, mantenimiento y administración de una única empresa eficiente y que opera las instalaciones del sistema de transmisión nacional bajo los estándares establecidos en la normativa vigente, excluyendo las instalaciones que fueron construidas bajo la modalidad de obras nuevas.</w:t>
      </w:r>
    </w:p>
    <w:p w14:paraId="1BA37CFD" w14:textId="77777777" w:rsidR="0079428C" w:rsidRPr="00B06D23" w:rsidRDefault="0079428C" w:rsidP="0079428C">
      <w:pPr>
        <w:rPr>
          <w:lang w:val="es-ES"/>
        </w:rPr>
      </w:pPr>
      <w:r w:rsidRPr="00B06D23">
        <w:rPr>
          <w:lang w:val="es-ES"/>
        </w:rPr>
        <w:t xml:space="preserve">Dicha empresa contempla todos los procesos y actividades necesarios para prestar el servicio de transmisión de energía eléctrica, que comprende la operación y el mantenimiento (O&amp;M) de las instalaciones que integran la infraestructura, y las actividades de dirección y administración inherentes a toda empresa. </w:t>
      </w:r>
    </w:p>
    <w:p w14:paraId="69FEBBAB" w14:textId="77777777" w:rsidR="0079428C" w:rsidRPr="00B06D23" w:rsidRDefault="0079428C" w:rsidP="0079428C">
      <w:pPr>
        <w:rPr>
          <w:lang w:val="es-ES"/>
        </w:rPr>
      </w:pPr>
      <w:r w:rsidRPr="00B06D23">
        <w:rPr>
          <w:lang w:val="es-ES"/>
        </w:rPr>
        <w:t>La aplicación de la metodología considera el reconocimiento de los componentes de costo que se indican en la tabla siguiente:</w:t>
      </w:r>
    </w:p>
    <w:p w14:paraId="6C726D14" w14:textId="77777777" w:rsidR="0079428C" w:rsidRPr="00B06D23" w:rsidRDefault="0079428C" w:rsidP="002E20CA">
      <w:pPr>
        <w:numPr>
          <w:ilvl w:val="0"/>
          <w:numId w:val="24"/>
        </w:numPr>
        <w:spacing w:line="259" w:lineRule="auto"/>
        <w:ind w:left="360" w:hanging="360"/>
        <w:jc w:val="center"/>
        <w:rPr>
          <w:lang w:val="es-ES"/>
        </w:rPr>
      </w:pPr>
      <w:r w:rsidRPr="00B06D23">
        <w:rPr>
          <w:noProof/>
          <w:lang w:val="es-AR" w:eastAsia="es-AR"/>
        </w:rPr>
        <w:drawing>
          <wp:inline distT="0" distB="0" distL="0" distR="0" wp14:anchorId="0A8EFC11" wp14:editId="2A68E0A2">
            <wp:extent cx="5953125" cy="2809875"/>
            <wp:effectExtent l="0" t="0" r="0" b="0"/>
            <wp:docPr id="51" name="Imagen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3125" cy="2809875"/>
                    </a:xfrm>
                    <a:prstGeom prst="rect">
                      <a:avLst/>
                    </a:prstGeom>
                    <a:noFill/>
                    <a:ln>
                      <a:noFill/>
                    </a:ln>
                  </pic:spPr>
                </pic:pic>
              </a:graphicData>
            </a:graphic>
          </wp:inline>
        </w:drawing>
      </w:r>
    </w:p>
    <w:p w14:paraId="7CCF8FEC" w14:textId="77777777" w:rsidR="0079428C" w:rsidRPr="00B06D23" w:rsidRDefault="0079428C" w:rsidP="0079428C">
      <w:pPr>
        <w:rPr>
          <w:lang w:val="es-ES"/>
        </w:rPr>
      </w:pPr>
      <w:r w:rsidRPr="00B06D23">
        <w:rPr>
          <w:lang w:val="es-ES"/>
        </w:rPr>
        <w:t>La supervisión y control de los procesos de O&amp;M implica:</w:t>
      </w:r>
    </w:p>
    <w:p w14:paraId="41D15415" w14:textId="77777777" w:rsidR="0079428C" w:rsidRPr="00B06D23" w:rsidRDefault="0079428C" w:rsidP="002E20CA">
      <w:pPr>
        <w:pStyle w:val="Prrafodelista"/>
        <w:numPr>
          <w:ilvl w:val="0"/>
          <w:numId w:val="33"/>
        </w:numPr>
        <w:rPr>
          <w:lang w:val="es-ES"/>
        </w:rPr>
      </w:pPr>
      <w:r w:rsidRPr="00B06D23">
        <w:rPr>
          <w:lang w:val="es-ES"/>
        </w:rPr>
        <w:t>La planificación técnica y normas: son los subprocesos de ingeniería de mantenimiento para definir los planes de mantenimiento de líneas, equipos de subestaciones y equipamiento de control y comunicaciones.</w:t>
      </w:r>
    </w:p>
    <w:p w14:paraId="16939381" w14:textId="77777777" w:rsidR="0079428C" w:rsidRPr="00B06D23" w:rsidRDefault="0079428C" w:rsidP="002E20CA">
      <w:pPr>
        <w:pStyle w:val="Prrafodelista"/>
        <w:numPr>
          <w:ilvl w:val="0"/>
          <w:numId w:val="33"/>
        </w:numPr>
        <w:rPr>
          <w:lang w:val="es-ES"/>
        </w:rPr>
      </w:pPr>
      <w:r w:rsidRPr="00B06D23">
        <w:rPr>
          <w:lang w:val="es-ES"/>
        </w:rPr>
        <w:t>Explotación (O&amp;M): son los subprocesos de supervisión directa sobre las cuadrillas de trabajos en terreno ya sea propias o contratadas.</w:t>
      </w:r>
    </w:p>
    <w:p w14:paraId="368E8897" w14:textId="77777777" w:rsidR="0079428C" w:rsidRPr="00B06D23" w:rsidRDefault="0079428C" w:rsidP="0079428C">
      <w:pPr>
        <w:rPr>
          <w:lang w:val="es-ES"/>
        </w:rPr>
      </w:pPr>
      <w:r w:rsidRPr="00B06D23">
        <w:rPr>
          <w:lang w:val="es-ES"/>
        </w:rPr>
        <w:t>Para el cálculo de los componentes de costos arriba indicados se analizan los siguientes puntos:</w:t>
      </w:r>
    </w:p>
    <w:p w14:paraId="151AE2B3" w14:textId="77777777" w:rsidR="0079428C" w:rsidRPr="00B06D23" w:rsidRDefault="0079428C" w:rsidP="002E20CA">
      <w:pPr>
        <w:numPr>
          <w:ilvl w:val="0"/>
          <w:numId w:val="20"/>
        </w:numPr>
        <w:spacing w:after="160" w:line="259" w:lineRule="auto"/>
        <w:ind w:left="567" w:hanging="567"/>
        <w:rPr>
          <w:lang w:val="es-ES"/>
        </w:rPr>
      </w:pPr>
      <w:r w:rsidRPr="00B06D23">
        <w:rPr>
          <w:lang w:val="es-ES"/>
        </w:rPr>
        <w:t xml:space="preserve">Identificación de los objetivos y procesos básicos de una empresa de Transmisión. </w:t>
      </w:r>
    </w:p>
    <w:p w14:paraId="43779856" w14:textId="77777777" w:rsidR="0079428C" w:rsidRPr="00B06D23" w:rsidRDefault="0079428C" w:rsidP="002E20CA">
      <w:pPr>
        <w:numPr>
          <w:ilvl w:val="0"/>
          <w:numId w:val="20"/>
        </w:numPr>
        <w:spacing w:after="160" w:line="259" w:lineRule="auto"/>
        <w:ind w:left="567" w:hanging="567"/>
        <w:rPr>
          <w:lang w:val="es-ES"/>
        </w:rPr>
      </w:pPr>
      <w:r w:rsidRPr="00B06D23">
        <w:rPr>
          <w:lang w:val="es-ES"/>
        </w:rPr>
        <w:t xml:space="preserve">Análisis de las instalaciones involucradas y la cobertura territorial de la empresa. </w:t>
      </w:r>
    </w:p>
    <w:p w14:paraId="5E1BF4A1" w14:textId="77777777" w:rsidR="0079428C" w:rsidRPr="00B06D23" w:rsidRDefault="0079428C" w:rsidP="002E20CA">
      <w:pPr>
        <w:numPr>
          <w:ilvl w:val="0"/>
          <w:numId w:val="20"/>
        </w:numPr>
        <w:spacing w:after="160" w:line="259" w:lineRule="auto"/>
        <w:ind w:left="567" w:hanging="567"/>
        <w:rPr>
          <w:lang w:val="es-ES"/>
        </w:rPr>
      </w:pPr>
      <w:r w:rsidRPr="00B06D23">
        <w:rPr>
          <w:lang w:val="es-ES"/>
        </w:rPr>
        <w:t>Definición de la organización general de los recursos requeridos para el cumplimiento de los objetivos especificados.</w:t>
      </w:r>
    </w:p>
    <w:p w14:paraId="7184B913" w14:textId="77777777" w:rsidR="0079428C" w:rsidRPr="00B06D23" w:rsidRDefault="0079428C" w:rsidP="002E20CA">
      <w:pPr>
        <w:numPr>
          <w:ilvl w:val="0"/>
          <w:numId w:val="20"/>
        </w:numPr>
        <w:spacing w:after="160" w:line="259" w:lineRule="auto"/>
        <w:ind w:left="567" w:hanging="567"/>
        <w:rPr>
          <w:lang w:val="es-ES"/>
        </w:rPr>
      </w:pPr>
      <w:r w:rsidRPr="00B06D23">
        <w:rPr>
          <w:lang w:val="es-ES"/>
        </w:rPr>
        <w:t xml:space="preserve">Dimensionamiento de los recursos requeridos. </w:t>
      </w:r>
    </w:p>
    <w:p w14:paraId="0BBD0006" w14:textId="77777777" w:rsidR="0079428C" w:rsidRPr="00B06D23" w:rsidRDefault="0079428C" w:rsidP="002E20CA">
      <w:pPr>
        <w:numPr>
          <w:ilvl w:val="0"/>
          <w:numId w:val="20"/>
        </w:numPr>
        <w:spacing w:after="160" w:line="259" w:lineRule="auto"/>
        <w:ind w:left="567" w:hanging="567"/>
        <w:rPr>
          <w:lang w:val="es-ES"/>
        </w:rPr>
      </w:pPr>
      <w:r w:rsidRPr="00B06D23">
        <w:rPr>
          <w:lang w:val="es-ES"/>
        </w:rPr>
        <w:t>Valorización de los recursos.</w:t>
      </w:r>
    </w:p>
    <w:p w14:paraId="6CB68BDE" w14:textId="77777777" w:rsidR="0079428C" w:rsidRPr="00B06D23" w:rsidRDefault="0079428C" w:rsidP="002E20CA">
      <w:pPr>
        <w:numPr>
          <w:ilvl w:val="0"/>
          <w:numId w:val="20"/>
        </w:numPr>
        <w:spacing w:after="160" w:line="259" w:lineRule="auto"/>
        <w:ind w:left="567" w:hanging="567"/>
        <w:rPr>
          <w:lang w:val="es-ES"/>
        </w:rPr>
      </w:pPr>
      <w:r w:rsidRPr="00B06D23">
        <w:rPr>
          <w:lang w:val="es-ES"/>
        </w:rPr>
        <w:t>Cálculo de los costos de operación, mantención y administración.</w:t>
      </w:r>
    </w:p>
    <w:p w14:paraId="3220AB80" w14:textId="77777777" w:rsidR="0079428C" w:rsidRPr="00B06D23" w:rsidRDefault="0079428C" w:rsidP="002E20CA">
      <w:pPr>
        <w:numPr>
          <w:ilvl w:val="0"/>
          <w:numId w:val="20"/>
        </w:numPr>
        <w:spacing w:after="160" w:line="259" w:lineRule="auto"/>
        <w:ind w:left="567" w:hanging="567"/>
        <w:rPr>
          <w:lang w:val="es-ES"/>
        </w:rPr>
      </w:pPr>
      <w:r w:rsidRPr="00B06D23">
        <w:rPr>
          <w:lang w:val="es-ES"/>
        </w:rPr>
        <w:t>Cálculo de los bienes muebles e inmuebles.</w:t>
      </w:r>
    </w:p>
    <w:p w14:paraId="2A601E0D" w14:textId="77777777" w:rsidR="0079428C" w:rsidRPr="00B06D23" w:rsidRDefault="0079428C" w:rsidP="002E20CA">
      <w:pPr>
        <w:numPr>
          <w:ilvl w:val="0"/>
          <w:numId w:val="20"/>
        </w:numPr>
        <w:spacing w:after="160" w:line="259" w:lineRule="auto"/>
        <w:ind w:left="567" w:hanging="567"/>
        <w:rPr>
          <w:lang w:val="es-ES"/>
        </w:rPr>
      </w:pPr>
      <w:r w:rsidRPr="00B06D23">
        <w:rPr>
          <w:lang w:val="es-ES"/>
        </w:rPr>
        <w:t xml:space="preserve">Cálculo de los Bienes Intangibles y el Capital de Explotación. </w:t>
      </w:r>
    </w:p>
    <w:p w14:paraId="446D9650" w14:textId="77777777" w:rsidR="0079428C" w:rsidRPr="00B06D23" w:rsidRDefault="0079428C" w:rsidP="0079428C">
      <w:pPr>
        <w:rPr>
          <w:lang w:val="es-ES"/>
        </w:rPr>
      </w:pPr>
      <w:r w:rsidRPr="00B06D23">
        <w:rPr>
          <w:lang w:val="es-ES"/>
        </w:rPr>
        <w:t>La determinación del COMA requiere un conocimiento de las particularidades en la cual se encuentran instalados los activos que son objeto de operación y mantenimiento.</w:t>
      </w:r>
    </w:p>
    <w:p w14:paraId="3B2C60BE" w14:textId="77777777" w:rsidR="0079428C" w:rsidRPr="00B06D23" w:rsidRDefault="0079428C" w:rsidP="0079428C">
      <w:pPr>
        <w:rPr>
          <w:lang w:val="es-ES"/>
        </w:rPr>
      </w:pPr>
      <w:r w:rsidRPr="00B06D23">
        <w:rPr>
          <w:lang w:val="es-ES"/>
        </w:rPr>
        <w:t>Estas particularidades constituyen el contexto operacional en el que se van a desarrollar las actividades de operación y mantenimiento y se pueden clasificar de la siguiente forma:</w:t>
      </w:r>
    </w:p>
    <w:p w14:paraId="30881F28" w14:textId="77777777" w:rsidR="0079428C" w:rsidRPr="00B06D23" w:rsidRDefault="0079428C" w:rsidP="002E20CA">
      <w:pPr>
        <w:numPr>
          <w:ilvl w:val="0"/>
          <w:numId w:val="26"/>
        </w:numPr>
        <w:spacing w:after="160" w:line="259" w:lineRule="auto"/>
        <w:ind w:left="1134" w:hanging="567"/>
        <w:rPr>
          <w:lang w:val="es-ES"/>
        </w:rPr>
      </w:pPr>
      <w:r w:rsidRPr="00B06D23">
        <w:rPr>
          <w:lang w:val="es-ES"/>
        </w:rPr>
        <w:t>La dispersión de los activos que son objeto de operación y mantenimiento que configuran las distancias de traslado desde los centros operativos regionales hasta el lugar donde se encuentran emplazados los activos.</w:t>
      </w:r>
    </w:p>
    <w:p w14:paraId="71201BF8" w14:textId="77777777" w:rsidR="0079428C" w:rsidRPr="00B06D23" w:rsidRDefault="0079428C" w:rsidP="002E20CA">
      <w:pPr>
        <w:numPr>
          <w:ilvl w:val="0"/>
          <w:numId w:val="26"/>
        </w:numPr>
        <w:spacing w:after="160" w:line="259" w:lineRule="auto"/>
        <w:ind w:left="1134" w:hanging="567"/>
        <w:rPr>
          <w:lang w:val="es-ES"/>
        </w:rPr>
      </w:pPr>
      <w:r w:rsidRPr="00B06D23">
        <w:rPr>
          <w:lang w:val="es-ES"/>
        </w:rPr>
        <w:t>La geografía en la que se encuentran instalados dichos activos que condicionan el medio en el que se deberán desplazar el personal de terreno para atender los activos.</w:t>
      </w:r>
    </w:p>
    <w:p w14:paraId="77DDDC25" w14:textId="77777777" w:rsidR="0079428C" w:rsidRPr="00B06D23" w:rsidRDefault="0079428C" w:rsidP="002E20CA">
      <w:pPr>
        <w:numPr>
          <w:ilvl w:val="0"/>
          <w:numId w:val="26"/>
        </w:numPr>
        <w:spacing w:after="160" w:line="259" w:lineRule="auto"/>
        <w:ind w:left="1134" w:hanging="567"/>
        <w:rPr>
          <w:lang w:val="es-ES"/>
        </w:rPr>
      </w:pPr>
      <w:r w:rsidRPr="00B06D23">
        <w:rPr>
          <w:lang w:val="es-ES"/>
        </w:rPr>
        <w:t>La geografía del terreno en la que se encuentran instalados los activos que implican accesos a las instalaciones con diferente grado de complejidad en función de la traza de las líneas, superficie de los caminos, laderas empinadas, accesos por caminos a pie, etc. Este punto se tendrá en cuenta en los tiempos de traslado según la geografía del terreno.</w:t>
      </w:r>
    </w:p>
    <w:p w14:paraId="15537CBE" w14:textId="77777777" w:rsidR="0079428C" w:rsidRPr="00B06D23" w:rsidRDefault="0079428C" w:rsidP="002E20CA">
      <w:pPr>
        <w:numPr>
          <w:ilvl w:val="0"/>
          <w:numId w:val="26"/>
        </w:numPr>
        <w:spacing w:after="160" w:line="259" w:lineRule="auto"/>
        <w:ind w:left="1134" w:hanging="567"/>
        <w:rPr>
          <w:lang w:val="es-ES"/>
        </w:rPr>
      </w:pPr>
      <w:r w:rsidRPr="00B06D23">
        <w:rPr>
          <w:lang w:val="es-ES"/>
        </w:rPr>
        <w:t xml:space="preserve">Contaminación del medio (salina, polvo, excremento de pájaros, etc.): que implica planes especiales de mantenimiento tales como lavado de aisladores y pintado de estructuras de acero galvanizado en líneas y subestaciones. </w:t>
      </w:r>
    </w:p>
    <w:p w14:paraId="3EE53DE5" w14:textId="77777777" w:rsidR="0079428C" w:rsidRPr="00B06D23" w:rsidRDefault="0079428C" w:rsidP="002E20CA">
      <w:pPr>
        <w:numPr>
          <w:ilvl w:val="0"/>
          <w:numId w:val="26"/>
        </w:numPr>
        <w:spacing w:after="160" w:line="259" w:lineRule="auto"/>
        <w:ind w:left="1134" w:hanging="567"/>
        <w:rPr>
          <w:lang w:val="es-ES"/>
        </w:rPr>
      </w:pPr>
      <w:r w:rsidRPr="00B06D23">
        <w:rPr>
          <w:lang w:val="es-ES"/>
        </w:rPr>
        <w:t>Presencia de aves que causan fallas en líneas eléctricas.</w:t>
      </w:r>
    </w:p>
    <w:p w14:paraId="7B844EDB" w14:textId="77777777" w:rsidR="0079428C" w:rsidRPr="00B06D23" w:rsidRDefault="0079428C" w:rsidP="002E20CA">
      <w:pPr>
        <w:numPr>
          <w:ilvl w:val="0"/>
          <w:numId w:val="26"/>
        </w:numPr>
        <w:spacing w:after="160" w:line="259" w:lineRule="auto"/>
        <w:ind w:left="1134" w:hanging="567"/>
        <w:rPr>
          <w:lang w:val="es-ES"/>
        </w:rPr>
      </w:pPr>
      <w:r w:rsidRPr="00B06D23">
        <w:rPr>
          <w:lang w:val="es-ES"/>
        </w:rPr>
        <w:t>Las normas, requisitos y exigencias que emanen de la normativa ambiental vigente.</w:t>
      </w:r>
    </w:p>
    <w:p w14:paraId="1DD23181" w14:textId="77777777" w:rsidR="0079428C" w:rsidRPr="00B06D23" w:rsidRDefault="0079428C" w:rsidP="0079428C">
      <w:pPr>
        <w:rPr>
          <w:lang w:val="es-ES"/>
        </w:rPr>
      </w:pPr>
      <w:r w:rsidRPr="00B06D23">
        <w:rPr>
          <w:lang w:val="es-ES"/>
        </w:rPr>
        <w:t>Sobre la base del conocimiento del contexto operacional, las instalaciones, y las normas técnicas, legales, laborales, y de medio ambiente que son de cumplimiento obligatorio se realiza el dimensionamiento que permite calcular los recursos requeridos, los cuales luego son valorizados a precios de mercado.</w:t>
      </w:r>
    </w:p>
    <w:p w14:paraId="23C1E4C7" w14:textId="77777777" w:rsidR="0079428C" w:rsidRPr="00B06D23" w:rsidRDefault="0079428C" w:rsidP="0079428C">
      <w:pPr>
        <w:rPr>
          <w:lang w:val="es-ES"/>
        </w:rPr>
      </w:pPr>
      <w:r w:rsidRPr="00B06D23">
        <w:rPr>
          <w:lang w:val="es-ES"/>
        </w:rPr>
        <w:t>El proceso general seguido para el diseño y dimensionamiento de la empresa de Transmisión que presta el servicio mediante las instalaciones pertenecientes al sistema de transmisión nacional, considera los siguientes puntos:</w:t>
      </w:r>
    </w:p>
    <w:p w14:paraId="607261A2" w14:textId="77777777" w:rsidR="0079428C" w:rsidRPr="00B06D23" w:rsidRDefault="0079428C" w:rsidP="002E20CA">
      <w:pPr>
        <w:numPr>
          <w:ilvl w:val="0"/>
          <w:numId w:val="19"/>
        </w:numPr>
        <w:spacing w:after="160" w:line="259" w:lineRule="auto"/>
        <w:ind w:left="567" w:hanging="567"/>
        <w:rPr>
          <w:lang w:val="es-ES"/>
        </w:rPr>
      </w:pPr>
      <w:r w:rsidRPr="00B06D23">
        <w:rPr>
          <w:lang w:val="es-ES"/>
        </w:rPr>
        <w:t>Análisis y caracterización del contexto operacional con impacto en las actividades del COMA.</w:t>
      </w:r>
    </w:p>
    <w:p w14:paraId="1F187EA9" w14:textId="77777777" w:rsidR="0079428C" w:rsidRPr="00B06D23" w:rsidRDefault="0079428C" w:rsidP="002E20CA">
      <w:pPr>
        <w:numPr>
          <w:ilvl w:val="0"/>
          <w:numId w:val="19"/>
        </w:numPr>
        <w:spacing w:after="160" w:line="259" w:lineRule="auto"/>
        <w:ind w:left="567" w:hanging="567"/>
        <w:rPr>
          <w:lang w:val="es-ES"/>
        </w:rPr>
      </w:pPr>
      <w:r w:rsidRPr="00B06D23">
        <w:rPr>
          <w:lang w:val="es-ES"/>
        </w:rPr>
        <w:t>Diseño y dimensionamiento de la estructura organizacional de la empresa modelo de Transmisión.</w:t>
      </w:r>
    </w:p>
    <w:p w14:paraId="09BFE813" w14:textId="77777777" w:rsidR="0079428C" w:rsidRPr="00B06D23" w:rsidRDefault="0079428C" w:rsidP="002E20CA">
      <w:pPr>
        <w:numPr>
          <w:ilvl w:val="0"/>
          <w:numId w:val="19"/>
        </w:numPr>
        <w:spacing w:after="160" w:line="259" w:lineRule="auto"/>
        <w:ind w:left="567" w:hanging="567"/>
        <w:rPr>
          <w:lang w:val="es-ES"/>
        </w:rPr>
      </w:pPr>
      <w:r w:rsidRPr="00B06D23">
        <w:rPr>
          <w:lang w:val="es-ES"/>
        </w:rPr>
        <w:t>Estudio de remuneraciones.</w:t>
      </w:r>
    </w:p>
    <w:p w14:paraId="2236C9BE" w14:textId="77777777" w:rsidR="0079428C" w:rsidRPr="00B06D23" w:rsidRDefault="0079428C" w:rsidP="002E20CA">
      <w:pPr>
        <w:numPr>
          <w:ilvl w:val="0"/>
          <w:numId w:val="19"/>
        </w:numPr>
        <w:spacing w:after="160" w:line="259" w:lineRule="auto"/>
        <w:ind w:left="567" w:hanging="567"/>
        <w:rPr>
          <w:lang w:val="es-ES"/>
        </w:rPr>
      </w:pPr>
      <w:r w:rsidRPr="00B06D23">
        <w:rPr>
          <w:lang w:val="es-ES"/>
        </w:rPr>
        <w:t>Análisis de tercerización de actividades.</w:t>
      </w:r>
    </w:p>
    <w:p w14:paraId="2AE63147" w14:textId="77777777" w:rsidR="0079428C" w:rsidRPr="00B06D23" w:rsidRDefault="0079428C" w:rsidP="002E20CA">
      <w:pPr>
        <w:numPr>
          <w:ilvl w:val="0"/>
          <w:numId w:val="19"/>
        </w:numPr>
        <w:spacing w:after="160" w:line="259" w:lineRule="auto"/>
        <w:ind w:left="567" w:hanging="567"/>
        <w:rPr>
          <w:lang w:val="es-ES"/>
        </w:rPr>
      </w:pPr>
      <w:r w:rsidRPr="00B06D23">
        <w:rPr>
          <w:lang w:val="es-ES"/>
        </w:rPr>
        <w:t>Diseño y dimensionamiento de las actividades de operación y mantenimiento en terreno</w:t>
      </w:r>
    </w:p>
    <w:p w14:paraId="5BFD2D8F" w14:textId="77777777" w:rsidR="0079428C" w:rsidRPr="00B06D23" w:rsidRDefault="0079428C" w:rsidP="002E20CA">
      <w:pPr>
        <w:numPr>
          <w:ilvl w:val="0"/>
          <w:numId w:val="19"/>
        </w:numPr>
        <w:spacing w:after="160" w:line="259" w:lineRule="auto"/>
        <w:ind w:left="567" w:hanging="567"/>
        <w:rPr>
          <w:lang w:val="es-ES"/>
        </w:rPr>
      </w:pPr>
      <w:r w:rsidRPr="00B06D23">
        <w:rPr>
          <w:lang w:val="es-ES"/>
        </w:rPr>
        <w:t>Costos de los recursos requeridos de la estructura organizacional</w:t>
      </w:r>
    </w:p>
    <w:p w14:paraId="1AC9ACB4" w14:textId="77777777" w:rsidR="0079428C" w:rsidRPr="00B06D23" w:rsidRDefault="0079428C" w:rsidP="002E20CA">
      <w:pPr>
        <w:numPr>
          <w:ilvl w:val="0"/>
          <w:numId w:val="19"/>
        </w:numPr>
        <w:spacing w:after="160" w:line="259" w:lineRule="auto"/>
        <w:ind w:left="567" w:hanging="567"/>
        <w:rPr>
          <w:lang w:val="es-ES"/>
        </w:rPr>
      </w:pPr>
      <w:r w:rsidRPr="00B06D23">
        <w:rPr>
          <w:lang w:val="es-ES"/>
        </w:rPr>
        <w:t>Costos de los recursos requeridos de las actividades de operación y mantenimiento en terreno</w:t>
      </w:r>
    </w:p>
    <w:p w14:paraId="45F3427E" w14:textId="77777777" w:rsidR="0079428C" w:rsidRPr="00B06D23" w:rsidRDefault="0079428C" w:rsidP="002E20CA">
      <w:pPr>
        <w:numPr>
          <w:ilvl w:val="0"/>
          <w:numId w:val="19"/>
        </w:numPr>
        <w:spacing w:after="160" w:line="259" w:lineRule="auto"/>
        <w:ind w:left="567" w:hanging="567"/>
        <w:rPr>
          <w:lang w:val="es-ES"/>
        </w:rPr>
      </w:pPr>
      <w:r w:rsidRPr="00B06D23">
        <w:rPr>
          <w:lang w:val="es-ES"/>
        </w:rPr>
        <w:t>Costos generales y otros servicios.</w:t>
      </w:r>
    </w:p>
    <w:p w14:paraId="204AB218" w14:textId="77777777" w:rsidR="0079428C" w:rsidRPr="00B06D23" w:rsidRDefault="0079428C" w:rsidP="002E20CA">
      <w:pPr>
        <w:numPr>
          <w:ilvl w:val="0"/>
          <w:numId w:val="19"/>
        </w:numPr>
        <w:spacing w:after="160" w:line="259" w:lineRule="auto"/>
        <w:ind w:left="567" w:hanging="567"/>
        <w:rPr>
          <w:lang w:val="es-ES"/>
        </w:rPr>
      </w:pPr>
      <w:r w:rsidRPr="00B06D23">
        <w:rPr>
          <w:lang w:val="es-ES"/>
        </w:rPr>
        <w:t>Antecedentes de actividades de O&amp;M presentada por las empresas transmisoras.</w:t>
      </w:r>
    </w:p>
    <w:p w14:paraId="6C9EFFC8" w14:textId="77777777" w:rsidR="0079428C" w:rsidRPr="00B06D23" w:rsidRDefault="0079428C" w:rsidP="002E20CA">
      <w:pPr>
        <w:numPr>
          <w:ilvl w:val="0"/>
          <w:numId w:val="19"/>
        </w:numPr>
        <w:spacing w:after="160" w:line="259" w:lineRule="auto"/>
        <w:ind w:left="567" w:hanging="567"/>
        <w:rPr>
          <w:lang w:val="es-ES"/>
        </w:rPr>
      </w:pPr>
      <w:r w:rsidRPr="00B06D23">
        <w:rPr>
          <w:lang w:val="es-ES"/>
        </w:rPr>
        <w:t>Presentación de los resultados del COMA.</w:t>
      </w:r>
    </w:p>
    <w:p w14:paraId="2AC79D49" w14:textId="77777777" w:rsidR="0079428C" w:rsidRPr="00B06D23" w:rsidRDefault="0079428C" w:rsidP="0079428C">
      <w:pPr>
        <w:rPr>
          <w:lang w:val="es-ES"/>
        </w:rPr>
      </w:pPr>
      <w:r w:rsidRPr="00B06D23">
        <w:rPr>
          <w:lang w:val="es-ES"/>
        </w:rPr>
        <w:t>En el punto siguiente se presenta el desarrollo de la metodología para el cálculo del COMA</w:t>
      </w:r>
    </w:p>
    <w:p w14:paraId="46E9B649" w14:textId="77777777" w:rsidR="0079428C" w:rsidRPr="00F465C5" w:rsidRDefault="0079428C" w:rsidP="0079428C">
      <w:pPr>
        <w:pStyle w:val="Ttulo3"/>
      </w:pPr>
      <w:bookmarkStart w:id="48" w:name="_Toc21077626"/>
      <w:bookmarkStart w:id="49" w:name="_Toc32389948"/>
      <w:bookmarkStart w:id="50" w:name="_Toc34398090"/>
      <w:bookmarkStart w:id="51" w:name="_Toc34687186"/>
      <w:r w:rsidRPr="00F465C5">
        <w:t>Etapas de la Metodología para el cálculo del COMA</w:t>
      </w:r>
      <w:bookmarkEnd w:id="48"/>
      <w:bookmarkEnd w:id="49"/>
      <w:bookmarkEnd w:id="50"/>
      <w:bookmarkEnd w:id="51"/>
    </w:p>
    <w:p w14:paraId="0F02F447" w14:textId="77777777" w:rsidR="0079428C" w:rsidRPr="00B06D23" w:rsidRDefault="0079428C" w:rsidP="0079428C">
      <w:pPr>
        <w:rPr>
          <w:lang w:val="es-ES"/>
        </w:rPr>
      </w:pPr>
      <w:r w:rsidRPr="00B06D23">
        <w:rPr>
          <w:lang w:val="es-ES"/>
        </w:rPr>
        <w:t>El desarrollo de la metodología se puede sintetizar en el siguiente diagrama de flujo:</w:t>
      </w:r>
    </w:p>
    <w:p w14:paraId="7F61EE87" w14:textId="77777777" w:rsidR="0079428C" w:rsidRPr="00B06D23" w:rsidRDefault="0079428C" w:rsidP="0079428C">
      <w:pPr>
        <w:jc w:val="center"/>
        <w:rPr>
          <w:lang w:val="es-ES"/>
        </w:rPr>
      </w:pPr>
      <w:r w:rsidRPr="00B06D23">
        <w:rPr>
          <w:noProof/>
          <w:lang w:val="es-AR" w:eastAsia="es-AR"/>
        </w:rPr>
        <w:drawing>
          <wp:inline distT="0" distB="0" distL="0" distR="0" wp14:anchorId="147E7322" wp14:editId="52138F61">
            <wp:extent cx="6172200" cy="4181475"/>
            <wp:effectExtent l="19050" t="19050" r="0" b="9525"/>
            <wp:docPr id="5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2" cstate="print">
                      <a:extLst>
                        <a:ext uri="{28A0092B-C50C-407E-A947-70E740481C1C}">
                          <a14:useLocalDpi xmlns:a14="http://schemas.microsoft.com/office/drawing/2010/main" val="0"/>
                        </a:ext>
                      </a:extLst>
                    </a:blip>
                    <a:srcRect r="2019"/>
                    <a:stretch>
                      <a:fillRect/>
                    </a:stretch>
                  </pic:blipFill>
                  <pic:spPr bwMode="auto">
                    <a:xfrm>
                      <a:off x="0" y="0"/>
                      <a:ext cx="6172200" cy="4181475"/>
                    </a:xfrm>
                    <a:prstGeom prst="rect">
                      <a:avLst/>
                    </a:prstGeom>
                    <a:noFill/>
                    <a:ln w="9525" cmpd="sng">
                      <a:solidFill>
                        <a:srgbClr val="000000"/>
                      </a:solidFill>
                      <a:miter lim="800000"/>
                      <a:headEnd/>
                      <a:tailEnd/>
                    </a:ln>
                    <a:effectLst/>
                  </pic:spPr>
                </pic:pic>
              </a:graphicData>
            </a:graphic>
          </wp:inline>
        </w:drawing>
      </w:r>
    </w:p>
    <w:p w14:paraId="6B08ADB9" w14:textId="77777777" w:rsidR="0079428C" w:rsidRPr="00B06D23" w:rsidRDefault="0079428C" w:rsidP="0079428C">
      <w:pPr>
        <w:rPr>
          <w:lang w:val="es-ES"/>
        </w:rPr>
      </w:pPr>
      <w:r w:rsidRPr="00B06D23">
        <w:rPr>
          <w:lang w:val="es-ES"/>
        </w:rPr>
        <w:t>Las etapas de la metodología son:</w:t>
      </w:r>
    </w:p>
    <w:p w14:paraId="46FD75A3" w14:textId="77777777" w:rsidR="0079428C" w:rsidRPr="00B06D23" w:rsidRDefault="0079428C" w:rsidP="002E20CA">
      <w:pPr>
        <w:numPr>
          <w:ilvl w:val="0"/>
          <w:numId w:val="28"/>
        </w:numPr>
        <w:spacing w:after="160" w:line="259" w:lineRule="auto"/>
        <w:ind w:left="567" w:hanging="567"/>
        <w:rPr>
          <w:lang w:val="es-ES"/>
        </w:rPr>
      </w:pPr>
      <w:r w:rsidRPr="00B06D23">
        <w:rPr>
          <w:lang w:val="es-ES"/>
        </w:rPr>
        <w:t>Dimensionamiento de la organización de la empresa modelo: para definir los recursos humanos de plantilla para la gestión de la administración, operación y mantenimiento.</w:t>
      </w:r>
    </w:p>
    <w:p w14:paraId="0496C98E" w14:textId="77777777" w:rsidR="0079428C" w:rsidRPr="00B06D23" w:rsidRDefault="0079428C" w:rsidP="002E20CA">
      <w:pPr>
        <w:numPr>
          <w:ilvl w:val="0"/>
          <w:numId w:val="28"/>
        </w:numPr>
        <w:spacing w:after="160" w:line="259" w:lineRule="auto"/>
        <w:ind w:left="567" w:hanging="567"/>
        <w:rPr>
          <w:lang w:val="es-ES"/>
        </w:rPr>
      </w:pPr>
      <w:r w:rsidRPr="00B06D23">
        <w:rPr>
          <w:lang w:val="es-ES"/>
        </w:rPr>
        <w:t>Diseño y dimensionamiento de las actividades de operación y mantenimiento en terreno: para definir los recursos para las actividades de operación y mantenimiento en terreno.</w:t>
      </w:r>
    </w:p>
    <w:p w14:paraId="27BF102C" w14:textId="77777777" w:rsidR="0079428C" w:rsidRPr="00B06D23" w:rsidRDefault="0079428C" w:rsidP="002E20CA">
      <w:pPr>
        <w:numPr>
          <w:ilvl w:val="0"/>
          <w:numId w:val="28"/>
        </w:numPr>
        <w:spacing w:after="160" w:line="259" w:lineRule="auto"/>
        <w:ind w:left="567" w:hanging="567"/>
        <w:rPr>
          <w:lang w:val="es-ES"/>
        </w:rPr>
      </w:pPr>
      <w:r w:rsidRPr="00B06D23">
        <w:rPr>
          <w:lang w:val="es-ES"/>
        </w:rPr>
        <w:t>Valorización de los recursos diseñados en los puntos a) y b).</w:t>
      </w:r>
    </w:p>
    <w:p w14:paraId="67DC3BAD" w14:textId="77777777" w:rsidR="0079428C" w:rsidRPr="00B06D23" w:rsidRDefault="0079428C" w:rsidP="0079428C">
      <w:pPr>
        <w:rPr>
          <w:lang w:val="es-ES"/>
        </w:rPr>
      </w:pPr>
      <w:r w:rsidRPr="00B06D23">
        <w:rPr>
          <w:lang w:val="es-ES"/>
        </w:rPr>
        <w:t>A continuación, se presenta la metodología que se desarrollará en cada etapa del proceso de diseño de la empresa modelo y cálculo del COMA.</w:t>
      </w:r>
    </w:p>
    <w:p w14:paraId="06EA57EF" w14:textId="77777777" w:rsidR="0079428C" w:rsidRPr="00F465C5" w:rsidRDefault="0079428C" w:rsidP="0079428C">
      <w:pPr>
        <w:pStyle w:val="Ttulo3"/>
      </w:pPr>
      <w:bookmarkStart w:id="52" w:name="_Toc32389949"/>
      <w:bookmarkStart w:id="53" w:name="_Toc34398091"/>
      <w:bookmarkStart w:id="54" w:name="_Toc34687187"/>
      <w:r w:rsidRPr="00F465C5">
        <w:t>Diseño y dimensionamiento de la organización de la empresa modelo eficiente</w:t>
      </w:r>
      <w:bookmarkEnd w:id="52"/>
      <w:bookmarkEnd w:id="53"/>
      <w:bookmarkEnd w:id="54"/>
    </w:p>
    <w:p w14:paraId="673C1781" w14:textId="77777777" w:rsidR="0079428C" w:rsidRPr="00B06D23" w:rsidRDefault="0079428C" w:rsidP="0079428C">
      <w:pPr>
        <w:rPr>
          <w:lang w:val="es-ES"/>
        </w:rPr>
      </w:pPr>
      <w:r w:rsidRPr="00B06D23">
        <w:rPr>
          <w:lang w:val="es-ES"/>
        </w:rPr>
        <w:t>La red de la Empresa Modelo (EM) está conformada por Líneas de Alta Tensión, Subestaciones, puntos de transformación, puntos de Conexión, sistemas de comunicaciones, equipos de protecciones y control y elementos de maniobras, mediciones, compensación, servicios auxiliares, etc., los cuales son necesarios para cumplir con su cometido.</w:t>
      </w:r>
    </w:p>
    <w:p w14:paraId="075EAC19" w14:textId="77777777" w:rsidR="0079428C" w:rsidRPr="00B06D23" w:rsidRDefault="0079428C" w:rsidP="0079428C">
      <w:pPr>
        <w:rPr>
          <w:lang w:val="es-ES"/>
        </w:rPr>
      </w:pPr>
      <w:r w:rsidRPr="00B06D23">
        <w:rPr>
          <w:lang w:val="es-ES"/>
        </w:rPr>
        <w:t>Todas las actividades de la EM serían realizadas de manera de prestar el servicio público de Transmisión de electricidad, con un nivel de calidad satisfactorio acorde con los parámetros establecidos en las normas regulatorias que fija la autoridad competente y en especial con la NTSyCS. Adicional a las condiciones técnicas de calidad y seguridad del servicio se deben  considerar las condiciones legales laborales y ambientales para el cumplimiento de las mismas.</w:t>
      </w:r>
    </w:p>
    <w:p w14:paraId="55FCF4B3" w14:textId="77777777" w:rsidR="0079428C" w:rsidRPr="00B06D23" w:rsidRDefault="0079428C" w:rsidP="0079428C">
      <w:pPr>
        <w:rPr>
          <w:lang w:val="es-ES"/>
        </w:rPr>
      </w:pPr>
      <w:r w:rsidRPr="00B06D23">
        <w:rPr>
          <w:lang w:val="es-ES"/>
        </w:rPr>
        <w:t>Esa provisión eficiente del servicio requiere el funcionamiento armónico de una estructura organizativa adecuadamente diseñada e implementada, contemplando la adaptación de los recursos y costos asignados al desempeño de cada proceso y actividad.</w:t>
      </w:r>
    </w:p>
    <w:p w14:paraId="64446B04" w14:textId="77777777" w:rsidR="0079428C" w:rsidRPr="00B06D23" w:rsidRDefault="0079428C" w:rsidP="0079428C">
      <w:pPr>
        <w:rPr>
          <w:lang w:val="es-ES"/>
        </w:rPr>
      </w:pPr>
      <w:r w:rsidRPr="00B06D23">
        <w:rPr>
          <w:lang w:val="es-ES"/>
        </w:rPr>
        <w:t>Se analizan detalladamente los principales procesos, subprocesos, actividades y funciones que debe desarrollar la EM a los efectos del dimensionamiento de la dotación de personal optimizado.</w:t>
      </w:r>
    </w:p>
    <w:p w14:paraId="2FCA5930" w14:textId="77777777" w:rsidR="0079428C" w:rsidRPr="00B06D23" w:rsidRDefault="0079428C" w:rsidP="0079428C">
      <w:pPr>
        <w:rPr>
          <w:lang w:val="es-ES"/>
        </w:rPr>
      </w:pPr>
      <w:bookmarkStart w:id="55" w:name="_Toc149716332"/>
      <w:r w:rsidRPr="00B06D23">
        <w:rPr>
          <w:lang w:val="es-ES"/>
        </w:rPr>
        <w:t xml:space="preserve">Los mismos son calculados para las áreas que intervienen en los procesos de </w:t>
      </w:r>
      <w:bookmarkEnd w:id="55"/>
      <w:r w:rsidRPr="00B06D23">
        <w:rPr>
          <w:lang w:val="es-ES"/>
        </w:rPr>
        <w:t>Dirección, estrategia y control, Legales, Relaciones institucionales, Recursos humanos, Planificación económica y control de gestión, Administración y finanzas, Comercial y regulación, Planificación técnica y normas, Explotación (operación y mantenimiento).</w:t>
      </w:r>
    </w:p>
    <w:p w14:paraId="00CC4D06" w14:textId="77777777" w:rsidR="0079428C" w:rsidRPr="00B06D23" w:rsidRDefault="0079428C" w:rsidP="0079428C">
      <w:pPr>
        <w:rPr>
          <w:lang w:val="es-ES"/>
        </w:rPr>
      </w:pPr>
      <w:bookmarkStart w:id="56" w:name="_Toc149716333"/>
      <w:r w:rsidRPr="00B06D23">
        <w:rPr>
          <w:lang w:val="es-ES"/>
        </w:rPr>
        <w:t xml:space="preserve">Sobre la base de la cantidad de activos que componen el sistema de Transmisión, la dispersión geográfica de las instalaciones, y las políticas de tercerización eficientes adoptadas </w:t>
      </w:r>
      <w:bookmarkEnd w:id="56"/>
      <w:r w:rsidRPr="00B06D23">
        <w:rPr>
          <w:lang w:val="es-ES"/>
        </w:rPr>
        <w:t>en el modelo, se definen:</w:t>
      </w:r>
    </w:p>
    <w:p w14:paraId="38B396B4" w14:textId="77777777" w:rsidR="0079428C" w:rsidRPr="00B06D23" w:rsidRDefault="0079428C" w:rsidP="002E20CA">
      <w:pPr>
        <w:numPr>
          <w:ilvl w:val="0"/>
          <w:numId w:val="21"/>
        </w:numPr>
        <w:tabs>
          <w:tab w:val="clear" w:pos="357"/>
        </w:tabs>
        <w:spacing w:after="160" w:line="259" w:lineRule="auto"/>
        <w:ind w:left="567" w:hanging="567"/>
        <w:rPr>
          <w:lang w:val="es-ES"/>
        </w:rPr>
      </w:pPr>
      <w:bookmarkStart w:id="57" w:name="_Toc149716334"/>
      <w:r w:rsidRPr="00B06D23">
        <w:rPr>
          <w:lang w:val="es-ES"/>
        </w:rPr>
        <w:t>Los procesos y subprocesos. Ej: Proceso Administración y Finanzas, subproceso Abastecimiento.</w:t>
      </w:r>
    </w:p>
    <w:p w14:paraId="5CA941B8" w14:textId="77777777" w:rsidR="0079428C" w:rsidRPr="00B06D23" w:rsidRDefault="0079428C" w:rsidP="002E20CA">
      <w:pPr>
        <w:numPr>
          <w:ilvl w:val="0"/>
          <w:numId w:val="21"/>
        </w:numPr>
        <w:tabs>
          <w:tab w:val="clear" w:pos="357"/>
        </w:tabs>
        <w:spacing w:after="160" w:line="259" w:lineRule="auto"/>
        <w:ind w:left="567" w:hanging="567"/>
        <w:rPr>
          <w:lang w:val="es-ES"/>
        </w:rPr>
      </w:pPr>
      <w:r w:rsidRPr="00B06D23">
        <w:rPr>
          <w:lang w:val="es-ES"/>
        </w:rPr>
        <w:t>Las tareas inherentes a cada subproceso. Ej. Abastecimiento con tareas que se refieren a la gestión de compra, aprovisionamiento y logística (almacenes, transporte) de los productos y servicios necesarios para el funcionamiento de la EM.</w:t>
      </w:r>
    </w:p>
    <w:p w14:paraId="644B1C57" w14:textId="77777777" w:rsidR="0079428C" w:rsidRPr="00B06D23" w:rsidRDefault="0079428C" w:rsidP="002E20CA">
      <w:pPr>
        <w:numPr>
          <w:ilvl w:val="0"/>
          <w:numId w:val="21"/>
        </w:numPr>
        <w:tabs>
          <w:tab w:val="clear" w:pos="357"/>
        </w:tabs>
        <w:spacing w:after="160" w:line="259" w:lineRule="auto"/>
        <w:ind w:left="567" w:hanging="567"/>
        <w:rPr>
          <w:lang w:val="es-ES"/>
        </w:rPr>
      </w:pPr>
      <w:r w:rsidRPr="00B06D23">
        <w:rPr>
          <w:lang w:val="es-ES"/>
        </w:rPr>
        <w:t>La definición de los cargos (descripción, función y responsabilidad) y cantidad de personas por cargo para realizar las tareas indicadas en el punto anterior.</w:t>
      </w:r>
    </w:p>
    <w:p w14:paraId="308B100C" w14:textId="77777777" w:rsidR="0079428C" w:rsidRPr="00B06D23" w:rsidRDefault="0079428C" w:rsidP="002E20CA">
      <w:pPr>
        <w:numPr>
          <w:ilvl w:val="0"/>
          <w:numId w:val="21"/>
        </w:numPr>
        <w:tabs>
          <w:tab w:val="clear" w:pos="357"/>
        </w:tabs>
        <w:spacing w:after="160" w:line="259" w:lineRule="auto"/>
        <w:ind w:left="567" w:hanging="567"/>
        <w:rPr>
          <w:lang w:val="es-ES"/>
        </w:rPr>
      </w:pPr>
      <w:r w:rsidRPr="00B06D23">
        <w:rPr>
          <w:lang w:val="es-ES"/>
        </w:rPr>
        <w:t xml:space="preserve">La estructura organizativa </w:t>
      </w:r>
      <w:bookmarkEnd w:id="57"/>
      <w:r w:rsidRPr="00B06D23">
        <w:rPr>
          <w:lang w:val="es-ES"/>
        </w:rPr>
        <w:t>del personal definido en el punto anterior (organigrama)</w:t>
      </w:r>
    </w:p>
    <w:p w14:paraId="61F3590D" w14:textId="77777777" w:rsidR="0079428C" w:rsidRPr="00B06D23" w:rsidRDefault="0079428C" w:rsidP="002E20CA">
      <w:pPr>
        <w:numPr>
          <w:ilvl w:val="0"/>
          <w:numId w:val="21"/>
        </w:numPr>
        <w:tabs>
          <w:tab w:val="clear" w:pos="357"/>
        </w:tabs>
        <w:spacing w:after="160" w:line="259" w:lineRule="auto"/>
        <w:ind w:left="567" w:hanging="567"/>
        <w:rPr>
          <w:lang w:val="es-ES"/>
        </w:rPr>
      </w:pPr>
      <w:bookmarkStart w:id="58" w:name="_Toc149716335"/>
      <w:r w:rsidRPr="00B06D23">
        <w:rPr>
          <w:lang w:val="es-ES"/>
        </w:rPr>
        <w:t>Infraestructura requerida por el personal para desempeñar sus funciones en forma eficiente: edificios, vehículos, mobiliario, equipos de comunicación, equipos y sistemas informáticos, etc.</w:t>
      </w:r>
      <w:bookmarkEnd w:id="58"/>
    </w:p>
    <w:p w14:paraId="4FAC2682" w14:textId="77777777" w:rsidR="0079428C" w:rsidRPr="00B06D23" w:rsidRDefault="0079428C" w:rsidP="002E20CA">
      <w:pPr>
        <w:numPr>
          <w:ilvl w:val="0"/>
          <w:numId w:val="21"/>
        </w:numPr>
        <w:tabs>
          <w:tab w:val="clear" w:pos="357"/>
        </w:tabs>
        <w:spacing w:after="160" w:line="259" w:lineRule="auto"/>
        <w:ind w:left="567" w:hanging="567"/>
        <w:rPr>
          <w:lang w:val="es-ES"/>
        </w:rPr>
      </w:pPr>
      <w:bookmarkStart w:id="59" w:name="_Toc149716336"/>
      <w:r w:rsidRPr="00B06D23">
        <w:rPr>
          <w:lang w:val="es-ES"/>
        </w:rPr>
        <w:t>Insumos y servicios requeridos: papelería, aseo y limpieza, capacitación, servicios externos (agua, electricidad, vigilancia), viáticos, insumos computacionales, contribuciones, asesorías, gastos del directorio, etc.</w:t>
      </w:r>
      <w:bookmarkEnd w:id="59"/>
    </w:p>
    <w:p w14:paraId="1A4E1A74" w14:textId="77777777" w:rsidR="0079428C" w:rsidRPr="00B06D23" w:rsidRDefault="0079428C" w:rsidP="0079428C">
      <w:pPr>
        <w:rPr>
          <w:lang w:val="es-ES"/>
        </w:rPr>
      </w:pPr>
      <w:r w:rsidRPr="00B06D23">
        <w:rPr>
          <w:lang w:val="es-ES"/>
        </w:rPr>
        <w:t>Sin ser taxativo se enumeran los principales procesos y subprocesos que debe desarrollar la empresa modelo eficiente:</w:t>
      </w:r>
    </w:p>
    <w:p w14:paraId="415983B8" w14:textId="77777777" w:rsidR="0079428C" w:rsidRPr="006F5B6D" w:rsidRDefault="0079428C" w:rsidP="0079428C">
      <w:pPr>
        <w:pStyle w:val="Ttulo4"/>
      </w:pPr>
      <w:bookmarkStart w:id="60" w:name="_Toc32389950"/>
      <w:bookmarkStart w:id="61" w:name="_Toc34398092"/>
      <w:bookmarkStart w:id="62" w:name="_Toc34687188"/>
      <w:r w:rsidRPr="006F5B6D">
        <w:t>Proceso: dirección, estrategia y control</w:t>
      </w:r>
      <w:bookmarkEnd w:id="60"/>
      <w:bookmarkEnd w:id="61"/>
      <w:bookmarkEnd w:id="62"/>
    </w:p>
    <w:p w14:paraId="221F10CC" w14:textId="77777777" w:rsidR="0079428C" w:rsidRPr="00B06D23" w:rsidRDefault="0079428C" w:rsidP="0079428C">
      <w:pPr>
        <w:rPr>
          <w:lang w:val="es-ES"/>
        </w:rPr>
      </w:pPr>
      <w:r w:rsidRPr="00B06D23">
        <w:rPr>
          <w:lang w:val="es-ES"/>
        </w:rPr>
        <w:t>Este proceso incluye los siguientes subprocesos:</w:t>
      </w:r>
    </w:p>
    <w:p w14:paraId="1CD42B9E" w14:textId="77777777" w:rsidR="0079428C" w:rsidRPr="00B06D23" w:rsidRDefault="0079428C" w:rsidP="002E20CA">
      <w:pPr>
        <w:widowControl w:val="0"/>
        <w:numPr>
          <w:ilvl w:val="0"/>
          <w:numId w:val="22"/>
        </w:numPr>
        <w:spacing w:after="120"/>
        <w:rPr>
          <w:lang w:val="es-ES"/>
        </w:rPr>
      </w:pPr>
      <w:r w:rsidRPr="00B06D23">
        <w:rPr>
          <w:lang w:val="es-ES"/>
        </w:rPr>
        <w:t xml:space="preserve">Dirección y Gerenciamiento General, que incluye la representación de la empresa, elaboración y seguimiento de las estrategias globales, establecimiento de las medidas correctivas tendientes a que la gestión esté orientada a lograr los objetivos establecidos, y la estrategia de las relaciones institucionales. </w:t>
      </w:r>
    </w:p>
    <w:p w14:paraId="129A0725" w14:textId="77777777" w:rsidR="0079428C" w:rsidRPr="00B06D23" w:rsidRDefault="0079428C" w:rsidP="002E20CA">
      <w:pPr>
        <w:widowControl w:val="0"/>
        <w:numPr>
          <w:ilvl w:val="0"/>
          <w:numId w:val="22"/>
        </w:numPr>
        <w:spacing w:after="120"/>
        <w:rPr>
          <w:lang w:val="es-ES"/>
        </w:rPr>
      </w:pPr>
      <w:r w:rsidRPr="00B06D23">
        <w:rPr>
          <w:lang w:val="es-ES"/>
        </w:rPr>
        <w:t>Planificación económica y Control de Gestión, referidas al seguimiento y control del desempeño de la gestión global de la empresa tanto en aspectos económicos como en parámetros de gestión, elaboración de los reportes de gestión para la dirección y reportes de comunicación institucional. Planificación y ejecución de auditorías internas.</w:t>
      </w:r>
    </w:p>
    <w:p w14:paraId="3A10D981" w14:textId="77777777" w:rsidR="0079428C" w:rsidRPr="00B06D23" w:rsidRDefault="0079428C" w:rsidP="002E20CA">
      <w:pPr>
        <w:widowControl w:val="0"/>
        <w:numPr>
          <w:ilvl w:val="0"/>
          <w:numId w:val="22"/>
        </w:numPr>
        <w:spacing w:after="120"/>
        <w:rPr>
          <w:lang w:val="es-ES"/>
        </w:rPr>
      </w:pPr>
      <w:r w:rsidRPr="00B06D23">
        <w:rPr>
          <w:lang w:val="es-ES"/>
        </w:rPr>
        <w:t>Asesoramiento Legal, que incluye el asesoramiento en materia de contratos y conflictos, en asuntos de tipo laboral, accidentes, etc.</w:t>
      </w:r>
    </w:p>
    <w:p w14:paraId="3374F325" w14:textId="77777777" w:rsidR="0079428C" w:rsidRPr="00B06D23" w:rsidRDefault="0079428C" w:rsidP="002E20CA">
      <w:pPr>
        <w:widowControl w:val="0"/>
        <w:numPr>
          <w:ilvl w:val="0"/>
          <w:numId w:val="22"/>
        </w:numPr>
        <w:spacing w:after="120"/>
        <w:rPr>
          <w:lang w:val="es-ES"/>
        </w:rPr>
      </w:pPr>
      <w:r w:rsidRPr="00B06D23">
        <w:rPr>
          <w:lang w:val="es-ES"/>
        </w:rPr>
        <w:t>Relaciones institucionales: desarrollo y administración de las relaciones con los medios, relaciones con la comunidad, y entes gubernamentales.</w:t>
      </w:r>
    </w:p>
    <w:p w14:paraId="28A09EA5" w14:textId="77777777" w:rsidR="0079428C" w:rsidRPr="00B06D23" w:rsidRDefault="0079428C" w:rsidP="002E20CA">
      <w:pPr>
        <w:widowControl w:val="0"/>
        <w:numPr>
          <w:ilvl w:val="0"/>
          <w:numId w:val="22"/>
        </w:numPr>
        <w:rPr>
          <w:lang w:val="es-ES"/>
        </w:rPr>
      </w:pPr>
      <w:r w:rsidRPr="00B06D23">
        <w:rPr>
          <w:lang w:val="es-ES"/>
        </w:rPr>
        <w:t>Recursos Humanos, higiene y seguridad: incluyen el reclutamiento, la capacitación y la administración de los integrantes permanentes y eventuales (si corresponde) de la organización, liquidación de sueldos, liquidación de aportes a la seguridad social y otros. Actividades de relaciones laborales (relación con sindicatos). Gestión del plan de higiene y seguridad para el cumplimiento de la normativa vigente. Manejo del plan de protección patrimonial.</w:t>
      </w:r>
    </w:p>
    <w:p w14:paraId="34F2EF5E" w14:textId="77777777" w:rsidR="0079428C" w:rsidRPr="00B06D23" w:rsidRDefault="0079428C" w:rsidP="002E20CA">
      <w:pPr>
        <w:widowControl w:val="0"/>
        <w:numPr>
          <w:ilvl w:val="0"/>
          <w:numId w:val="22"/>
        </w:numPr>
        <w:rPr>
          <w:lang w:val="es-ES"/>
        </w:rPr>
      </w:pPr>
      <w:r w:rsidRPr="00B06D23">
        <w:rPr>
          <w:lang w:val="es-ES"/>
        </w:rPr>
        <w:t>Auditoría: incluye auditorías internas y externas.</w:t>
      </w:r>
    </w:p>
    <w:p w14:paraId="66D5B14D" w14:textId="77777777" w:rsidR="0079428C" w:rsidRPr="006F5B6D" w:rsidRDefault="0079428C" w:rsidP="0079428C">
      <w:pPr>
        <w:pStyle w:val="Ttulo4"/>
      </w:pPr>
      <w:bookmarkStart w:id="63" w:name="_Toc71611010"/>
      <w:bookmarkStart w:id="64" w:name="_Toc71898567"/>
      <w:bookmarkStart w:id="65" w:name="_Toc72820968"/>
      <w:bookmarkStart w:id="66" w:name="_Toc32389951"/>
      <w:bookmarkStart w:id="67" w:name="_Toc34398093"/>
      <w:bookmarkStart w:id="68" w:name="_Toc34687189"/>
      <w:r w:rsidRPr="006F5B6D">
        <w:t>Proceso: administración y finanzas</w:t>
      </w:r>
      <w:bookmarkEnd w:id="63"/>
      <w:bookmarkEnd w:id="64"/>
      <w:bookmarkEnd w:id="65"/>
      <w:bookmarkEnd w:id="66"/>
      <w:bookmarkEnd w:id="67"/>
      <w:bookmarkEnd w:id="68"/>
    </w:p>
    <w:p w14:paraId="2EFFD41B" w14:textId="77777777" w:rsidR="0079428C" w:rsidRPr="00B06D23" w:rsidRDefault="0079428C" w:rsidP="0079428C">
      <w:pPr>
        <w:rPr>
          <w:lang w:val="es-ES"/>
        </w:rPr>
      </w:pPr>
      <w:r w:rsidRPr="00B06D23">
        <w:rPr>
          <w:lang w:val="es-ES"/>
        </w:rPr>
        <w:t>Este proceso incluye los siguientes subprocesos:</w:t>
      </w:r>
    </w:p>
    <w:p w14:paraId="2778D053" w14:textId="77777777" w:rsidR="0079428C" w:rsidRPr="00B06D23" w:rsidRDefault="0079428C" w:rsidP="002E20CA">
      <w:pPr>
        <w:widowControl w:val="0"/>
        <w:numPr>
          <w:ilvl w:val="0"/>
          <w:numId w:val="22"/>
        </w:numPr>
        <w:spacing w:after="120"/>
        <w:rPr>
          <w:lang w:val="es-ES"/>
        </w:rPr>
      </w:pPr>
      <w:r w:rsidRPr="00B06D23">
        <w:rPr>
          <w:lang w:val="es-ES"/>
        </w:rPr>
        <w:t>Contabilidad y Finanzas, se refieren a la gestión financiera y contable de corto y largo plazo, incluyendo, entre otros, la actividad de registro y cierres contables, la planificación y obtención de los recursos financieros, control del endeudamiento de la empresa, pagos a proveedores, pagos de sueldos, liquidación y pago de impuestos.</w:t>
      </w:r>
    </w:p>
    <w:p w14:paraId="60DCC2B0" w14:textId="77777777" w:rsidR="0079428C" w:rsidRPr="00B06D23" w:rsidRDefault="0079428C" w:rsidP="002E20CA">
      <w:pPr>
        <w:widowControl w:val="0"/>
        <w:numPr>
          <w:ilvl w:val="0"/>
          <w:numId w:val="22"/>
        </w:numPr>
        <w:spacing w:after="120"/>
        <w:rPr>
          <w:lang w:val="es-ES"/>
        </w:rPr>
      </w:pPr>
      <w:r w:rsidRPr="00B06D23">
        <w:rPr>
          <w:lang w:val="es-ES"/>
        </w:rPr>
        <w:t>Abastecimiento, se refieren a la gestión de procesos de compra, aprovisionamiento y logística (almacenes, transporte) de los productos y servicios necesarios para el funcionamiento de la EM.</w:t>
      </w:r>
    </w:p>
    <w:p w14:paraId="1025BF2B" w14:textId="77777777" w:rsidR="0079428C" w:rsidRPr="00B06D23" w:rsidRDefault="0079428C" w:rsidP="002E20CA">
      <w:pPr>
        <w:widowControl w:val="0"/>
        <w:numPr>
          <w:ilvl w:val="0"/>
          <w:numId w:val="22"/>
        </w:numPr>
        <w:spacing w:after="120"/>
        <w:rPr>
          <w:lang w:val="es-ES"/>
        </w:rPr>
      </w:pPr>
      <w:r w:rsidRPr="00B06D23">
        <w:rPr>
          <w:lang w:val="es-ES"/>
        </w:rPr>
        <w:t xml:space="preserve">Sistemas Informáticos, se refieren al soporte y administración de los sistemas informáticos corporativos y de las bases de datos, administración del hardware, redes y equipos de comunicaciones, gestión de la seguridad informática, mantenimiento de los computadores centrales, soporte técnico a los usuarios, </w:t>
      </w:r>
    </w:p>
    <w:p w14:paraId="1323974F" w14:textId="77777777" w:rsidR="0079428C" w:rsidRPr="00B06D23" w:rsidRDefault="0079428C" w:rsidP="002E20CA">
      <w:pPr>
        <w:widowControl w:val="0"/>
        <w:numPr>
          <w:ilvl w:val="0"/>
          <w:numId w:val="22"/>
        </w:numPr>
        <w:rPr>
          <w:lang w:val="es-ES"/>
        </w:rPr>
      </w:pPr>
      <w:r w:rsidRPr="00B06D23">
        <w:rPr>
          <w:lang w:val="es-ES"/>
        </w:rPr>
        <w:t>Servicios generales: desarrollar y administrar programas para el manejo documental, servicios de mensajería, fax, servicios de comunicaciones y el servicio de vigilancia.</w:t>
      </w:r>
    </w:p>
    <w:p w14:paraId="57707E80" w14:textId="77777777" w:rsidR="0079428C" w:rsidRPr="006F5B6D" w:rsidRDefault="0079428C" w:rsidP="0079428C">
      <w:pPr>
        <w:pStyle w:val="Ttulo4"/>
      </w:pPr>
      <w:bookmarkStart w:id="69" w:name="_Toc32389952"/>
      <w:bookmarkStart w:id="70" w:name="_Toc34398094"/>
      <w:bookmarkStart w:id="71" w:name="_Toc34687190"/>
      <w:bookmarkStart w:id="72" w:name="_Toc71611011"/>
      <w:bookmarkStart w:id="73" w:name="_Toc71898568"/>
      <w:bookmarkStart w:id="74" w:name="_Toc72820969"/>
      <w:r w:rsidRPr="006F5B6D">
        <w:t>Proceso: comercial y regulación</w:t>
      </w:r>
      <w:bookmarkEnd w:id="69"/>
      <w:bookmarkEnd w:id="70"/>
      <w:bookmarkEnd w:id="71"/>
    </w:p>
    <w:p w14:paraId="11B1D54F" w14:textId="77777777" w:rsidR="0079428C" w:rsidRPr="00B06D23" w:rsidRDefault="0079428C" w:rsidP="0079428C">
      <w:pPr>
        <w:rPr>
          <w:lang w:val="es-ES"/>
        </w:rPr>
      </w:pPr>
      <w:r w:rsidRPr="00B06D23">
        <w:rPr>
          <w:lang w:val="es-ES"/>
        </w:rPr>
        <w:t>Este proceso incluye los siguientes subprocesos:</w:t>
      </w:r>
    </w:p>
    <w:p w14:paraId="6E51053F" w14:textId="77777777" w:rsidR="0079428C" w:rsidRPr="00B06D23" w:rsidRDefault="0079428C" w:rsidP="002E20CA">
      <w:pPr>
        <w:widowControl w:val="0"/>
        <w:numPr>
          <w:ilvl w:val="0"/>
          <w:numId w:val="22"/>
        </w:numPr>
        <w:spacing w:after="120"/>
        <w:rPr>
          <w:lang w:val="es-ES"/>
        </w:rPr>
      </w:pPr>
      <w:r w:rsidRPr="00B06D23">
        <w:rPr>
          <w:lang w:val="es-ES"/>
        </w:rPr>
        <w:t>Gestión Comercial: facturación, recaudación, verificación de las sanciones impuestas por la autoridad competente. Gestión comercial de ampliaciones y acuerdos de conexión. Análisis de informes del CEN y la CNE.</w:t>
      </w:r>
    </w:p>
    <w:p w14:paraId="35434204" w14:textId="77777777" w:rsidR="0079428C" w:rsidRPr="00B06D23" w:rsidRDefault="0079428C" w:rsidP="002E20CA">
      <w:pPr>
        <w:widowControl w:val="0"/>
        <w:numPr>
          <w:ilvl w:val="0"/>
          <w:numId w:val="22"/>
        </w:numPr>
        <w:rPr>
          <w:lang w:val="es-ES"/>
        </w:rPr>
      </w:pPr>
      <w:r w:rsidRPr="00B06D23">
        <w:rPr>
          <w:lang w:val="es-ES"/>
        </w:rPr>
        <w:t>Gestión de regulación: respuesta a los reclamos de los clientes y a la autoridad regulatoria, gestión tarifaria. Análisis de la nueva normativa sectorial. Participación en procesos de revisión de la norma técnica y de consulta ciudadana. Análisis y observación de informes del CEN, la CNE y otros organismos de supervisión y control.</w:t>
      </w:r>
    </w:p>
    <w:p w14:paraId="70485E4E" w14:textId="77777777" w:rsidR="0079428C" w:rsidRPr="00B06D23" w:rsidRDefault="0079428C" w:rsidP="002E20CA">
      <w:pPr>
        <w:widowControl w:val="0"/>
        <w:numPr>
          <w:ilvl w:val="0"/>
          <w:numId w:val="22"/>
        </w:numPr>
        <w:rPr>
          <w:lang w:val="es-ES"/>
        </w:rPr>
      </w:pPr>
      <w:r w:rsidRPr="00B06D23">
        <w:rPr>
          <w:lang w:val="es-ES"/>
        </w:rPr>
        <w:t>Gestión comercial de labores de ampliación: corresponde a las gestiones comerciales vinculadas a la ampliación de las instalaciones.</w:t>
      </w:r>
    </w:p>
    <w:p w14:paraId="2356C1C9" w14:textId="77777777" w:rsidR="0079428C" w:rsidRPr="006F5B6D" w:rsidRDefault="0079428C" w:rsidP="0079428C">
      <w:pPr>
        <w:pStyle w:val="Ttulo4"/>
      </w:pPr>
      <w:bookmarkStart w:id="75" w:name="_Toc32389953"/>
      <w:bookmarkStart w:id="76" w:name="_Toc34398095"/>
      <w:bookmarkStart w:id="77" w:name="_Toc34687191"/>
      <w:r w:rsidRPr="006F5B6D">
        <w:t>Proceso: planificación técnica y normas</w:t>
      </w:r>
      <w:bookmarkEnd w:id="75"/>
      <w:bookmarkEnd w:id="76"/>
      <w:bookmarkEnd w:id="77"/>
    </w:p>
    <w:p w14:paraId="525501C7" w14:textId="77777777" w:rsidR="0079428C" w:rsidRPr="00B06D23" w:rsidRDefault="0079428C" w:rsidP="0079428C">
      <w:pPr>
        <w:rPr>
          <w:lang w:val="es-ES"/>
        </w:rPr>
      </w:pPr>
      <w:r w:rsidRPr="00B06D23">
        <w:rPr>
          <w:lang w:val="es-ES"/>
        </w:rPr>
        <w:t>Este proceso incluye los siguientes subprocesos:</w:t>
      </w:r>
    </w:p>
    <w:p w14:paraId="22320D41" w14:textId="77777777" w:rsidR="0079428C" w:rsidRPr="00B06D23" w:rsidRDefault="0079428C" w:rsidP="002E20CA">
      <w:pPr>
        <w:widowControl w:val="0"/>
        <w:numPr>
          <w:ilvl w:val="0"/>
          <w:numId w:val="22"/>
        </w:numPr>
        <w:spacing w:after="120"/>
        <w:rPr>
          <w:lang w:val="es-ES"/>
        </w:rPr>
      </w:pPr>
      <w:r w:rsidRPr="00B06D23">
        <w:rPr>
          <w:lang w:val="es-ES"/>
        </w:rPr>
        <w:t>Gestión de información técnica de activos: administración y actualización de la información técnica de líneas, estaciones, incluyendo el sistema georreferenciado.</w:t>
      </w:r>
    </w:p>
    <w:p w14:paraId="753347E8" w14:textId="77777777" w:rsidR="0079428C" w:rsidRPr="00B06D23" w:rsidRDefault="0079428C" w:rsidP="002E20CA">
      <w:pPr>
        <w:widowControl w:val="0"/>
        <w:numPr>
          <w:ilvl w:val="0"/>
          <w:numId w:val="22"/>
        </w:numPr>
        <w:rPr>
          <w:lang w:val="es-ES"/>
        </w:rPr>
      </w:pPr>
      <w:r w:rsidRPr="00B06D23">
        <w:rPr>
          <w:lang w:val="es-ES"/>
        </w:rPr>
        <w:t>Planificación técnica y normas: análisis de planificación de la red, y gestión de normas técnicas y ampliaciones. Gestión del plan ambiental: de la empresa para el cumplimiento de la normativa.</w:t>
      </w:r>
    </w:p>
    <w:p w14:paraId="4B5A928E" w14:textId="77777777" w:rsidR="0079428C" w:rsidRPr="006F5B6D" w:rsidRDefault="0079428C" w:rsidP="0079428C">
      <w:pPr>
        <w:pStyle w:val="Ttulo4"/>
      </w:pPr>
      <w:bookmarkStart w:id="78" w:name="_Toc32389954"/>
      <w:bookmarkStart w:id="79" w:name="_Toc34398096"/>
      <w:bookmarkStart w:id="80" w:name="_Toc34687192"/>
      <w:bookmarkEnd w:id="72"/>
      <w:bookmarkEnd w:id="73"/>
      <w:bookmarkEnd w:id="74"/>
      <w:r w:rsidRPr="006F5B6D">
        <w:t>Proceso: explotación</w:t>
      </w:r>
      <w:bookmarkEnd w:id="78"/>
      <w:bookmarkEnd w:id="79"/>
      <w:bookmarkEnd w:id="80"/>
    </w:p>
    <w:p w14:paraId="6CB5346A" w14:textId="77777777" w:rsidR="0079428C" w:rsidRPr="00B06D23" w:rsidRDefault="0079428C" w:rsidP="0079428C">
      <w:pPr>
        <w:rPr>
          <w:lang w:val="es-ES"/>
        </w:rPr>
      </w:pPr>
      <w:r w:rsidRPr="00B06D23">
        <w:rPr>
          <w:lang w:val="es-ES"/>
        </w:rPr>
        <w:t>Este proceso incluye los siguientes subprocesos:</w:t>
      </w:r>
    </w:p>
    <w:p w14:paraId="7EA8B6BF" w14:textId="77777777" w:rsidR="0079428C" w:rsidRPr="00B06D23" w:rsidRDefault="0079428C" w:rsidP="002E20CA">
      <w:pPr>
        <w:widowControl w:val="0"/>
        <w:numPr>
          <w:ilvl w:val="0"/>
          <w:numId w:val="22"/>
        </w:numPr>
        <w:spacing w:after="120"/>
        <w:rPr>
          <w:lang w:val="es-ES"/>
        </w:rPr>
      </w:pPr>
      <w:r w:rsidRPr="00B06D23">
        <w:rPr>
          <w:lang w:val="es-ES"/>
        </w:rPr>
        <w:t>Operación, que incluye la operación de las instalaciones, con la participación de operadores en campo, supervisores y centros de control. También incluye el planeamiento de la operación y la coordinación de la operación con los agentes del mercado. Manejo del centro de control.</w:t>
      </w:r>
    </w:p>
    <w:p w14:paraId="2977C17D" w14:textId="77777777" w:rsidR="0079428C" w:rsidRPr="00B06D23" w:rsidRDefault="0079428C" w:rsidP="002E20CA">
      <w:pPr>
        <w:widowControl w:val="0"/>
        <w:numPr>
          <w:ilvl w:val="0"/>
          <w:numId w:val="22"/>
        </w:numPr>
        <w:spacing w:after="120"/>
        <w:rPr>
          <w:lang w:val="es-ES"/>
        </w:rPr>
      </w:pPr>
      <w:r w:rsidRPr="00B06D23">
        <w:rPr>
          <w:lang w:val="es-ES"/>
        </w:rPr>
        <w:t>Mantenimiento, ejecutar el mantenimiento preventivo, predictivo y correctivo, efectuar el control de gestión de la actividad de mantenimiento a través de estadísticas de fallas de líneas y subestaciones.</w:t>
      </w:r>
    </w:p>
    <w:p w14:paraId="724694E0" w14:textId="77777777" w:rsidR="0079428C" w:rsidRPr="00B06D23" w:rsidRDefault="0079428C" w:rsidP="002E20CA">
      <w:pPr>
        <w:widowControl w:val="0"/>
        <w:numPr>
          <w:ilvl w:val="0"/>
          <w:numId w:val="22"/>
        </w:numPr>
        <w:rPr>
          <w:lang w:val="es-ES"/>
        </w:rPr>
      </w:pPr>
      <w:r w:rsidRPr="00B06D23">
        <w:rPr>
          <w:lang w:val="es-ES"/>
        </w:rPr>
        <w:t>Ingeniería de la Explotación, referida a la planificación de las actividades de OyM, control y supervisión de las mismas, manejo de los sistemas de apoyo, previsiones de materiales y herramientas, seguimiento de calidad de servicio. Se consideran dentro de esta gerencia las labores de ampliación de contenido técnico.</w:t>
      </w:r>
    </w:p>
    <w:p w14:paraId="18CA459F" w14:textId="77777777" w:rsidR="0079428C" w:rsidRPr="00B06D23" w:rsidRDefault="0079428C" w:rsidP="002E20CA">
      <w:pPr>
        <w:widowControl w:val="0"/>
        <w:numPr>
          <w:ilvl w:val="0"/>
          <w:numId w:val="22"/>
        </w:numPr>
        <w:rPr>
          <w:lang w:val="es-ES"/>
        </w:rPr>
      </w:pPr>
      <w:r w:rsidRPr="00B06D23">
        <w:rPr>
          <w:lang w:val="es-ES"/>
        </w:rPr>
        <w:t>Medio ambiente: define y controla que se cumplan las políticas de medio ambiente de la empresa modelo interactuando con el resto de las áreas operativas.</w:t>
      </w:r>
    </w:p>
    <w:p w14:paraId="22DD9C23" w14:textId="77777777" w:rsidR="0079428C" w:rsidRPr="00B06D23" w:rsidRDefault="0079428C" w:rsidP="002E20CA">
      <w:pPr>
        <w:widowControl w:val="0"/>
        <w:numPr>
          <w:ilvl w:val="0"/>
          <w:numId w:val="22"/>
        </w:numPr>
        <w:rPr>
          <w:lang w:val="es-ES"/>
        </w:rPr>
      </w:pPr>
      <w:r w:rsidRPr="00B06D23">
        <w:rPr>
          <w:lang w:val="es-ES"/>
        </w:rPr>
        <w:t>Prevención de riesgos: define y controla las políticas de prevención de riesgos de la empresa modelo interactuando con el resto de las áreas operativas.</w:t>
      </w:r>
    </w:p>
    <w:p w14:paraId="2ABBA71C" w14:textId="77777777" w:rsidR="0079428C" w:rsidRPr="00B06D23" w:rsidRDefault="0079428C" w:rsidP="0079428C">
      <w:pPr>
        <w:widowControl w:val="0"/>
        <w:spacing w:after="60"/>
        <w:rPr>
          <w:lang w:val="es-ES"/>
        </w:rPr>
      </w:pPr>
      <w:r w:rsidRPr="00B06D23">
        <w:rPr>
          <w:lang w:val="es-ES"/>
        </w:rPr>
        <w:t>Sobre la base del análisis se determina:</w:t>
      </w:r>
    </w:p>
    <w:p w14:paraId="7C06A014" w14:textId="77777777" w:rsidR="0079428C" w:rsidRPr="00B06D23" w:rsidRDefault="0079428C" w:rsidP="002E20CA">
      <w:pPr>
        <w:widowControl w:val="0"/>
        <w:numPr>
          <w:ilvl w:val="0"/>
          <w:numId w:val="23"/>
        </w:numPr>
        <w:spacing w:after="120"/>
        <w:ind w:left="567" w:hanging="567"/>
        <w:rPr>
          <w:lang w:val="es-ES"/>
        </w:rPr>
      </w:pPr>
      <w:r w:rsidRPr="00B06D23">
        <w:rPr>
          <w:lang w:val="es-ES"/>
        </w:rPr>
        <w:t>La estructura organizacional</w:t>
      </w:r>
    </w:p>
    <w:p w14:paraId="25382756" w14:textId="77777777" w:rsidR="0079428C" w:rsidRPr="00B06D23" w:rsidRDefault="0079428C" w:rsidP="002E20CA">
      <w:pPr>
        <w:widowControl w:val="0"/>
        <w:numPr>
          <w:ilvl w:val="0"/>
          <w:numId w:val="23"/>
        </w:numPr>
        <w:spacing w:after="120"/>
        <w:ind w:left="567" w:hanging="567"/>
        <w:rPr>
          <w:lang w:val="es-ES"/>
        </w:rPr>
      </w:pPr>
      <w:r w:rsidRPr="00B06D23">
        <w:rPr>
          <w:lang w:val="es-ES"/>
        </w:rPr>
        <w:t>La dotación eficiente de personal</w:t>
      </w:r>
    </w:p>
    <w:p w14:paraId="7649E2AF" w14:textId="77777777" w:rsidR="0079428C" w:rsidRPr="00B06D23" w:rsidRDefault="0079428C" w:rsidP="002E20CA">
      <w:pPr>
        <w:widowControl w:val="0"/>
        <w:numPr>
          <w:ilvl w:val="0"/>
          <w:numId w:val="23"/>
        </w:numPr>
        <w:spacing w:after="120"/>
        <w:ind w:left="567" w:hanging="567"/>
        <w:rPr>
          <w:lang w:val="es-ES"/>
        </w:rPr>
      </w:pPr>
      <w:r w:rsidRPr="00B06D23">
        <w:rPr>
          <w:lang w:val="es-ES"/>
        </w:rPr>
        <w:t>El organigrama</w:t>
      </w:r>
    </w:p>
    <w:p w14:paraId="0B8A489E" w14:textId="77777777" w:rsidR="0079428C" w:rsidRPr="00B06D23" w:rsidRDefault="0079428C" w:rsidP="002E20CA">
      <w:pPr>
        <w:widowControl w:val="0"/>
        <w:numPr>
          <w:ilvl w:val="0"/>
          <w:numId w:val="23"/>
        </w:numPr>
        <w:spacing w:after="120"/>
        <w:ind w:left="567" w:hanging="567"/>
        <w:rPr>
          <w:lang w:val="es-ES"/>
        </w:rPr>
      </w:pPr>
      <w:r w:rsidRPr="00B06D23">
        <w:rPr>
          <w:lang w:val="es-ES"/>
        </w:rPr>
        <w:t>La definición de las funciones de cada gerencia, subgerencia,  departamento, y sección de cada área de la empresa.</w:t>
      </w:r>
    </w:p>
    <w:p w14:paraId="53107E62" w14:textId="77777777" w:rsidR="0079428C" w:rsidRPr="00B06D23" w:rsidRDefault="0079428C" w:rsidP="002E20CA">
      <w:pPr>
        <w:widowControl w:val="0"/>
        <w:numPr>
          <w:ilvl w:val="0"/>
          <w:numId w:val="23"/>
        </w:numPr>
        <w:spacing w:after="120"/>
        <w:ind w:left="567" w:hanging="567"/>
        <w:rPr>
          <w:lang w:val="es-ES"/>
        </w:rPr>
      </w:pPr>
      <w:r w:rsidRPr="00B06D23">
        <w:rPr>
          <w:lang w:val="es-ES"/>
        </w:rPr>
        <w:t>Las tareas y responsabilidades de cada uno de los cargos que conforman la organización empresaria.</w:t>
      </w:r>
    </w:p>
    <w:p w14:paraId="3ACD5D27" w14:textId="77777777" w:rsidR="0079428C" w:rsidRPr="00B06D23" w:rsidRDefault="0079428C" w:rsidP="002E20CA">
      <w:pPr>
        <w:widowControl w:val="0"/>
        <w:numPr>
          <w:ilvl w:val="0"/>
          <w:numId w:val="23"/>
        </w:numPr>
        <w:spacing w:after="120"/>
        <w:ind w:left="567" w:hanging="567"/>
        <w:rPr>
          <w:lang w:val="es-ES"/>
        </w:rPr>
      </w:pPr>
      <w:r w:rsidRPr="00B06D23">
        <w:rPr>
          <w:lang w:val="es-ES"/>
        </w:rPr>
        <w:t>Análisis de tercerización de actividades.</w:t>
      </w:r>
    </w:p>
    <w:p w14:paraId="737B7C0E" w14:textId="77777777" w:rsidR="0079428C" w:rsidRPr="00B06D23" w:rsidRDefault="0079428C" w:rsidP="002E20CA">
      <w:pPr>
        <w:widowControl w:val="0"/>
        <w:numPr>
          <w:ilvl w:val="0"/>
          <w:numId w:val="23"/>
        </w:numPr>
        <w:spacing w:after="120"/>
        <w:ind w:left="567" w:hanging="567"/>
        <w:rPr>
          <w:lang w:val="es-ES"/>
        </w:rPr>
      </w:pPr>
      <w:r w:rsidRPr="00B06D23">
        <w:rPr>
          <w:lang w:val="es-ES"/>
        </w:rPr>
        <w:t>Descripción de las tareas desarrolladas por el personal propio</w:t>
      </w:r>
    </w:p>
    <w:p w14:paraId="63530B96" w14:textId="77777777" w:rsidR="0079428C" w:rsidRPr="00B06D23" w:rsidRDefault="0079428C" w:rsidP="002E20CA">
      <w:pPr>
        <w:widowControl w:val="0"/>
        <w:numPr>
          <w:ilvl w:val="0"/>
          <w:numId w:val="23"/>
        </w:numPr>
        <w:spacing w:after="120"/>
        <w:ind w:left="567" w:hanging="567"/>
        <w:rPr>
          <w:lang w:val="es-ES"/>
        </w:rPr>
      </w:pPr>
      <w:r w:rsidRPr="00B06D23">
        <w:rPr>
          <w:lang w:val="es-ES"/>
        </w:rPr>
        <w:t>Descripción de las tareas desarrolladas por el personal contratista</w:t>
      </w:r>
    </w:p>
    <w:p w14:paraId="03F065EB" w14:textId="77777777" w:rsidR="0079428C" w:rsidRPr="00B06D23" w:rsidRDefault="0079428C" w:rsidP="002E20CA">
      <w:pPr>
        <w:widowControl w:val="0"/>
        <w:numPr>
          <w:ilvl w:val="0"/>
          <w:numId w:val="23"/>
        </w:numPr>
        <w:ind w:left="567" w:hanging="567"/>
        <w:rPr>
          <w:lang w:val="es-ES"/>
        </w:rPr>
      </w:pPr>
      <w:r w:rsidRPr="00B06D23">
        <w:rPr>
          <w:lang w:val="es-ES"/>
        </w:rPr>
        <w:t>El desglose de las tareas anuales, y dedicación de tiempo.</w:t>
      </w:r>
    </w:p>
    <w:p w14:paraId="3882957B" w14:textId="77777777" w:rsidR="0079428C" w:rsidRPr="00B06D23" w:rsidRDefault="0079428C" w:rsidP="0079428C">
      <w:pPr>
        <w:rPr>
          <w:lang w:val="es-ES"/>
        </w:rPr>
      </w:pPr>
      <w:r w:rsidRPr="00B06D23">
        <w:rPr>
          <w:lang w:val="es-ES"/>
        </w:rPr>
        <w:t>La organización y cantidad del personal de plantilla es desarrollada teniendo en cuenta la escala de la empresa de transmisión nacional, la cantidad de cuadrillas, el despliegue territorial y la experiencia en diseño de organizaciones de empresas de transmisión del sector eléctrico chileno y otras empresas de la región.</w:t>
      </w:r>
    </w:p>
    <w:p w14:paraId="04AD5080" w14:textId="77777777" w:rsidR="0079428C" w:rsidRPr="00B06D23" w:rsidRDefault="0079428C" w:rsidP="0079428C">
      <w:pPr>
        <w:rPr>
          <w:lang w:val="es-ES"/>
        </w:rPr>
      </w:pPr>
      <w:r w:rsidRPr="00B06D23">
        <w:rPr>
          <w:lang w:val="es-ES"/>
        </w:rPr>
        <w:t xml:space="preserve">Para el dimensionamiento de la organización se considerarón zonas para la administración de las tareas operativas. </w:t>
      </w:r>
    </w:p>
    <w:p w14:paraId="07F5F68D" w14:textId="6BAD7AC3" w:rsidR="0079428C" w:rsidRPr="00B06D23" w:rsidRDefault="009D12B8" w:rsidP="0079428C">
      <w:pPr>
        <w:rPr>
          <w:lang w:val="es-ES"/>
        </w:rPr>
      </w:pPr>
      <w:r w:rsidRPr="005A1E5C">
        <w:rPr>
          <w:lang w:val="es-ES"/>
        </w:rPr>
        <w:t>Dichas zonas se definieron en función de la cobertura geográfica de subestaciones y líneas de transmisión.</w:t>
      </w:r>
      <w:r w:rsidRPr="00B06D23">
        <w:rPr>
          <w:lang w:val="es-ES"/>
        </w:rPr>
        <w:t xml:space="preserve"> </w:t>
      </w:r>
    </w:p>
    <w:p w14:paraId="02002D9B" w14:textId="77777777" w:rsidR="0079428C" w:rsidRPr="00B06D23" w:rsidRDefault="0079428C" w:rsidP="0079428C">
      <w:pPr>
        <w:rPr>
          <w:lang w:val="es-ES"/>
        </w:rPr>
      </w:pPr>
      <w:r w:rsidRPr="00B06D23">
        <w:rPr>
          <w:lang w:val="es-ES"/>
        </w:rPr>
        <w:t>En cada zona se consideraron las Sedes Técnicas desde donde parte el contratista con sus cuadrillas de terreno para las intervenciones de mantenimiento preventivo y a demanda requerido por las instalaciones.</w:t>
      </w:r>
    </w:p>
    <w:p w14:paraId="5BE2577E" w14:textId="77777777" w:rsidR="0079428C" w:rsidRPr="00B06D23" w:rsidRDefault="0079428C" w:rsidP="0079428C">
      <w:pPr>
        <w:rPr>
          <w:lang w:val="es-ES"/>
        </w:rPr>
      </w:pPr>
      <w:r w:rsidRPr="00B06D23">
        <w:rPr>
          <w:lang w:val="es-ES"/>
        </w:rPr>
        <w:t>Por otra parte se dimensionaron las oficinas regionales y sus sedes operativas donde se asienta el personal operativo de cada unidad regional cuya función es la supervisión y control de las cuadrillas de terreno.</w:t>
      </w:r>
    </w:p>
    <w:p w14:paraId="154361DB" w14:textId="77777777" w:rsidR="0079428C" w:rsidRPr="00B06D23" w:rsidRDefault="0079428C" w:rsidP="0079428C">
      <w:pPr>
        <w:rPr>
          <w:lang w:val="es-ES"/>
        </w:rPr>
      </w:pPr>
      <w:r w:rsidRPr="00B06D23">
        <w:rPr>
          <w:lang w:val="es-ES"/>
        </w:rPr>
        <w:t xml:space="preserve">La estructura organizacional adoptada para el área de explotación es la de Especialidad Centralizada y Ejecución Descentralizada. En ella se mantienen la centralización de la especialización, con su beneficio de unidad de mando en toda el área de operaciones, con una ejecución descentralizada de la misma. </w:t>
      </w:r>
    </w:p>
    <w:p w14:paraId="550DDA4F" w14:textId="77777777" w:rsidR="0079428C" w:rsidRPr="00B06D23" w:rsidRDefault="0079428C" w:rsidP="0079428C">
      <w:pPr>
        <w:rPr>
          <w:lang w:val="es-ES"/>
        </w:rPr>
      </w:pPr>
      <w:r w:rsidRPr="00B06D23">
        <w:rPr>
          <w:lang w:val="es-ES"/>
        </w:rPr>
        <w:t>La ejecución descentralizada se justifica debido a la dispersión de los activos que implica grandes distancias de traslado por lo que se requiere regionalizar las funciones de  OyM para mantener los tiempos de respuesta acordes con los requerimientos de calidad de servicio que la empresa debe cumplir considerando la ubicación de los activos instalados</w:t>
      </w:r>
    </w:p>
    <w:p w14:paraId="0F7CFB0B" w14:textId="32458750" w:rsidR="0079428C" w:rsidRPr="00B06D23" w:rsidRDefault="0079428C" w:rsidP="0079428C">
      <w:pPr>
        <w:rPr>
          <w:lang w:val="es-ES"/>
        </w:rPr>
      </w:pPr>
      <w:r w:rsidRPr="00B06D23">
        <w:rPr>
          <w:lang w:val="es-ES"/>
        </w:rPr>
        <w:t>La descentralización se logra mediante la cr</w:t>
      </w:r>
      <w:r w:rsidR="003C5C69">
        <w:rPr>
          <w:lang w:val="es-ES"/>
        </w:rPr>
        <w:t>e</w:t>
      </w:r>
      <w:r w:rsidRPr="00B06D23">
        <w:rPr>
          <w:lang w:val="es-ES"/>
        </w:rPr>
        <w:t xml:space="preserve">ación de 4 unidades territoriales regionales (Norte, Centro, Centro Sur y Sur)  con funciones de operación, mantenimiento, y administración que dan cobertura geográfica para la atención de las instalaciones del sistema </w:t>
      </w:r>
      <w:r w:rsidR="002D03BC">
        <w:rPr>
          <w:lang w:val="es-ES"/>
        </w:rPr>
        <w:t>eléctrico nacional</w:t>
      </w:r>
      <w:r w:rsidRPr="00B06D23">
        <w:rPr>
          <w:lang w:val="es-ES"/>
        </w:rPr>
        <w:t>.</w:t>
      </w:r>
    </w:p>
    <w:p w14:paraId="48B78F84" w14:textId="5F36985E" w:rsidR="0079428C" w:rsidRPr="00B06D23" w:rsidRDefault="009D12B8" w:rsidP="0079428C">
      <w:pPr>
        <w:rPr>
          <w:lang w:val="es-ES"/>
        </w:rPr>
      </w:pPr>
      <w:r w:rsidRPr="005A1E5C">
        <w:rPr>
          <w:lang w:val="es-ES"/>
        </w:rPr>
        <w:t>En el Anexo COMA_1_Organización Empresaria</w:t>
      </w:r>
      <w:r w:rsidR="0079428C" w:rsidRPr="00B06D23">
        <w:rPr>
          <w:lang w:val="es-ES"/>
        </w:rPr>
        <w:t xml:space="preserve"> se presenta el desarrollo del diseño organizacional de la empresa modelo para atender las instalaciones y las áreas de apoyo.</w:t>
      </w:r>
    </w:p>
    <w:p w14:paraId="45098F79" w14:textId="77777777" w:rsidR="0079428C" w:rsidRPr="00B06D23" w:rsidRDefault="0079428C" w:rsidP="0079428C">
      <w:pPr>
        <w:rPr>
          <w:lang w:val="es-ES"/>
        </w:rPr>
      </w:pPr>
      <w:r w:rsidRPr="00B06D23">
        <w:rPr>
          <w:lang w:val="es-ES"/>
        </w:rPr>
        <w:t>En el Anexo citado se presenta el desarrollo detallado del organización empresaria, la cantidad de puestos, función y responsabilidades de cada uno para cada una de las áreas de la EM.</w:t>
      </w:r>
    </w:p>
    <w:p w14:paraId="1AD1EA9A" w14:textId="77777777" w:rsidR="0079428C" w:rsidRPr="00B06D23" w:rsidRDefault="0079428C" w:rsidP="0079428C">
      <w:pPr>
        <w:rPr>
          <w:lang w:val="es-ES"/>
        </w:rPr>
      </w:pPr>
      <w:r w:rsidRPr="00B06D23">
        <w:rPr>
          <w:lang w:val="es-ES"/>
        </w:rPr>
        <w:t xml:space="preserve">El dimensionamiento inicial de la estructura organizacional fué contrastado con la estructura presentada y aprobada en el estudio del año 2013. </w:t>
      </w:r>
    </w:p>
    <w:p w14:paraId="0221E107" w14:textId="77777777" w:rsidR="0079428C" w:rsidRPr="00F465C5" w:rsidRDefault="0079428C" w:rsidP="0079428C">
      <w:pPr>
        <w:pStyle w:val="Ttulo3"/>
      </w:pPr>
      <w:bookmarkStart w:id="81" w:name="_Toc389807373"/>
      <w:bookmarkStart w:id="82" w:name="_Toc391381234"/>
      <w:bookmarkStart w:id="83" w:name="_Toc392764065"/>
      <w:bookmarkStart w:id="84" w:name="_Toc393791192"/>
      <w:bookmarkStart w:id="85" w:name="_Toc396735425"/>
      <w:bookmarkStart w:id="86" w:name="_Toc397926159"/>
      <w:bookmarkStart w:id="87" w:name="_Toc404945293"/>
      <w:bookmarkStart w:id="88" w:name="_Toc32389955"/>
      <w:bookmarkStart w:id="89" w:name="_Toc34398097"/>
      <w:bookmarkStart w:id="90" w:name="_Toc34687193"/>
      <w:r w:rsidRPr="00F465C5">
        <w:t>Diseño y dimensionamiento de las actividades de operación y mantenimiento en terreno</w:t>
      </w:r>
      <w:bookmarkEnd w:id="81"/>
      <w:bookmarkEnd w:id="82"/>
      <w:bookmarkEnd w:id="83"/>
      <w:bookmarkEnd w:id="84"/>
      <w:bookmarkEnd w:id="85"/>
      <w:bookmarkEnd w:id="86"/>
      <w:bookmarkEnd w:id="87"/>
      <w:bookmarkEnd w:id="88"/>
      <w:bookmarkEnd w:id="89"/>
      <w:bookmarkEnd w:id="90"/>
    </w:p>
    <w:p w14:paraId="68C27D2B" w14:textId="77777777" w:rsidR="0079428C" w:rsidRPr="00B06D23" w:rsidRDefault="0079428C" w:rsidP="0079428C">
      <w:pPr>
        <w:rPr>
          <w:lang w:val="es-ES"/>
        </w:rPr>
      </w:pPr>
      <w:bookmarkStart w:id="91" w:name="_Toc149716337"/>
      <w:r w:rsidRPr="00B06D23">
        <w:rPr>
          <w:lang w:val="es-ES"/>
        </w:rPr>
        <w:t>Los principales procesos  y suprocesos de terreno son los de</w:t>
      </w:r>
      <w:bookmarkEnd w:id="91"/>
      <w:r w:rsidRPr="00B06D23">
        <w:rPr>
          <w:lang w:val="es-ES"/>
        </w:rPr>
        <w:t xml:space="preserve"> explotación que se realizan sobre los activos y que son necesarios para cumplir con los estándares de calidad de servicio definidos en la norma técnica y que fueron especificados en el capitulo anterior.</w:t>
      </w:r>
    </w:p>
    <w:p w14:paraId="0848BA3C" w14:textId="77777777" w:rsidR="0079428C" w:rsidRPr="00B06D23" w:rsidRDefault="0079428C" w:rsidP="0079428C">
      <w:pPr>
        <w:rPr>
          <w:lang w:val="es-ES"/>
        </w:rPr>
      </w:pPr>
      <w:r w:rsidRPr="00B06D23">
        <w:rPr>
          <w:lang w:val="es-ES"/>
        </w:rPr>
        <w:t>Para calcular los recursos se requieren identificar las tareas que comprenden estos subprocesos para cada UC (unidad constructiva).</w:t>
      </w:r>
    </w:p>
    <w:p w14:paraId="691D5195" w14:textId="77777777" w:rsidR="0079428C" w:rsidRPr="00B06D23" w:rsidRDefault="0079428C" w:rsidP="0079428C">
      <w:pPr>
        <w:rPr>
          <w:lang w:val="es-ES"/>
        </w:rPr>
      </w:pPr>
      <w:r w:rsidRPr="00B06D23">
        <w:rPr>
          <w:lang w:val="es-ES"/>
        </w:rPr>
        <w:t>Las principales UC son: líneas, paños, transformadores de potencia, transformadores de corriente y tensión, equipos de compensación (reactores, capacitores, CER, STATCOM), infraestructura de comunicación, etc.</w:t>
      </w:r>
    </w:p>
    <w:p w14:paraId="24CFAD67" w14:textId="77777777" w:rsidR="0079428C" w:rsidRPr="00B06D23" w:rsidRDefault="0079428C" w:rsidP="0079428C">
      <w:pPr>
        <w:rPr>
          <w:lang w:val="es-ES"/>
        </w:rPr>
      </w:pPr>
      <w:r w:rsidRPr="00B06D23">
        <w:rPr>
          <w:lang w:val="es-ES"/>
        </w:rPr>
        <w:t>A los efectos de identificar las tareas de cada UC se definen sus componentes, que son las unidades funcionales objeto de mantenimiento.</w:t>
      </w:r>
    </w:p>
    <w:p w14:paraId="4E3C0DF3" w14:textId="77777777" w:rsidR="0079428C" w:rsidRPr="00B06D23" w:rsidRDefault="0079428C" w:rsidP="0079428C">
      <w:pPr>
        <w:rPr>
          <w:lang w:val="es-ES"/>
        </w:rPr>
      </w:pPr>
      <w:r w:rsidRPr="00B06D23">
        <w:rPr>
          <w:lang w:val="es-ES"/>
        </w:rPr>
        <w:t>Por ejemplo, los componentes de un paño son los interruptores, desconectadores, transformadores de corriente, protecciones, etc. En el caso de una línea aérea de transmisión está conformada por las siguientes componentes: conductores, aisladores de retención, aisladores de suspensión, estructuras, grapas y herrajes, etc y para cada una de estas unidades se definen las tareas que integran los subprocesos mencionados.</w:t>
      </w:r>
    </w:p>
    <w:p w14:paraId="70F012B1" w14:textId="77777777" w:rsidR="0079428C" w:rsidRPr="00B06D23" w:rsidRDefault="0079428C" w:rsidP="0079428C">
      <w:pPr>
        <w:rPr>
          <w:lang w:val="es-ES"/>
        </w:rPr>
      </w:pPr>
      <w:r w:rsidRPr="00B06D23">
        <w:rPr>
          <w:lang w:val="es-ES"/>
        </w:rPr>
        <w:t>La definición de las tareas de cada componente funcional depende de sus:</w:t>
      </w:r>
    </w:p>
    <w:p w14:paraId="450A1453" w14:textId="77777777" w:rsidR="0079428C" w:rsidRPr="00B06D23" w:rsidRDefault="0079428C" w:rsidP="002E20CA">
      <w:pPr>
        <w:numPr>
          <w:ilvl w:val="0"/>
          <w:numId w:val="32"/>
        </w:numPr>
        <w:spacing w:line="259" w:lineRule="auto"/>
        <w:ind w:left="360"/>
        <w:rPr>
          <w:lang w:val="es-ES"/>
        </w:rPr>
      </w:pPr>
      <w:r w:rsidRPr="00B06D23">
        <w:rPr>
          <w:lang w:val="es-ES"/>
        </w:rPr>
        <w:t xml:space="preserve">Factores de dimensionamiento: tales como capacidad nominal, nivel de tensión, etc. </w:t>
      </w:r>
    </w:p>
    <w:p w14:paraId="2EBA9017" w14:textId="77777777" w:rsidR="0079428C" w:rsidRPr="00B06D23" w:rsidRDefault="0079428C" w:rsidP="002E20CA">
      <w:pPr>
        <w:numPr>
          <w:ilvl w:val="0"/>
          <w:numId w:val="32"/>
        </w:numPr>
        <w:spacing w:line="259" w:lineRule="auto"/>
        <w:ind w:left="360"/>
        <w:rPr>
          <w:lang w:val="es-ES"/>
        </w:rPr>
      </w:pPr>
      <w:r w:rsidRPr="00B06D23">
        <w:rPr>
          <w:lang w:val="es-ES"/>
        </w:rPr>
        <w:t>Factores técnicos: como el tipo constructivo, y las acciones tales como envejecimiento, corrosión, fatiga de materiales, etc.</w:t>
      </w:r>
    </w:p>
    <w:p w14:paraId="46369753" w14:textId="77777777" w:rsidR="0079428C" w:rsidRPr="00B06D23" w:rsidRDefault="0079428C" w:rsidP="002E20CA">
      <w:pPr>
        <w:numPr>
          <w:ilvl w:val="0"/>
          <w:numId w:val="32"/>
        </w:numPr>
        <w:spacing w:line="259" w:lineRule="auto"/>
        <w:ind w:left="360"/>
        <w:rPr>
          <w:lang w:val="es-ES"/>
        </w:rPr>
      </w:pPr>
      <w:r w:rsidRPr="00B06D23">
        <w:rPr>
          <w:lang w:val="es-ES"/>
        </w:rPr>
        <w:t xml:space="preserve">Factores del contexto operacional: nivel descargas atmosféricas, vegetación, acción de pájaros, contaminación salina, industrial, etc. </w:t>
      </w:r>
    </w:p>
    <w:p w14:paraId="3758243E" w14:textId="6C205FDB" w:rsidR="0079428C" w:rsidRPr="00B06D23" w:rsidRDefault="002327DF" w:rsidP="0079428C">
      <w:pPr>
        <w:rPr>
          <w:lang w:val="es-ES"/>
        </w:rPr>
      </w:pPr>
      <w:r w:rsidRPr="005A1E5C">
        <w:rPr>
          <w:lang w:val="es-ES"/>
        </w:rPr>
        <w:t>Los factores técnicos fueron tenidos en cuenta en la definición de las tareas y frecuencias de mantenimiento,</w:t>
      </w:r>
      <w:r>
        <w:rPr>
          <w:lang w:val="es-ES"/>
        </w:rPr>
        <w:t xml:space="preserve"> y</w:t>
      </w:r>
      <w:r w:rsidR="0079428C" w:rsidRPr="00B06D23">
        <w:rPr>
          <w:lang w:val="es-ES"/>
        </w:rPr>
        <w:t xml:space="preserve"> según el tipo de UC, su tecnología y considerando antecedentes regulatorios en la materia. Por ejemplo, para el mantenimiento de interruptores se consideró si es pequeño volumen de aceite o SF6 u otra tecnología y se determinaron las tareas, frecuencias y costos asociados a cada tipo constructivo.</w:t>
      </w:r>
    </w:p>
    <w:p w14:paraId="4B73373D" w14:textId="77777777" w:rsidR="0079428C" w:rsidRPr="00B06D23" w:rsidRDefault="0079428C" w:rsidP="0079428C">
      <w:pPr>
        <w:rPr>
          <w:lang w:val="es-ES"/>
        </w:rPr>
      </w:pPr>
      <w:r w:rsidRPr="00B06D23">
        <w:rPr>
          <w:lang w:val="es-ES"/>
        </w:rPr>
        <w:t xml:space="preserve">Los factores del contexto operacional (variables ambientales o de terceros) con impacto en el COMA fueron considerados definiendo las tareas de mantenimiento preventivo o correctivo requeridas para evitar y/o corregir los efectos que dichas variables provocan en los activos y calculando los costos pertinentes. </w:t>
      </w:r>
    </w:p>
    <w:p w14:paraId="1E1AFB66" w14:textId="77777777" w:rsidR="0079428C" w:rsidRPr="00B06D23" w:rsidRDefault="0079428C" w:rsidP="0079428C">
      <w:pPr>
        <w:rPr>
          <w:lang w:val="es-ES"/>
        </w:rPr>
      </w:pPr>
      <w:r w:rsidRPr="00B06D23">
        <w:rPr>
          <w:lang w:val="es-ES"/>
        </w:rPr>
        <w:t>Por ejemplo, en el caso de contaminación salina se determinaron las instalaciones que por este motivo deben ser sometidas a lavado de aisladores, su frecuencia de ejecución, y se calcularon los costos pertinentes de esta actividad considerando el costo de mano de obra, materiales y equipos que su ejecución eficiente demande.</w:t>
      </w:r>
    </w:p>
    <w:p w14:paraId="0C2B4289" w14:textId="77777777" w:rsidR="0079428C" w:rsidRPr="00B06D23" w:rsidRDefault="0079428C" w:rsidP="0079428C">
      <w:pPr>
        <w:rPr>
          <w:lang w:val="es-ES"/>
        </w:rPr>
      </w:pPr>
      <w:r w:rsidRPr="00B06D23">
        <w:rPr>
          <w:lang w:val="es-ES"/>
        </w:rPr>
        <w:t>Con respecto a las restricciones geográficas se consideró  los tiempos de traslado para llegar a los activos (y retorno) para realizar los mantenimientos preventivos o de emergencia, considerando la ubicación de las Sedes Técnicas de donde parte el contratista, y el emplazamiento donde se deben realizar las tareas de mantenimiento. Adicionalmente se consideró el tiempo de traslado entre tareas en caso de mantenimientos programados.</w:t>
      </w:r>
    </w:p>
    <w:p w14:paraId="72A44A5F" w14:textId="77777777" w:rsidR="0079428C" w:rsidRPr="00B06D23" w:rsidRDefault="0079428C" w:rsidP="0079428C">
      <w:pPr>
        <w:rPr>
          <w:lang w:val="es-ES"/>
        </w:rPr>
      </w:pPr>
      <w:r w:rsidRPr="00B06D23">
        <w:rPr>
          <w:lang w:val="es-ES"/>
        </w:rPr>
        <w:t>Para calcular los recursos físicos se definieron para cada tarea el personal que integra la cuadrilla con la capacitación y herramientas adecuadas, los vehículos requeridos, los materiales y el tiempo total para ejecutar la tarea incluyendo el tiempo de traslado desde su sede técnica y el tiempo de traslado entre tareas para tareas programadas.</w:t>
      </w:r>
    </w:p>
    <w:p w14:paraId="23C61F17" w14:textId="77777777" w:rsidR="0079428C" w:rsidRPr="00B06D23" w:rsidRDefault="0079428C" w:rsidP="0079428C">
      <w:pPr>
        <w:rPr>
          <w:lang w:val="es-ES"/>
        </w:rPr>
      </w:pPr>
      <w:r w:rsidRPr="00B06D23">
        <w:rPr>
          <w:lang w:val="es-ES"/>
        </w:rPr>
        <w:t>Sobre la base de los estándares eficientes de ejecución de tareas y su frecuencia anual, se calcularon los recursos físicos (personal, materiales, herramientas y vehículos) por tarea para cada UC de la EM.</w:t>
      </w:r>
    </w:p>
    <w:p w14:paraId="02A38382" w14:textId="77777777" w:rsidR="0079428C" w:rsidRPr="00B06D23" w:rsidRDefault="0079428C" w:rsidP="0079428C">
      <w:pPr>
        <w:rPr>
          <w:lang w:val="es-ES"/>
        </w:rPr>
      </w:pPr>
      <w:bookmarkStart w:id="92" w:name="_Toc149716232"/>
      <w:r w:rsidRPr="00B06D23">
        <w:rPr>
          <w:lang w:val="es-ES"/>
        </w:rPr>
        <w:t>Luego considerando el tipo y cantidad de las instalaciones del sistema eléctrico se realizó el dimensionamiento de los recursos requeridos para la operación y mantenimiento de las instalaciones estableciendo las actividades (cantidad y características), requerimientos de recursos humanos, instalaciones asociadas, equipamiento, materiales y repuestos, que permitan desarrollar las labores en forma óptima y eficiente.</w:t>
      </w:r>
    </w:p>
    <w:p w14:paraId="55F8D702" w14:textId="77777777" w:rsidR="0079428C" w:rsidRPr="00B06D23" w:rsidRDefault="0079428C" w:rsidP="0079428C">
      <w:pPr>
        <w:rPr>
          <w:lang w:val="es-ES"/>
        </w:rPr>
      </w:pPr>
      <w:r w:rsidRPr="00B06D23">
        <w:rPr>
          <w:lang w:val="es-ES"/>
        </w:rPr>
        <w:t>El cálculo de los recursos físicos requeridos se realiza mediante estándares eficientes de productividad y adaptados a la realidad de la empresa.</w:t>
      </w:r>
      <w:bookmarkEnd w:id="92"/>
      <w:r w:rsidRPr="00B06D23">
        <w:rPr>
          <w:lang w:val="es-ES"/>
        </w:rPr>
        <w:t xml:space="preserve"> Por ejemplo, para el cálculo de los procesos de OyM se desarrollaron los siguientes pasos:</w:t>
      </w:r>
    </w:p>
    <w:p w14:paraId="465D5E31" w14:textId="77777777" w:rsidR="0079428C" w:rsidRPr="00B06D23" w:rsidRDefault="0079428C" w:rsidP="002E20CA">
      <w:pPr>
        <w:numPr>
          <w:ilvl w:val="0"/>
          <w:numId w:val="21"/>
        </w:numPr>
        <w:spacing w:after="120" w:line="259" w:lineRule="auto"/>
        <w:jc w:val="left"/>
        <w:rPr>
          <w:lang w:val="es-ES"/>
        </w:rPr>
      </w:pPr>
      <w:bookmarkStart w:id="93" w:name="_Toc149716237"/>
      <w:r w:rsidRPr="00B06D23">
        <w:rPr>
          <w:lang w:val="es-ES"/>
        </w:rPr>
        <w:t xml:space="preserve">Identificar para cada UC los principales componentes objeto de mantenimiento </w:t>
      </w:r>
    </w:p>
    <w:p w14:paraId="06F34EF4" w14:textId="77777777" w:rsidR="0079428C" w:rsidRPr="00B06D23" w:rsidRDefault="0079428C" w:rsidP="002E20CA">
      <w:pPr>
        <w:numPr>
          <w:ilvl w:val="0"/>
          <w:numId w:val="21"/>
        </w:numPr>
        <w:spacing w:after="120" w:line="259" w:lineRule="auto"/>
        <w:rPr>
          <w:lang w:val="es-ES"/>
        </w:rPr>
      </w:pPr>
      <w:r w:rsidRPr="00B06D23">
        <w:rPr>
          <w:lang w:val="es-ES"/>
        </w:rPr>
        <w:t>Identificar cada actividad de operación y mantenimiento para cada componente (Ej: mantenimiento a demanda por fallas, correctivo programado e inspecciones)</w:t>
      </w:r>
      <w:bookmarkEnd w:id="93"/>
      <w:r w:rsidRPr="00B06D23">
        <w:rPr>
          <w:lang w:val="es-ES"/>
        </w:rPr>
        <w:t>.</w:t>
      </w:r>
    </w:p>
    <w:p w14:paraId="3F288F41" w14:textId="77777777" w:rsidR="0079428C" w:rsidRPr="00B06D23" w:rsidRDefault="0079428C" w:rsidP="002E20CA">
      <w:pPr>
        <w:numPr>
          <w:ilvl w:val="0"/>
          <w:numId w:val="21"/>
        </w:numPr>
        <w:spacing w:after="120" w:line="259" w:lineRule="auto"/>
        <w:jc w:val="left"/>
        <w:rPr>
          <w:lang w:val="es-ES"/>
        </w:rPr>
      </w:pPr>
      <w:bookmarkStart w:id="94" w:name="_Toc149716238"/>
      <w:r w:rsidRPr="00B06D23">
        <w:rPr>
          <w:lang w:val="es-ES"/>
        </w:rPr>
        <w:t>Asignar a cada evento de OyM: Ej: una frecuencia de ocurrencia en caso de fallas o una frecuencia de ejecución en caso de preventivo y un tiempo de resolución</w:t>
      </w:r>
      <w:bookmarkEnd w:id="94"/>
      <w:r w:rsidRPr="00B06D23">
        <w:rPr>
          <w:lang w:val="es-ES"/>
        </w:rPr>
        <w:t>.</w:t>
      </w:r>
    </w:p>
    <w:p w14:paraId="120C7553" w14:textId="77777777" w:rsidR="0079428C" w:rsidRPr="00B06D23" w:rsidRDefault="0079428C" w:rsidP="002E20CA">
      <w:pPr>
        <w:numPr>
          <w:ilvl w:val="0"/>
          <w:numId w:val="21"/>
        </w:numPr>
        <w:spacing w:after="120" w:line="259" w:lineRule="auto"/>
        <w:rPr>
          <w:lang w:val="es-ES"/>
        </w:rPr>
      </w:pPr>
      <w:bookmarkStart w:id="95" w:name="_Toc149716239"/>
      <w:r w:rsidRPr="00B06D23">
        <w:rPr>
          <w:lang w:val="es-ES"/>
        </w:rPr>
        <w:t>De acuerdo a la característica de cada evento de OyM se asignan para su resolución una “cuadrilla tipo” predefinida en cantidad de operarios y calificación, y los materiales y recursos requeridos.</w:t>
      </w:r>
      <w:bookmarkEnd w:id="95"/>
    </w:p>
    <w:p w14:paraId="02FDBA49" w14:textId="77777777" w:rsidR="0079428C" w:rsidRPr="00B06D23" w:rsidRDefault="0079428C" w:rsidP="002E20CA">
      <w:pPr>
        <w:numPr>
          <w:ilvl w:val="0"/>
          <w:numId w:val="21"/>
        </w:numPr>
        <w:spacing w:line="259" w:lineRule="auto"/>
        <w:rPr>
          <w:lang w:val="es-ES"/>
        </w:rPr>
      </w:pPr>
      <w:bookmarkStart w:id="96" w:name="_Toc149716240"/>
      <w:r w:rsidRPr="00B06D23">
        <w:rPr>
          <w:lang w:val="es-ES"/>
        </w:rPr>
        <w:t>Con la frecuencia de ocurrencia de cada evento, la duración de la intervención de la cuadrilla más los tiempos de desplazamiento, se calcula la cantidad de personal, materiales e insumos para cada tarea de OyM</w:t>
      </w:r>
      <w:bookmarkEnd w:id="96"/>
      <w:r w:rsidRPr="00B06D23">
        <w:rPr>
          <w:lang w:val="es-ES"/>
        </w:rPr>
        <w:t>.</w:t>
      </w:r>
    </w:p>
    <w:p w14:paraId="5AE040C9" w14:textId="77777777" w:rsidR="0079428C" w:rsidRPr="00B06D23" w:rsidRDefault="0079428C" w:rsidP="0079428C">
      <w:pPr>
        <w:spacing w:line="259" w:lineRule="auto"/>
        <w:rPr>
          <w:lang w:val="es-ES"/>
        </w:rPr>
      </w:pPr>
      <w:bookmarkStart w:id="97" w:name="_Toc149716241"/>
      <w:r w:rsidRPr="00B06D23">
        <w:rPr>
          <w:lang w:val="es-ES"/>
        </w:rPr>
        <w:t>Los costos de las cuadrillas de mantenimiento para cada tipo de tarea estarán conformadas, por la cantidad y nivel del personal que constituye la mano de obra, las herramientas de la cuadrilla, los elementos de seguridad,  y los vehículos requeridos para la ejecución de la tarea.</w:t>
      </w:r>
    </w:p>
    <w:p w14:paraId="682236B0" w14:textId="77777777" w:rsidR="0079428C" w:rsidRPr="00B06D23" w:rsidRDefault="0079428C" w:rsidP="0079428C">
      <w:pPr>
        <w:rPr>
          <w:lang w:val="es-ES"/>
        </w:rPr>
      </w:pPr>
      <w:r w:rsidRPr="00B06D23">
        <w:rPr>
          <w:lang w:val="es-ES"/>
        </w:rPr>
        <w:t xml:space="preserve">Sobre la base de la definición de la cuadrilla, y sus costos asociados, el tiempo de ejecución y desplazamiento, más los materiales requeridos para la ejecución de la tarea se determinó el costo de la misma. Con el costo de la tarea, y la cantidad de veces que se realiza la tarea por año se determinó el costo total de la tarea para las instalaciones de la empresa. </w:t>
      </w:r>
    </w:p>
    <w:p w14:paraId="0398DC5A" w14:textId="77777777" w:rsidR="0079428C" w:rsidRPr="00B06D23" w:rsidRDefault="0079428C" w:rsidP="0079428C">
      <w:pPr>
        <w:rPr>
          <w:lang w:val="es-ES"/>
        </w:rPr>
      </w:pPr>
      <w:r w:rsidRPr="00B06D23">
        <w:rPr>
          <w:lang w:val="es-ES"/>
        </w:rPr>
        <w:t xml:space="preserve">Para cada tarea los tiempos de ejecución de las tareas y las frecuencias de ocurrencia tienen en cuenta: </w:t>
      </w:r>
    </w:p>
    <w:p w14:paraId="1A4A1714" w14:textId="77777777" w:rsidR="0079428C" w:rsidRPr="00B06D23" w:rsidRDefault="0079428C" w:rsidP="002E20CA">
      <w:pPr>
        <w:numPr>
          <w:ilvl w:val="0"/>
          <w:numId w:val="30"/>
        </w:numPr>
        <w:spacing w:after="120" w:line="259" w:lineRule="auto"/>
        <w:ind w:left="360"/>
        <w:jc w:val="left"/>
        <w:rPr>
          <w:lang w:val="es-ES"/>
        </w:rPr>
      </w:pPr>
      <w:r w:rsidRPr="00B06D23">
        <w:rPr>
          <w:lang w:val="es-ES"/>
        </w:rPr>
        <w:t xml:space="preserve">Aspectos específicos de cada tarea (“reglas del arte”), que incluyen la calidad de la ejecución, la importancia y tipo de la instalación, normas de seguridad, etc. </w:t>
      </w:r>
    </w:p>
    <w:p w14:paraId="27641E74" w14:textId="77777777" w:rsidR="0079428C" w:rsidRPr="00B06D23" w:rsidRDefault="0079428C" w:rsidP="002E20CA">
      <w:pPr>
        <w:numPr>
          <w:ilvl w:val="0"/>
          <w:numId w:val="30"/>
        </w:numPr>
        <w:spacing w:after="120" w:line="259" w:lineRule="auto"/>
        <w:ind w:left="360"/>
        <w:jc w:val="left"/>
        <w:rPr>
          <w:lang w:val="es-ES"/>
        </w:rPr>
      </w:pPr>
      <w:r w:rsidRPr="00B06D23">
        <w:rPr>
          <w:lang w:val="es-ES"/>
        </w:rPr>
        <w:t xml:space="preserve">Características de diseño y construcción de las instalaciones. </w:t>
      </w:r>
    </w:p>
    <w:p w14:paraId="46F106DB" w14:textId="77777777" w:rsidR="0079428C" w:rsidRPr="00B06D23" w:rsidRDefault="0079428C" w:rsidP="002E20CA">
      <w:pPr>
        <w:numPr>
          <w:ilvl w:val="0"/>
          <w:numId w:val="30"/>
        </w:numPr>
        <w:spacing w:after="120" w:line="259" w:lineRule="auto"/>
        <w:ind w:left="360"/>
        <w:jc w:val="left"/>
        <w:rPr>
          <w:lang w:val="es-ES"/>
        </w:rPr>
      </w:pPr>
      <w:r w:rsidRPr="00B06D23">
        <w:rPr>
          <w:lang w:val="es-ES"/>
        </w:rPr>
        <w:t>Antecedentes regulatorios en la materia.</w:t>
      </w:r>
    </w:p>
    <w:p w14:paraId="27A0DAAC" w14:textId="77777777" w:rsidR="0079428C" w:rsidRPr="00B06D23" w:rsidRDefault="0079428C" w:rsidP="002E20CA">
      <w:pPr>
        <w:numPr>
          <w:ilvl w:val="0"/>
          <w:numId w:val="30"/>
        </w:numPr>
        <w:spacing w:after="120" w:line="259" w:lineRule="auto"/>
        <w:ind w:left="360"/>
        <w:jc w:val="left"/>
        <w:rPr>
          <w:lang w:val="es-ES"/>
        </w:rPr>
      </w:pPr>
      <w:r w:rsidRPr="00B06D23">
        <w:rPr>
          <w:lang w:val="es-ES"/>
        </w:rPr>
        <w:t>Antecedentes presentados por las empresas.</w:t>
      </w:r>
    </w:p>
    <w:p w14:paraId="60F1CD87" w14:textId="77777777" w:rsidR="0079428C" w:rsidRPr="00B06D23" w:rsidRDefault="0079428C" w:rsidP="002E20CA">
      <w:pPr>
        <w:numPr>
          <w:ilvl w:val="0"/>
          <w:numId w:val="30"/>
        </w:numPr>
        <w:spacing w:after="120" w:line="259" w:lineRule="auto"/>
        <w:ind w:left="360"/>
        <w:jc w:val="left"/>
        <w:rPr>
          <w:lang w:val="es-ES"/>
        </w:rPr>
      </w:pPr>
      <w:r w:rsidRPr="00B06D23">
        <w:rPr>
          <w:lang w:val="es-ES"/>
        </w:rPr>
        <w:t>Criticidad del activo.</w:t>
      </w:r>
    </w:p>
    <w:p w14:paraId="3766941A" w14:textId="77777777" w:rsidR="0079428C" w:rsidRPr="00B06D23" w:rsidRDefault="0079428C" w:rsidP="002E20CA">
      <w:pPr>
        <w:numPr>
          <w:ilvl w:val="0"/>
          <w:numId w:val="30"/>
        </w:numPr>
        <w:spacing w:after="120" w:line="259" w:lineRule="auto"/>
        <w:ind w:left="360"/>
        <w:jc w:val="left"/>
        <w:rPr>
          <w:lang w:val="es-ES"/>
        </w:rPr>
      </w:pPr>
      <w:r w:rsidRPr="00B06D23">
        <w:rPr>
          <w:lang w:val="es-ES"/>
        </w:rPr>
        <w:t>Niveles de calidad exigidos por la norma técnica.</w:t>
      </w:r>
    </w:p>
    <w:p w14:paraId="754C7E09" w14:textId="77777777" w:rsidR="0079428C" w:rsidRPr="00B06D23" w:rsidRDefault="0079428C" w:rsidP="0079428C">
      <w:pPr>
        <w:rPr>
          <w:lang w:val="es-ES"/>
        </w:rPr>
      </w:pPr>
      <w:r w:rsidRPr="00B06D23">
        <w:rPr>
          <w:lang w:val="es-ES"/>
        </w:rPr>
        <w:t xml:space="preserve">Los rendimientos y frecuencias utilizados son los de instalaciones típicas correctamente diseñadas y en buen estado, independientemente del estado de conservación actual de las instalaciones de la transportista. </w:t>
      </w:r>
    </w:p>
    <w:p w14:paraId="128C223F" w14:textId="77777777" w:rsidR="0079428C" w:rsidRPr="00B06D23" w:rsidRDefault="0079428C" w:rsidP="0079428C">
      <w:pPr>
        <w:rPr>
          <w:lang w:val="es-ES"/>
        </w:rPr>
      </w:pPr>
      <w:r w:rsidRPr="00B06D23">
        <w:rPr>
          <w:lang w:val="es-ES"/>
        </w:rPr>
        <w:t xml:space="preserve">Finalmente, la suma de los recursos físicos requeridos para todas las categorías de instalaciones será el </w:t>
      </w:r>
      <w:bookmarkEnd w:id="97"/>
      <w:r w:rsidRPr="00B06D23">
        <w:rPr>
          <w:lang w:val="es-ES"/>
        </w:rPr>
        <w:t xml:space="preserve">total de recursos de OyM requeridos por la transmisora. </w:t>
      </w:r>
    </w:p>
    <w:p w14:paraId="250A91D9" w14:textId="77777777" w:rsidR="0079428C" w:rsidRPr="00B06D23" w:rsidRDefault="0079428C" w:rsidP="0079428C">
      <w:pPr>
        <w:rPr>
          <w:lang w:val="es-ES"/>
        </w:rPr>
      </w:pPr>
      <w:r w:rsidRPr="00B06D23">
        <w:rPr>
          <w:lang w:val="es-ES"/>
        </w:rPr>
        <w:t xml:space="preserve">Los costos “por intervención” se obtienen considerando: </w:t>
      </w:r>
    </w:p>
    <w:p w14:paraId="2189E5D6" w14:textId="77777777" w:rsidR="0079428C" w:rsidRPr="00B06D23" w:rsidRDefault="0079428C" w:rsidP="002E20CA">
      <w:pPr>
        <w:numPr>
          <w:ilvl w:val="0"/>
          <w:numId w:val="31"/>
        </w:numPr>
        <w:spacing w:after="120" w:line="259" w:lineRule="auto"/>
        <w:ind w:left="360"/>
        <w:jc w:val="left"/>
        <w:rPr>
          <w:lang w:val="es-ES"/>
        </w:rPr>
      </w:pPr>
      <w:r w:rsidRPr="00B06D23">
        <w:rPr>
          <w:lang w:val="es-ES"/>
        </w:rPr>
        <w:t xml:space="preserve">El costo del personal, vehículos, materiales y herramientas de la brigada </w:t>
      </w:r>
    </w:p>
    <w:p w14:paraId="4242F877" w14:textId="77777777" w:rsidR="0079428C" w:rsidRPr="00B06D23" w:rsidRDefault="0079428C" w:rsidP="002E20CA">
      <w:pPr>
        <w:numPr>
          <w:ilvl w:val="0"/>
          <w:numId w:val="31"/>
        </w:numPr>
        <w:spacing w:after="120" w:line="259" w:lineRule="auto"/>
        <w:ind w:left="360"/>
        <w:jc w:val="left"/>
        <w:rPr>
          <w:lang w:val="es-ES"/>
        </w:rPr>
      </w:pPr>
      <w:r w:rsidRPr="00B06D23">
        <w:rPr>
          <w:lang w:val="es-ES"/>
        </w:rPr>
        <w:t xml:space="preserve">La frecuencia con que se realiza la tarea </w:t>
      </w:r>
    </w:p>
    <w:p w14:paraId="1E42D023" w14:textId="77777777" w:rsidR="0079428C" w:rsidRPr="00B06D23" w:rsidRDefault="0079428C" w:rsidP="002E20CA">
      <w:pPr>
        <w:numPr>
          <w:ilvl w:val="0"/>
          <w:numId w:val="31"/>
        </w:numPr>
        <w:spacing w:after="120" w:line="259" w:lineRule="auto"/>
        <w:ind w:left="360"/>
        <w:jc w:val="left"/>
        <w:rPr>
          <w:lang w:val="es-ES"/>
        </w:rPr>
      </w:pPr>
      <w:r w:rsidRPr="00B06D23">
        <w:rPr>
          <w:lang w:val="es-ES"/>
        </w:rPr>
        <w:t xml:space="preserve">La cantidad de elementos de la instalación sobre los que se va a realizar la tarea </w:t>
      </w:r>
    </w:p>
    <w:p w14:paraId="04379F91" w14:textId="77777777" w:rsidR="0079428C" w:rsidRPr="00B06D23" w:rsidRDefault="0079428C" w:rsidP="002E20CA">
      <w:pPr>
        <w:numPr>
          <w:ilvl w:val="0"/>
          <w:numId w:val="31"/>
        </w:numPr>
        <w:spacing w:after="120" w:line="259" w:lineRule="auto"/>
        <w:ind w:left="360"/>
        <w:jc w:val="left"/>
        <w:rPr>
          <w:lang w:val="es-ES"/>
        </w:rPr>
      </w:pPr>
      <w:r w:rsidRPr="00B06D23">
        <w:rPr>
          <w:lang w:val="es-ES"/>
        </w:rPr>
        <w:t xml:space="preserve">los tiempos medios eficientes de ejecución </w:t>
      </w:r>
    </w:p>
    <w:p w14:paraId="64F130C6" w14:textId="77777777" w:rsidR="0079428C" w:rsidRPr="00B06D23" w:rsidRDefault="0079428C" w:rsidP="002E20CA">
      <w:pPr>
        <w:numPr>
          <w:ilvl w:val="0"/>
          <w:numId w:val="31"/>
        </w:numPr>
        <w:spacing w:after="120" w:line="259" w:lineRule="auto"/>
        <w:ind w:left="360"/>
        <w:jc w:val="left"/>
        <w:rPr>
          <w:lang w:val="es-ES"/>
        </w:rPr>
      </w:pPr>
      <w:r w:rsidRPr="00B06D23">
        <w:rPr>
          <w:lang w:val="es-ES"/>
        </w:rPr>
        <w:t xml:space="preserve">Los materiales que pueda requerir la actividad </w:t>
      </w:r>
    </w:p>
    <w:p w14:paraId="13E9177D" w14:textId="77777777" w:rsidR="0079428C" w:rsidRPr="00B06D23" w:rsidRDefault="0079428C" w:rsidP="002E20CA">
      <w:pPr>
        <w:numPr>
          <w:ilvl w:val="0"/>
          <w:numId w:val="31"/>
        </w:numPr>
        <w:spacing w:line="259" w:lineRule="auto"/>
        <w:ind w:left="360"/>
        <w:jc w:val="left"/>
        <w:rPr>
          <w:lang w:val="es-ES"/>
        </w:rPr>
      </w:pPr>
      <w:r w:rsidRPr="00B06D23">
        <w:rPr>
          <w:lang w:val="es-ES"/>
        </w:rPr>
        <w:t xml:space="preserve">Los tiempos de traslado </w:t>
      </w:r>
    </w:p>
    <w:p w14:paraId="7036DE0A" w14:textId="77777777" w:rsidR="0079428C" w:rsidRPr="00B06D23" w:rsidRDefault="0079428C" w:rsidP="0079428C">
      <w:pPr>
        <w:rPr>
          <w:lang w:val="es-ES"/>
        </w:rPr>
      </w:pPr>
      <w:r w:rsidRPr="00B06D23">
        <w:rPr>
          <w:lang w:val="es-ES"/>
        </w:rPr>
        <w:t>Para las áreas que requieran cobertura de atención las 24 hrs los 365 días del año se consideró la cantidad de equipos de trabajo necesarios para dar la cobertura indicada de manera que permita cumplir con los días de franco, vacaciones, ausencia por enfermedad cumpliendo con la ley laboral vigente en Chile.</w:t>
      </w:r>
    </w:p>
    <w:p w14:paraId="03F1185A" w14:textId="77777777" w:rsidR="0079428C" w:rsidRPr="00B06D23" w:rsidRDefault="0079428C" w:rsidP="0079428C">
      <w:pPr>
        <w:rPr>
          <w:lang w:val="es-ES"/>
        </w:rPr>
      </w:pPr>
      <w:r w:rsidRPr="00B06D23">
        <w:rPr>
          <w:lang w:val="es-ES"/>
        </w:rPr>
        <w:t>En el caso de las subestaciones y sobre la base del tipo de telemando de las subestaciones (total, parcial o sin telemando), la distancia a los centros operativos y su importancia estratégica, se determinó la cantidad de personal operativo requerido para cubrir los turnos para la operación local de las subestaciones en lo referido a apoyo para maniobras manuales o de emergencia y control y vigilancia de las instalaciones.</w:t>
      </w:r>
    </w:p>
    <w:p w14:paraId="533FEBC4" w14:textId="77777777" w:rsidR="0079428C" w:rsidRPr="00B06D23" w:rsidRDefault="0079428C" w:rsidP="0079428C">
      <w:pPr>
        <w:rPr>
          <w:lang w:val="es-ES"/>
        </w:rPr>
      </w:pPr>
      <w:r w:rsidRPr="00B06D23">
        <w:rPr>
          <w:lang w:val="es-ES"/>
        </w:rPr>
        <w:t>Para el Centro Nacional de Operación de Transmisión (CNOT) y Centros de Opereación Regional (COZ) se consideró los equipos de trabajo requeridos para cubrir las 24 hrs los 365 días del año.</w:t>
      </w:r>
    </w:p>
    <w:p w14:paraId="5644AB73" w14:textId="77777777" w:rsidR="0079428C" w:rsidRPr="00B06D23" w:rsidRDefault="0079428C" w:rsidP="0079428C">
      <w:pPr>
        <w:rPr>
          <w:lang w:val="es-ES"/>
        </w:rPr>
      </w:pPr>
      <w:r w:rsidRPr="00B06D23">
        <w:rPr>
          <w:lang w:val="es-ES"/>
        </w:rPr>
        <w:t>Para el resto de las áreas operativas que requieran atención de emergencia se consideró la implementación de un sistema de guardias pasivas.</w:t>
      </w:r>
    </w:p>
    <w:p w14:paraId="23722E2D" w14:textId="77777777" w:rsidR="0079428C" w:rsidRPr="00B06D23" w:rsidRDefault="0079428C" w:rsidP="0079428C">
      <w:pPr>
        <w:rPr>
          <w:lang w:val="es-ES"/>
        </w:rPr>
      </w:pPr>
      <w:r w:rsidRPr="00B06D23">
        <w:rPr>
          <w:lang w:val="es-ES"/>
        </w:rPr>
        <w:t>La metodología específica de valorización se describe en el siguiente punto.</w:t>
      </w:r>
    </w:p>
    <w:p w14:paraId="6E622E31" w14:textId="77777777" w:rsidR="0079428C" w:rsidRPr="006F5B6D" w:rsidRDefault="0079428C" w:rsidP="0079428C">
      <w:pPr>
        <w:pStyle w:val="Ttulo4"/>
      </w:pPr>
      <w:bookmarkStart w:id="98" w:name="_Toc34398098"/>
      <w:bookmarkStart w:id="99" w:name="_Toc34687194"/>
      <w:r w:rsidRPr="006F5B6D">
        <w:t>Definición de las cuadrillas de terreno</w:t>
      </w:r>
      <w:bookmarkEnd w:id="98"/>
      <w:bookmarkEnd w:id="99"/>
    </w:p>
    <w:p w14:paraId="4792F055" w14:textId="13C32DDA" w:rsidR="0079428C" w:rsidRPr="00B06D23" w:rsidRDefault="0079428C" w:rsidP="0079428C">
      <w:pPr>
        <w:rPr>
          <w:lang w:val="es-ES"/>
        </w:rPr>
      </w:pPr>
      <w:r w:rsidRPr="00B06D23">
        <w:rPr>
          <w:lang w:val="es-ES"/>
        </w:rPr>
        <w:t xml:space="preserve">Las instalaciones del sistema </w:t>
      </w:r>
      <w:r w:rsidR="002D03BC">
        <w:rPr>
          <w:lang w:val="es-ES"/>
        </w:rPr>
        <w:t>eléctrico nacional</w:t>
      </w:r>
      <w:r w:rsidRPr="00B06D23">
        <w:rPr>
          <w:lang w:val="es-ES"/>
        </w:rPr>
        <w:t xml:space="preserve"> requieren diferente tipo de tareas de operación y mantenimiento que son ejecutadas por las cuadrillas que operan en terreno.</w:t>
      </w:r>
    </w:p>
    <w:p w14:paraId="6B1AC152" w14:textId="77777777" w:rsidR="0079428C" w:rsidRPr="00B06D23" w:rsidRDefault="0079428C" w:rsidP="0079428C">
      <w:pPr>
        <w:rPr>
          <w:lang w:val="es-ES"/>
        </w:rPr>
      </w:pPr>
      <w:r w:rsidRPr="00B06D23">
        <w:rPr>
          <w:lang w:val="es-ES"/>
        </w:rPr>
        <w:t>En función del tipo de tarea se han  definido diferentes tipos de cuadrilla en la que cada una tiene asignado:</w:t>
      </w:r>
    </w:p>
    <w:p w14:paraId="7C775BD3" w14:textId="77777777" w:rsidR="0079428C" w:rsidRPr="00B06D23" w:rsidRDefault="0079428C" w:rsidP="002E20CA">
      <w:pPr>
        <w:pStyle w:val="Prrafodelista"/>
        <w:numPr>
          <w:ilvl w:val="0"/>
          <w:numId w:val="45"/>
        </w:numPr>
        <w:rPr>
          <w:lang w:val="es-ES"/>
        </w:rPr>
      </w:pPr>
      <w:r w:rsidRPr="00B06D23">
        <w:rPr>
          <w:lang w:val="es-ES"/>
        </w:rPr>
        <w:t>Personal y categoría</w:t>
      </w:r>
    </w:p>
    <w:p w14:paraId="0A0AA35E" w14:textId="77777777" w:rsidR="0079428C" w:rsidRPr="00B06D23" w:rsidRDefault="0079428C" w:rsidP="002E20CA">
      <w:pPr>
        <w:pStyle w:val="Prrafodelista"/>
        <w:numPr>
          <w:ilvl w:val="0"/>
          <w:numId w:val="45"/>
        </w:numPr>
        <w:rPr>
          <w:lang w:val="es-ES"/>
        </w:rPr>
      </w:pPr>
      <w:r w:rsidRPr="00B06D23">
        <w:rPr>
          <w:lang w:val="es-ES"/>
        </w:rPr>
        <w:t>Vehiculos</w:t>
      </w:r>
    </w:p>
    <w:p w14:paraId="552A0E69" w14:textId="77777777" w:rsidR="0079428C" w:rsidRPr="00B06D23" w:rsidRDefault="0079428C" w:rsidP="002E20CA">
      <w:pPr>
        <w:pStyle w:val="Prrafodelista"/>
        <w:numPr>
          <w:ilvl w:val="0"/>
          <w:numId w:val="45"/>
        </w:numPr>
        <w:rPr>
          <w:lang w:val="es-ES"/>
        </w:rPr>
      </w:pPr>
      <w:r w:rsidRPr="00B06D23">
        <w:rPr>
          <w:lang w:val="es-ES"/>
        </w:rPr>
        <w:t>Herramientas y elementos de seguridad personal de los operarios de las cuadrillas.</w:t>
      </w:r>
    </w:p>
    <w:p w14:paraId="4977B400" w14:textId="77777777" w:rsidR="0079428C" w:rsidRPr="00B06D23" w:rsidRDefault="0079428C" w:rsidP="0079428C">
      <w:pPr>
        <w:rPr>
          <w:lang w:val="es-ES"/>
        </w:rPr>
      </w:pPr>
      <w:r w:rsidRPr="00B06D23">
        <w:rPr>
          <w:lang w:val="es-ES"/>
        </w:rPr>
        <w:t>Las cuadrillas consideradas para la ejecución de tareas son las indicadas a continuación y que dependen de las tareas a realizar.</w:t>
      </w:r>
    </w:p>
    <w:p w14:paraId="10414662" w14:textId="77777777" w:rsidR="0079428C" w:rsidRPr="00B06D23" w:rsidRDefault="0079428C" w:rsidP="0079428C">
      <w:pPr>
        <w:rPr>
          <w:lang w:val="es-ES"/>
        </w:rPr>
      </w:pPr>
      <w:r w:rsidRPr="00B06D23">
        <w:rPr>
          <w:lang w:val="es-ES"/>
        </w:rPr>
        <w:t>En el cuadro siguiente se muestra el código de cuadrilla, los tipos de tarea que realiza, la cantidad de operarios por categoría, el kit de herramientas asignados a la cuadrilla y el kit de elementos de seguridad personal por operario.</w:t>
      </w:r>
    </w:p>
    <w:p w14:paraId="3335E409" w14:textId="77777777" w:rsidR="0079428C" w:rsidRPr="00B06D23" w:rsidRDefault="0079428C" w:rsidP="0079428C">
      <w:pPr>
        <w:rPr>
          <w:lang w:val="es-ES"/>
        </w:rPr>
      </w:pPr>
      <w:r w:rsidRPr="00B06D23">
        <w:rPr>
          <w:lang w:val="es-ES"/>
        </w:rPr>
        <w:t>Los operarios integrantes de las cuadrillas (O1 a O6) pueden estar constituidos por personal propio o personal tercerizado según los resultados del análisis de tercerización.</w:t>
      </w:r>
    </w:p>
    <w:p w14:paraId="3579FD38" w14:textId="77777777" w:rsidR="0079428C" w:rsidRPr="00B06D23" w:rsidRDefault="0079428C" w:rsidP="0079428C">
      <w:pPr>
        <w:rPr>
          <w:lang w:val="es-ES"/>
        </w:rPr>
      </w:pPr>
      <w:r w:rsidRPr="00B06D23">
        <w:rPr>
          <w:noProof/>
          <w:lang w:val="es-AR" w:eastAsia="es-AR"/>
        </w:rPr>
        <w:drawing>
          <wp:inline distT="0" distB="0" distL="0" distR="0" wp14:anchorId="537066A3" wp14:editId="1A1E525C">
            <wp:extent cx="6153150" cy="175750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53150" cy="1757502"/>
                    </a:xfrm>
                    <a:prstGeom prst="rect">
                      <a:avLst/>
                    </a:prstGeom>
                    <a:noFill/>
                    <a:ln>
                      <a:noFill/>
                    </a:ln>
                  </pic:spPr>
                </pic:pic>
              </a:graphicData>
            </a:graphic>
          </wp:inline>
        </w:drawing>
      </w:r>
    </w:p>
    <w:p w14:paraId="23F41FEB" w14:textId="77777777" w:rsidR="0079428C" w:rsidRPr="00B06D23" w:rsidRDefault="0079428C" w:rsidP="0079428C">
      <w:pPr>
        <w:rPr>
          <w:lang w:val="es-ES"/>
        </w:rPr>
      </w:pPr>
      <w:r w:rsidRPr="00B06D23">
        <w:rPr>
          <w:lang w:val="es-ES"/>
        </w:rPr>
        <w:t>Los integrantes de la cuadrilla señalados en el cuadro anterior son:</w:t>
      </w:r>
    </w:p>
    <w:tbl>
      <w:tblPr>
        <w:tblW w:w="9485" w:type="dxa"/>
        <w:jc w:val="center"/>
        <w:tblCellMar>
          <w:left w:w="70" w:type="dxa"/>
          <w:right w:w="70" w:type="dxa"/>
        </w:tblCellMar>
        <w:tblLook w:val="04A0" w:firstRow="1" w:lastRow="0" w:firstColumn="1" w:lastColumn="0" w:noHBand="0" w:noVBand="1"/>
      </w:tblPr>
      <w:tblGrid>
        <w:gridCol w:w="879"/>
        <w:gridCol w:w="3846"/>
        <w:gridCol w:w="4760"/>
      </w:tblGrid>
      <w:tr w:rsidR="0079428C" w:rsidRPr="00B06D23" w14:paraId="18DA9A47" w14:textId="77777777" w:rsidTr="00D71779">
        <w:trPr>
          <w:trHeight w:val="300"/>
          <w:jc w:val="center"/>
        </w:trPr>
        <w:tc>
          <w:tcPr>
            <w:tcW w:w="8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79344A" w14:textId="77777777" w:rsidR="0079428C" w:rsidRPr="00B06D23" w:rsidRDefault="0079428C" w:rsidP="00C276D3">
            <w:pPr>
              <w:spacing w:after="0" w:line="240" w:lineRule="auto"/>
              <w:jc w:val="center"/>
              <w:rPr>
                <w:rFonts w:eastAsia="Times New Roman" w:cs="Calibri"/>
                <w:b/>
                <w:bCs/>
                <w:sz w:val="22"/>
                <w:szCs w:val="22"/>
                <w:lang w:val="es-ES" w:eastAsia="es-AR"/>
              </w:rPr>
            </w:pPr>
            <w:r w:rsidRPr="00B06D23">
              <w:rPr>
                <w:rFonts w:eastAsia="Times New Roman" w:cs="Calibri"/>
                <w:b/>
                <w:bCs/>
                <w:sz w:val="22"/>
                <w:szCs w:val="22"/>
                <w:lang w:val="es-ES" w:eastAsia="es-AR"/>
              </w:rPr>
              <w:t>Código</w:t>
            </w:r>
          </w:p>
        </w:tc>
        <w:tc>
          <w:tcPr>
            <w:tcW w:w="3846" w:type="dxa"/>
            <w:tcBorders>
              <w:top w:val="single" w:sz="8" w:space="0" w:color="auto"/>
              <w:left w:val="nil"/>
              <w:bottom w:val="single" w:sz="8" w:space="0" w:color="auto"/>
              <w:right w:val="single" w:sz="8" w:space="0" w:color="auto"/>
            </w:tcBorders>
            <w:shd w:val="clear" w:color="auto" w:fill="auto"/>
            <w:noWrap/>
            <w:vAlign w:val="center"/>
            <w:hideMark/>
          </w:tcPr>
          <w:p w14:paraId="2FD7E462" w14:textId="77777777" w:rsidR="0079428C" w:rsidRPr="00B06D23" w:rsidRDefault="0079428C" w:rsidP="00C276D3">
            <w:pPr>
              <w:spacing w:after="0" w:line="240" w:lineRule="auto"/>
              <w:jc w:val="center"/>
              <w:rPr>
                <w:rFonts w:eastAsia="Times New Roman" w:cs="Calibri"/>
                <w:b/>
                <w:bCs/>
                <w:sz w:val="22"/>
                <w:szCs w:val="22"/>
                <w:lang w:val="es-ES" w:eastAsia="es-AR"/>
              </w:rPr>
            </w:pPr>
            <w:r w:rsidRPr="00B06D23">
              <w:rPr>
                <w:rFonts w:eastAsia="Times New Roman" w:cs="Calibri"/>
                <w:b/>
                <w:bCs/>
                <w:sz w:val="22"/>
                <w:szCs w:val="22"/>
                <w:lang w:val="es-ES" w:eastAsia="es-AR"/>
              </w:rPr>
              <w:t>Puesto Lineas</w:t>
            </w:r>
          </w:p>
        </w:tc>
        <w:tc>
          <w:tcPr>
            <w:tcW w:w="4760" w:type="dxa"/>
            <w:tcBorders>
              <w:top w:val="single" w:sz="8" w:space="0" w:color="auto"/>
              <w:left w:val="nil"/>
              <w:bottom w:val="single" w:sz="8" w:space="0" w:color="auto"/>
              <w:right w:val="single" w:sz="8" w:space="0" w:color="auto"/>
            </w:tcBorders>
            <w:shd w:val="clear" w:color="auto" w:fill="auto"/>
            <w:noWrap/>
            <w:vAlign w:val="center"/>
            <w:hideMark/>
          </w:tcPr>
          <w:p w14:paraId="086153DA" w14:textId="77777777" w:rsidR="0079428C" w:rsidRPr="00B06D23" w:rsidRDefault="0079428C" w:rsidP="00C276D3">
            <w:pPr>
              <w:spacing w:after="0" w:line="240" w:lineRule="auto"/>
              <w:jc w:val="center"/>
              <w:rPr>
                <w:rFonts w:eastAsia="Times New Roman" w:cs="Calibri"/>
                <w:b/>
                <w:bCs/>
                <w:sz w:val="22"/>
                <w:szCs w:val="22"/>
                <w:lang w:val="es-ES" w:eastAsia="es-AR"/>
              </w:rPr>
            </w:pPr>
            <w:r w:rsidRPr="00B06D23">
              <w:rPr>
                <w:rFonts w:eastAsia="Times New Roman" w:cs="Calibri"/>
                <w:b/>
                <w:bCs/>
                <w:sz w:val="22"/>
                <w:szCs w:val="22"/>
                <w:lang w:val="es-ES" w:eastAsia="es-AR"/>
              </w:rPr>
              <w:t>Puesto Estaciones</w:t>
            </w:r>
          </w:p>
        </w:tc>
      </w:tr>
      <w:tr w:rsidR="0079428C" w:rsidRPr="00B06D23" w14:paraId="20CAFE99"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155D6598"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O1</w:t>
            </w:r>
          </w:p>
        </w:tc>
        <w:tc>
          <w:tcPr>
            <w:tcW w:w="3846" w:type="dxa"/>
            <w:tcBorders>
              <w:top w:val="nil"/>
              <w:left w:val="nil"/>
              <w:bottom w:val="single" w:sz="8" w:space="0" w:color="auto"/>
              <w:right w:val="single" w:sz="8" w:space="0" w:color="auto"/>
            </w:tcBorders>
            <w:shd w:val="clear" w:color="auto" w:fill="auto"/>
            <w:noWrap/>
            <w:vAlign w:val="center"/>
            <w:hideMark/>
          </w:tcPr>
          <w:p w14:paraId="3B0F3CDB"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Jefe de Cuadrilla Líneas</w:t>
            </w:r>
          </w:p>
        </w:tc>
        <w:tc>
          <w:tcPr>
            <w:tcW w:w="4760" w:type="dxa"/>
            <w:tcBorders>
              <w:top w:val="nil"/>
              <w:left w:val="nil"/>
              <w:bottom w:val="single" w:sz="8" w:space="0" w:color="auto"/>
              <w:right w:val="single" w:sz="8" w:space="0" w:color="auto"/>
            </w:tcBorders>
            <w:shd w:val="clear" w:color="auto" w:fill="auto"/>
            <w:noWrap/>
            <w:vAlign w:val="center"/>
            <w:hideMark/>
          </w:tcPr>
          <w:p w14:paraId="529E5FB8"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Jefe de Cuadrilla Estaciones</w:t>
            </w:r>
          </w:p>
        </w:tc>
      </w:tr>
      <w:tr w:rsidR="0079428C" w:rsidRPr="00B06D23" w14:paraId="68D8CFFF"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2695E483"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O2</w:t>
            </w:r>
          </w:p>
        </w:tc>
        <w:tc>
          <w:tcPr>
            <w:tcW w:w="3846" w:type="dxa"/>
            <w:tcBorders>
              <w:top w:val="nil"/>
              <w:left w:val="nil"/>
              <w:bottom w:val="single" w:sz="8" w:space="0" w:color="auto"/>
              <w:right w:val="single" w:sz="8" w:space="0" w:color="auto"/>
            </w:tcBorders>
            <w:shd w:val="clear" w:color="auto" w:fill="auto"/>
            <w:noWrap/>
            <w:vAlign w:val="center"/>
            <w:hideMark/>
          </w:tcPr>
          <w:p w14:paraId="5F6C4084"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Liniero principal</w:t>
            </w:r>
          </w:p>
        </w:tc>
        <w:tc>
          <w:tcPr>
            <w:tcW w:w="4760" w:type="dxa"/>
            <w:tcBorders>
              <w:top w:val="nil"/>
              <w:left w:val="nil"/>
              <w:bottom w:val="single" w:sz="8" w:space="0" w:color="auto"/>
              <w:right w:val="single" w:sz="8" w:space="0" w:color="auto"/>
            </w:tcBorders>
            <w:shd w:val="clear" w:color="auto" w:fill="auto"/>
            <w:noWrap/>
            <w:vAlign w:val="center"/>
            <w:hideMark/>
          </w:tcPr>
          <w:p w14:paraId="56F3FA5E"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 xml:space="preserve">Técnico principal de subestación </w:t>
            </w:r>
          </w:p>
        </w:tc>
      </w:tr>
      <w:tr w:rsidR="0079428C" w:rsidRPr="00B06D23" w14:paraId="3CF4CB40"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60B06065"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O3</w:t>
            </w:r>
          </w:p>
        </w:tc>
        <w:tc>
          <w:tcPr>
            <w:tcW w:w="3846" w:type="dxa"/>
            <w:tcBorders>
              <w:top w:val="nil"/>
              <w:left w:val="nil"/>
              <w:bottom w:val="single" w:sz="8" w:space="0" w:color="auto"/>
              <w:right w:val="single" w:sz="8" w:space="0" w:color="auto"/>
            </w:tcBorders>
            <w:shd w:val="clear" w:color="auto" w:fill="auto"/>
            <w:noWrap/>
            <w:vAlign w:val="center"/>
            <w:hideMark/>
          </w:tcPr>
          <w:p w14:paraId="696EFF12"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Liniero Auxiliar</w:t>
            </w:r>
          </w:p>
        </w:tc>
        <w:tc>
          <w:tcPr>
            <w:tcW w:w="4760" w:type="dxa"/>
            <w:tcBorders>
              <w:top w:val="nil"/>
              <w:left w:val="nil"/>
              <w:bottom w:val="single" w:sz="8" w:space="0" w:color="auto"/>
              <w:right w:val="single" w:sz="8" w:space="0" w:color="auto"/>
            </w:tcBorders>
            <w:shd w:val="clear" w:color="auto" w:fill="auto"/>
            <w:noWrap/>
            <w:vAlign w:val="center"/>
            <w:hideMark/>
          </w:tcPr>
          <w:p w14:paraId="623C4375"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Técnico auxiliar de subestación</w:t>
            </w:r>
          </w:p>
        </w:tc>
      </w:tr>
      <w:tr w:rsidR="0079428C" w:rsidRPr="00B06D23" w14:paraId="21DB18BC"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162637BC"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O4</w:t>
            </w:r>
          </w:p>
        </w:tc>
        <w:tc>
          <w:tcPr>
            <w:tcW w:w="3846" w:type="dxa"/>
            <w:tcBorders>
              <w:top w:val="nil"/>
              <w:left w:val="nil"/>
              <w:bottom w:val="single" w:sz="8" w:space="0" w:color="auto"/>
              <w:right w:val="single" w:sz="8" w:space="0" w:color="auto"/>
            </w:tcBorders>
            <w:shd w:val="clear" w:color="auto" w:fill="auto"/>
            <w:noWrap/>
            <w:vAlign w:val="center"/>
            <w:hideMark/>
          </w:tcPr>
          <w:p w14:paraId="5334E6D6"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Ayudante Líneas</w:t>
            </w:r>
          </w:p>
        </w:tc>
        <w:tc>
          <w:tcPr>
            <w:tcW w:w="4760" w:type="dxa"/>
            <w:tcBorders>
              <w:top w:val="nil"/>
              <w:left w:val="nil"/>
              <w:bottom w:val="single" w:sz="8" w:space="0" w:color="auto"/>
              <w:right w:val="single" w:sz="8" w:space="0" w:color="auto"/>
            </w:tcBorders>
            <w:shd w:val="clear" w:color="auto" w:fill="auto"/>
            <w:noWrap/>
            <w:vAlign w:val="center"/>
            <w:hideMark/>
          </w:tcPr>
          <w:p w14:paraId="2F887AC8"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Ayudante Estaciones</w:t>
            </w:r>
          </w:p>
        </w:tc>
      </w:tr>
      <w:tr w:rsidR="0079428C" w:rsidRPr="00B06D23" w14:paraId="16A81E74"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6D50A21C"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O5</w:t>
            </w:r>
          </w:p>
        </w:tc>
        <w:tc>
          <w:tcPr>
            <w:tcW w:w="3846" w:type="dxa"/>
            <w:tcBorders>
              <w:top w:val="nil"/>
              <w:left w:val="nil"/>
              <w:bottom w:val="single" w:sz="8" w:space="0" w:color="auto"/>
              <w:right w:val="single" w:sz="8" w:space="0" w:color="auto"/>
            </w:tcBorders>
            <w:shd w:val="clear" w:color="auto" w:fill="auto"/>
            <w:noWrap/>
            <w:vAlign w:val="center"/>
            <w:hideMark/>
          </w:tcPr>
          <w:p w14:paraId="496806C1"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Operador de vehículos especiales Lineas</w:t>
            </w:r>
          </w:p>
        </w:tc>
        <w:tc>
          <w:tcPr>
            <w:tcW w:w="4760" w:type="dxa"/>
            <w:tcBorders>
              <w:top w:val="nil"/>
              <w:left w:val="nil"/>
              <w:bottom w:val="single" w:sz="8" w:space="0" w:color="auto"/>
              <w:right w:val="single" w:sz="8" w:space="0" w:color="auto"/>
            </w:tcBorders>
            <w:shd w:val="clear" w:color="auto" w:fill="auto"/>
            <w:noWrap/>
            <w:vAlign w:val="center"/>
            <w:hideMark/>
          </w:tcPr>
          <w:p w14:paraId="36D7FA3F"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Operador de vehículos especiales Estaciones</w:t>
            </w:r>
          </w:p>
        </w:tc>
      </w:tr>
      <w:tr w:rsidR="0079428C" w:rsidRPr="00B06D23" w14:paraId="3FD5F209"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4AA4FA44"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O6</w:t>
            </w:r>
          </w:p>
        </w:tc>
        <w:tc>
          <w:tcPr>
            <w:tcW w:w="3846" w:type="dxa"/>
            <w:tcBorders>
              <w:top w:val="nil"/>
              <w:left w:val="nil"/>
              <w:bottom w:val="single" w:sz="8" w:space="0" w:color="auto"/>
              <w:right w:val="single" w:sz="8" w:space="0" w:color="auto"/>
            </w:tcBorders>
            <w:shd w:val="clear" w:color="auto" w:fill="auto"/>
            <w:noWrap/>
            <w:vAlign w:val="center"/>
            <w:hideMark/>
          </w:tcPr>
          <w:p w14:paraId="3621F066"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 </w:t>
            </w:r>
          </w:p>
        </w:tc>
        <w:tc>
          <w:tcPr>
            <w:tcW w:w="4760" w:type="dxa"/>
            <w:tcBorders>
              <w:top w:val="nil"/>
              <w:left w:val="nil"/>
              <w:bottom w:val="single" w:sz="8" w:space="0" w:color="auto"/>
              <w:right w:val="single" w:sz="8" w:space="0" w:color="auto"/>
            </w:tcBorders>
            <w:shd w:val="clear" w:color="auto" w:fill="auto"/>
            <w:noWrap/>
            <w:vAlign w:val="center"/>
            <w:hideMark/>
          </w:tcPr>
          <w:p w14:paraId="4F104FE5"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Técnico de comunicaciones, control y protecciones</w:t>
            </w:r>
          </w:p>
        </w:tc>
      </w:tr>
    </w:tbl>
    <w:p w14:paraId="2F2CE44D" w14:textId="77777777" w:rsidR="00D71779" w:rsidRDefault="00D71779" w:rsidP="0079428C">
      <w:pPr>
        <w:rPr>
          <w:lang w:val="es-ES"/>
        </w:rPr>
      </w:pPr>
    </w:p>
    <w:p w14:paraId="0DB3280D" w14:textId="33BE8624" w:rsidR="0079428C" w:rsidRPr="00B06D23" w:rsidRDefault="0079428C" w:rsidP="0079428C">
      <w:pPr>
        <w:rPr>
          <w:lang w:val="es-ES"/>
        </w:rPr>
      </w:pPr>
      <w:r w:rsidRPr="00B06D23">
        <w:rPr>
          <w:lang w:val="es-ES"/>
        </w:rPr>
        <w:t xml:space="preserve">Como se verá más adelante en el capítulo de “Anallisis de tercerización de actividades” la cuadrilla CMREL, esta integrada por personal propio. </w:t>
      </w:r>
    </w:p>
    <w:p w14:paraId="2D1439F7" w14:textId="77777777" w:rsidR="0079428C" w:rsidRPr="00B06D23" w:rsidRDefault="0079428C" w:rsidP="0079428C">
      <w:pPr>
        <w:rPr>
          <w:lang w:val="es-ES"/>
        </w:rPr>
      </w:pPr>
      <w:r w:rsidRPr="00B06D23">
        <w:rPr>
          <w:lang w:val="es-ES"/>
        </w:rPr>
        <w:t>En el capítulo de remuneraciones se definen los puestos de la encuesta PWC para cada puesto de cuadrilla y la conveniencia de su tercerizacion.</w:t>
      </w:r>
    </w:p>
    <w:p w14:paraId="7C0077E4" w14:textId="77777777" w:rsidR="0079428C" w:rsidRPr="00B06D23" w:rsidRDefault="0079428C" w:rsidP="0079428C">
      <w:pPr>
        <w:rPr>
          <w:lang w:val="es-ES"/>
        </w:rPr>
      </w:pPr>
      <w:r w:rsidRPr="00B06D23">
        <w:rPr>
          <w:lang w:val="es-ES"/>
        </w:rPr>
        <w:t>Los vehículos de la cuadrilla señalados en el cuadro anterior son:</w:t>
      </w:r>
    </w:p>
    <w:tbl>
      <w:tblPr>
        <w:tblW w:w="4130" w:type="dxa"/>
        <w:jc w:val="center"/>
        <w:tblCellMar>
          <w:left w:w="70" w:type="dxa"/>
          <w:right w:w="70" w:type="dxa"/>
        </w:tblCellMar>
        <w:tblLook w:val="04A0" w:firstRow="1" w:lastRow="0" w:firstColumn="1" w:lastColumn="0" w:noHBand="0" w:noVBand="1"/>
      </w:tblPr>
      <w:tblGrid>
        <w:gridCol w:w="879"/>
        <w:gridCol w:w="3251"/>
      </w:tblGrid>
      <w:tr w:rsidR="0079428C" w:rsidRPr="00B06D23" w14:paraId="44EE6002" w14:textId="77777777" w:rsidTr="00D71779">
        <w:trPr>
          <w:trHeight w:val="300"/>
          <w:jc w:val="center"/>
        </w:trPr>
        <w:tc>
          <w:tcPr>
            <w:tcW w:w="87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046AC0" w14:textId="77777777" w:rsidR="0079428C" w:rsidRPr="00B06D23" w:rsidRDefault="0079428C" w:rsidP="00C276D3">
            <w:pPr>
              <w:spacing w:after="0" w:line="240" w:lineRule="auto"/>
              <w:jc w:val="center"/>
              <w:rPr>
                <w:rFonts w:eastAsia="Times New Roman" w:cs="Calibri"/>
                <w:b/>
                <w:bCs/>
                <w:sz w:val="22"/>
                <w:szCs w:val="22"/>
                <w:lang w:val="es-ES" w:eastAsia="es-AR"/>
              </w:rPr>
            </w:pPr>
            <w:r w:rsidRPr="00B06D23">
              <w:rPr>
                <w:rFonts w:eastAsia="Times New Roman" w:cs="Calibri"/>
                <w:b/>
                <w:bCs/>
                <w:sz w:val="22"/>
                <w:szCs w:val="22"/>
                <w:lang w:val="es-ES" w:eastAsia="es-AR"/>
              </w:rPr>
              <w:t>Código</w:t>
            </w:r>
          </w:p>
        </w:tc>
        <w:tc>
          <w:tcPr>
            <w:tcW w:w="3251" w:type="dxa"/>
            <w:tcBorders>
              <w:top w:val="single" w:sz="8" w:space="0" w:color="auto"/>
              <w:left w:val="nil"/>
              <w:bottom w:val="single" w:sz="8" w:space="0" w:color="auto"/>
              <w:right w:val="single" w:sz="8" w:space="0" w:color="auto"/>
            </w:tcBorders>
            <w:shd w:val="clear" w:color="auto" w:fill="auto"/>
            <w:noWrap/>
            <w:vAlign w:val="center"/>
            <w:hideMark/>
          </w:tcPr>
          <w:p w14:paraId="79802A94" w14:textId="77777777" w:rsidR="0079428C" w:rsidRPr="00B06D23" w:rsidRDefault="0079428C" w:rsidP="00C276D3">
            <w:pPr>
              <w:spacing w:after="0" w:line="240" w:lineRule="auto"/>
              <w:jc w:val="center"/>
              <w:rPr>
                <w:rFonts w:eastAsia="Times New Roman" w:cs="Calibri"/>
                <w:b/>
                <w:bCs/>
                <w:sz w:val="22"/>
                <w:szCs w:val="22"/>
                <w:lang w:val="es-ES" w:eastAsia="es-AR"/>
              </w:rPr>
            </w:pPr>
            <w:r w:rsidRPr="00B06D23">
              <w:rPr>
                <w:rFonts w:eastAsia="Times New Roman" w:cs="Calibri"/>
                <w:b/>
                <w:bCs/>
                <w:sz w:val="22"/>
                <w:szCs w:val="22"/>
                <w:lang w:val="es-ES" w:eastAsia="es-AR"/>
              </w:rPr>
              <w:t>Tipo de Vehículo</w:t>
            </w:r>
          </w:p>
        </w:tc>
      </w:tr>
      <w:tr w:rsidR="0079428C" w:rsidRPr="00B06D23" w14:paraId="7DC54408"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07E60A77"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V1</w:t>
            </w:r>
          </w:p>
        </w:tc>
        <w:tc>
          <w:tcPr>
            <w:tcW w:w="3251" w:type="dxa"/>
            <w:tcBorders>
              <w:top w:val="nil"/>
              <w:left w:val="nil"/>
              <w:bottom w:val="single" w:sz="8" w:space="0" w:color="auto"/>
              <w:right w:val="single" w:sz="8" w:space="0" w:color="auto"/>
            </w:tcBorders>
            <w:shd w:val="clear" w:color="auto" w:fill="auto"/>
            <w:noWrap/>
            <w:vAlign w:val="center"/>
            <w:hideMark/>
          </w:tcPr>
          <w:p w14:paraId="1F2C33A0"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Camioneta doble cabina 4x4</w:t>
            </w:r>
          </w:p>
        </w:tc>
      </w:tr>
      <w:tr w:rsidR="0079428C" w:rsidRPr="00B06D23" w14:paraId="16761C61"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13CFEEFB"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V2</w:t>
            </w:r>
          </w:p>
        </w:tc>
        <w:tc>
          <w:tcPr>
            <w:tcW w:w="3251" w:type="dxa"/>
            <w:tcBorders>
              <w:top w:val="nil"/>
              <w:left w:val="nil"/>
              <w:bottom w:val="single" w:sz="8" w:space="0" w:color="auto"/>
              <w:right w:val="single" w:sz="8" w:space="0" w:color="auto"/>
            </w:tcBorders>
            <w:shd w:val="clear" w:color="auto" w:fill="auto"/>
            <w:noWrap/>
            <w:vAlign w:val="center"/>
            <w:hideMark/>
          </w:tcPr>
          <w:p w14:paraId="2B0FC144"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Camión 6 t</w:t>
            </w:r>
          </w:p>
        </w:tc>
      </w:tr>
      <w:tr w:rsidR="0079428C" w:rsidRPr="00B06D23" w14:paraId="4586EB1A"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4C2B8470"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V3</w:t>
            </w:r>
          </w:p>
        </w:tc>
        <w:tc>
          <w:tcPr>
            <w:tcW w:w="3251" w:type="dxa"/>
            <w:tcBorders>
              <w:top w:val="nil"/>
              <w:left w:val="nil"/>
              <w:bottom w:val="single" w:sz="8" w:space="0" w:color="auto"/>
              <w:right w:val="single" w:sz="8" w:space="0" w:color="auto"/>
            </w:tcBorders>
            <w:shd w:val="clear" w:color="auto" w:fill="auto"/>
            <w:noWrap/>
            <w:vAlign w:val="center"/>
            <w:hideMark/>
          </w:tcPr>
          <w:p w14:paraId="3C84964D"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Camión para lavado de aisladores</w:t>
            </w:r>
          </w:p>
        </w:tc>
      </w:tr>
      <w:tr w:rsidR="0079428C" w:rsidRPr="00B06D23" w14:paraId="09A0FDCF"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63F62A32"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V4</w:t>
            </w:r>
          </w:p>
        </w:tc>
        <w:tc>
          <w:tcPr>
            <w:tcW w:w="3251" w:type="dxa"/>
            <w:tcBorders>
              <w:top w:val="nil"/>
              <w:left w:val="nil"/>
              <w:bottom w:val="single" w:sz="8" w:space="0" w:color="auto"/>
              <w:right w:val="single" w:sz="8" w:space="0" w:color="auto"/>
            </w:tcBorders>
            <w:shd w:val="clear" w:color="auto" w:fill="auto"/>
            <w:noWrap/>
            <w:vAlign w:val="center"/>
            <w:hideMark/>
          </w:tcPr>
          <w:p w14:paraId="75BDB3A0"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Camión canasta (brazo aislado)</w:t>
            </w:r>
          </w:p>
        </w:tc>
      </w:tr>
      <w:tr w:rsidR="0079428C" w:rsidRPr="00B06D23" w14:paraId="3C9528B6"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0035AB45"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V5</w:t>
            </w:r>
          </w:p>
        </w:tc>
        <w:tc>
          <w:tcPr>
            <w:tcW w:w="3251" w:type="dxa"/>
            <w:tcBorders>
              <w:top w:val="nil"/>
              <w:left w:val="nil"/>
              <w:bottom w:val="single" w:sz="8" w:space="0" w:color="auto"/>
              <w:right w:val="single" w:sz="8" w:space="0" w:color="auto"/>
            </w:tcBorders>
            <w:shd w:val="clear" w:color="auto" w:fill="auto"/>
            <w:noWrap/>
            <w:vAlign w:val="center"/>
            <w:hideMark/>
          </w:tcPr>
          <w:p w14:paraId="25F82AF8"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Camión con grúa de 6 t</w:t>
            </w:r>
          </w:p>
        </w:tc>
      </w:tr>
      <w:tr w:rsidR="0079428C" w:rsidRPr="00B06D23" w14:paraId="2A448D33"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4147B452"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V6</w:t>
            </w:r>
          </w:p>
        </w:tc>
        <w:tc>
          <w:tcPr>
            <w:tcW w:w="3251" w:type="dxa"/>
            <w:tcBorders>
              <w:top w:val="nil"/>
              <w:left w:val="nil"/>
              <w:bottom w:val="single" w:sz="8" w:space="0" w:color="auto"/>
              <w:right w:val="single" w:sz="8" w:space="0" w:color="auto"/>
            </w:tcBorders>
            <w:shd w:val="clear" w:color="auto" w:fill="auto"/>
            <w:noWrap/>
            <w:vAlign w:val="center"/>
            <w:hideMark/>
          </w:tcPr>
          <w:p w14:paraId="76DD7E55"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Bulldozer</w:t>
            </w:r>
          </w:p>
        </w:tc>
      </w:tr>
      <w:tr w:rsidR="0079428C" w:rsidRPr="00B06D23" w14:paraId="5006522A" w14:textId="77777777" w:rsidTr="00D71779">
        <w:trPr>
          <w:trHeight w:val="300"/>
          <w:jc w:val="center"/>
        </w:trPr>
        <w:tc>
          <w:tcPr>
            <w:tcW w:w="879" w:type="dxa"/>
            <w:tcBorders>
              <w:top w:val="nil"/>
              <w:left w:val="single" w:sz="8" w:space="0" w:color="auto"/>
              <w:bottom w:val="single" w:sz="8" w:space="0" w:color="auto"/>
              <w:right w:val="single" w:sz="8" w:space="0" w:color="auto"/>
            </w:tcBorders>
            <w:shd w:val="clear" w:color="auto" w:fill="auto"/>
            <w:noWrap/>
            <w:vAlign w:val="center"/>
            <w:hideMark/>
          </w:tcPr>
          <w:p w14:paraId="22E99CFE" w14:textId="77777777" w:rsidR="0079428C" w:rsidRPr="00B06D23" w:rsidRDefault="0079428C" w:rsidP="00C276D3">
            <w:pPr>
              <w:spacing w:after="0" w:line="240" w:lineRule="auto"/>
              <w:jc w:val="left"/>
              <w:rPr>
                <w:rFonts w:eastAsia="Times New Roman" w:cs="Calibri"/>
                <w:b/>
                <w:bCs/>
                <w:sz w:val="22"/>
                <w:szCs w:val="22"/>
                <w:lang w:val="es-ES" w:eastAsia="es-AR"/>
              </w:rPr>
            </w:pPr>
            <w:r w:rsidRPr="00B06D23">
              <w:rPr>
                <w:rFonts w:eastAsia="Times New Roman" w:cs="Calibri"/>
                <w:b/>
                <w:bCs/>
                <w:sz w:val="22"/>
                <w:szCs w:val="22"/>
                <w:lang w:val="es-ES" w:eastAsia="es-AR"/>
              </w:rPr>
              <w:t>V7</w:t>
            </w:r>
          </w:p>
        </w:tc>
        <w:tc>
          <w:tcPr>
            <w:tcW w:w="3251" w:type="dxa"/>
            <w:tcBorders>
              <w:top w:val="nil"/>
              <w:left w:val="nil"/>
              <w:bottom w:val="single" w:sz="8" w:space="0" w:color="auto"/>
              <w:right w:val="single" w:sz="8" w:space="0" w:color="auto"/>
            </w:tcBorders>
            <w:shd w:val="clear" w:color="auto" w:fill="auto"/>
            <w:noWrap/>
            <w:vAlign w:val="center"/>
            <w:hideMark/>
          </w:tcPr>
          <w:p w14:paraId="77389057" w14:textId="77777777" w:rsidR="0079428C" w:rsidRPr="00B06D23" w:rsidRDefault="0079428C" w:rsidP="00C276D3">
            <w:pPr>
              <w:spacing w:after="0" w:line="240" w:lineRule="auto"/>
              <w:jc w:val="left"/>
              <w:rPr>
                <w:rFonts w:eastAsia="Times New Roman" w:cs="Calibri"/>
                <w:sz w:val="22"/>
                <w:szCs w:val="22"/>
                <w:lang w:val="es-ES" w:eastAsia="es-AR"/>
              </w:rPr>
            </w:pPr>
            <w:r w:rsidRPr="00B06D23">
              <w:rPr>
                <w:rFonts w:eastAsia="Times New Roman" w:cs="Calibri"/>
                <w:sz w:val="22"/>
                <w:szCs w:val="22"/>
                <w:lang w:val="es-ES" w:eastAsia="es-AR"/>
              </w:rPr>
              <w:t>Camión Aljibe</w:t>
            </w:r>
          </w:p>
        </w:tc>
      </w:tr>
    </w:tbl>
    <w:p w14:paraId="1D8AF924" w14:textId="77777777" w:rsidR="0079428C" w:rsidRPr="00B06D23" w:rsidRDefault="0079428C" w:rsidP="0079428C">
      <w:pPr>
        <w:rPr>
          <w:lang w:val="es-ES"/>
        </w:rPr>
      </w:pPr>
    </w:p>
    <w:p w14:paraId="7784926C" w14:textId="77777777" w:rsidR="0079428C" w:rsidRPr="00B06D23" w:rsidRDefault="0079428C" w:rsidP="0079428C">
      <w:pPr>
        <w:rPr>
          <w:lang w:val="es-ES"/>
        </w:rPr>
      </w:pPr>
      <w:r w:rsidRPr="00B06D23">
        <w:rPr>
          <w:lang w:val="es-ES"/>
        </w:rPr>
        <w:t>En el capítulo de valorización de servicios tercerizados se definen los costos por típos de vehículo y la conveniencia de arriendo vs compra.</w:t>
      </w:r>
    </w:p>
    <w:p w14:paraId="33F229DA" w14:textId="77777777" w:rsidR="0079428C" w:rsidRPr="00B06D23" w:rsidRDefault="0079428C" w:rsidP="0079428C">
      <w:pPr>
        <w:rPr>
          <w:lang w:val="es-ES"/>
        </w:rPr>
      </w:pPr>
      <w:r w:rsidRPr="00B06D23">
        <w:rPr>
          <w:lang w:val="es-ES"/>
        </w:rPr>
        <w:t>Los KIT de herramientas y seguridad personal se detallan en el capítulo de BM&amp;I. En el capítulo de BM&amp;I se definen las herramientas y elementos de seguridad de personal de cada cuadrilla.</w:t>
      </w:r>
    </w:p>
    <w:p w14:paraId="6C3C6A55" w14:textId="77777777" w:rsidR="0079428C" w:rsidRPr="002D4A53" w:rsidRDefault="0079428C" w:rsidP="0079428C">
      <w:pPr>
        <w:rPr>
          <w:lang w:val="es-ES"/>
        </w:rPr>
      </w:pPr>
      <w:r w:rsidRPr="00B06D23">
        <w:rPr>
          <w:lang w:val="es-ES"/>
        </w:rPr>
        <w:t>En el Anexo COMA_3 Modelo/Datos/ Costo Cuadrillas Tercerizadas, se encuentra el detalle del armado de las cuadrillas tercerizadas.</w:t>
      </w:r>
    </w:p>
    <w:p w14:paraId="64C82C6C" w14:textId="77777777" w:rsidR="0079428C" w:rsidRPr="00AC5990" w:rsidRDefault="0079428C" w:rsidP="0079428C">
      <w:pPr>
        <w:pStyle w:val="Ttulo4"/>
      </w:pPr>
      <w:bookmarkStart w:id="100" w:name="_Toc34398099"/>
      <w:bookmarkStart w:id="101" w:name="_Ref34639145"/>
      <w:bookmarkStart w:id="102" w:name="_Toc34687195"/>
      <w:r w:rsidRPr="00AC5990">
        <w:t>Tratamiento de las distancias recorridas para las faenas de OyM</w:t>
      </w:r>
      <w:bookmarkEnd w:id="100"/>
      <w:bookmarkEnd w:id="101"/>
      <w:bookmarkEnd w:id="102"/>
    </w:p>
    <w:p w14:paraId="26C13585" w14:textId="77777777" w:rsidR="00F64D04" w:rsidRPr="00AC5990" w:rsidRDefault="00F64D04" w:rsidP="00F64D04">
      <w:pPr>
        <w:rPr>
          <w:lang w:val="es-ES"/>
        </w:rPr>
      </w:pPr>
      <w:r w:rsidRPr="00AC5990">
        <w:rPr>
          <w:lang w:val="es-ES"/>
        </w:rPr>
        <w:t xml:space="preserve">El objetivo es, para cada tarea, calcular un tiempo asociado al traslado. El tiempo total anual requerido para esa tarea, que impacta en los costos de mano de obra de cada una, se calculan como suma del tiempo anual de ejecución y del tiempo de desplazamiento asociado. </w:t>
      </w:r>
    </w:p>
    <w:p w14:paraId="5D2F08B4" w14:textId="77777777" w:rsidR="00F64D04" w:rsidRPr="00AC5990" w:rsidRDefault="00F64D04" w:rsidP="00F64D04">
      <w:pPr>
        <w:rPr>
          <w:lang w:val="es-ES"/>
        </w:rPr>
      </w:pPr>
      <w:r w:rsidRPr="00AC5990">
        <w:rPr>
          <w:lang w:val="es-ES"/>
        </w:rPr>
        <w:t>Los tiempos de desplazamiento, son los tiempos que las cuadrillas demoran es desplazarse desde su centro operativo hasta el lugar donde se encuentran las instalaciones objeto de mantenimiento y en al caso de líneas el tiempo requerido para desplazarse entre tareas. Al primero se lo denominó tiempo de aproximación y al segundo tiempo entre tareas y son calculados de manera independiente.</w:t>
      </w:r>
    </w:p>
    <w:p w14:paraId="706DD5FA" w14:textId="2C209A86" w:rsidR="00F64D04" w:rsidRPr="00AC5990" w:rsidRDefault="00F64D04" w:rsidP="00F64D04">
      <w:pPr>
        <w:rPr>
          <w:lang w:val="es-ES"/>
        </w:rPr>
      </w:pPr>
      <w:r w:rsidRPr="00AC5990">
        <w:rPr>
          <w:lang w:val="es-ES"/>
        </w:rPr>
        <w:t xml:space="preserve">El tiempo de traslado depende de las distancias que deben ser recorridas y que tienen un alto impacto en los tiempos totales requeridos por las cuadrillas, teniendo en cuenta la dispersión de los activos. Por este motivo y para dar el peso adecuado se consideró que las cuadrillas parten desde el centro operativo correspondiente y en principio se trasladas hasta la sub estación (SE) cabecera de línea o la SE donde se deben ejecutar las actividades de O&amp;M de acuerdo al módulo de que se trate (para mas detalle ver </w:t>
      </w:r>
      <w:r w:rsidRPr="00AC5990">
        <w:rPr>
          <w:b/>
          <w:bCs/>
          <w:lang w:val="es-ES"/>
        </w:rPr>
        <w:fldChar w:fldCharType="begin"/>
      </w:r>
      <w:r w:rsidRPr="00AC5990">
        <w:rPr>
          <w:lang w:val="es-ES"/>
        </w:rPr>
        <w:instrText xml:space="preserve"> REF _Ref34639054 \r \h </w:instrText>
      </w:r>
      <w:r w:rsidR="00AC5990">
        <w:rPr>
          <w:b/>
          <w:bCs/>
          <w:lang w:val="es-ES"/>
        </w:rPr>
        <w:instrText xml:space="preserve"> \* MERGEFORMAT </w:instrText>
      </w:r>
      <w:r w:rsidRPr="00AC5990">
        <w:rPr>
          <w:b/>
          <w:bCs/>
          <w:lang w:val="es-ES"/>
        </w:rPr>
      </w:r>
      <w:r w:rsidRPr="00AC5990">
        <w:rPr>
          <w:b/>
          <w:bCs/>
          <w:lang w:val="es-ES"/>
        </w:rPr>
        <w:fldChar w:fldCharType="separate"/>
      </w:r>
      <w:r w:rsidR="00F14BED">
        <w:rPr>
          <w:lang w:val="es-ES"/>
        </w:rPr>
        <w:t>6.2.12.2</w:t>
      </w:r>
      <w:r w:rsidRPr="00AC5990">
        <w:rPr>
          <w:b/>
          <w:bCs/>
          <w:lang w:val="es-ES"/>
        </w:rPr>
        <w:fldChar w:fldCharType="end"/>
      </w:r>
      <w:r w:rsidRPr="00AC5990">
        <w:rPr>
          <w:lang w:val="es-ES"/>
        </w:rPr>
        <w:t>). En el caso de líneas, a dicha distancia se adiciona otra correspondiente a la distancia entre la SE y el punto medio del tramo asignado a dicha subestación.</w:t>
      </w:r>
    </w:p>
    <w:p w14:paraId="40B6C9F0" w14:textId="77777777" w:rsidR="00F64D04" w:rsidRPr="00AC5990" w:rsidRDefault="00F64D04" w:rsidP="00F64D04">
      <w:pPr>
        <w:rPr>
          <w:b/>
          <w:bCs/>
          <w:lang w:val="es-ES"/>
        </w:rPr>
      </w:pPr>
      <w:r w:rsidRPr="00AC5990">
        <w:rPr>
          <w:b/>
          <w:bCs/>
          <w:lang w:val="es-ES"/>
        </w:rPr>
        <w:t>Líneas</w:t>
      </w:r>
    </w:p>
    <w:p w14:paraId="3F6DC83D" w14:textId="77777777" w:rsidR="00F64D04" w:rsidRPr="00AC5990" w:rsidRDefault="00F64D04" w:rsidP="00F64D04">
      <w:pPr>
        <w:rPr>
          <w:lang w:val="es-ES"/>
        </w:rPr>
      </w:pPr>
      <w:r w:rsidRPr="00AC5990">
        <w:rPr>
          <w:noProof/>
          <w:lang w:val="es-ES"/>
        </w:rPr>
        <mc:AlternateContent>
          <mc:Choice Requires="wpg">
            <w:drawing>
              <wp:anchor distT="0" distB="0" distL="114300" distR="114300" simplePos="0" relativeHeight="251655168" behindDoc="0" locked="0" layoutInCell="1" allowOverlap="1" wp14:anchorId="6481319A" wp14:editId="4B58D2E9">
                <wp:simplePos x="0" y="0"/>
                <wp:positionH relativeFrom="column">
                  <wp:posOffset>12700</wp:posOffset>
                </wp:positionH>
                <wp:positionV relativeFrom="paragraph">
                  <wp:posOffset>65877</wp:posOffset>
                </wp:positionV>
                <wp:extent cx="6301344" cy="2381061"/>
                <wp:effectExtent l="0" t="0" r="4445" b="635"/>
                <wp:wrapNone/>
                <wp:docPr id="84" name="Grupo 84"/>
                <wp:cNvGraphicFramePr/>
                <a:graphic xmlns:a="http://schemas.openxmlformats.org/drawingml/2006/main">
                  <a:graphicData uri="http://schemas.microsoft.com/office/word/2010/wordprocessingGroup">
                    <wpg:wgp>
                      <wpg:cNvGrpSpPr/>
                      <wpg:grpSpPr>
                        <a:xfrm>
                          <a:off x="0" y="0"/>
                          <a:ext cx="6301344" cy="2381061"/>
                          <a:chOff x="0" y="0"/>
                          <a:chExt cx="6301344" cy="2381061"/>
                        </a:xfrm>
                      </wpg:grpSpPr>
                      <wps:wsp>
                        <wps:cNvPr id="24" name="Cuadro de texto 24"/>
                        <wps:cNvSpPr txBox="1"/>
                        <wps:spPr>
                          <a:xfrm>
                            <a:off x="0" y="0"/>
                            <a:ext cx="1013988" cy="398352"/>
                          </a:xfrm>
                          <a:prstGeom prst="rect">
                            <a:avLst/>
                          </a:prstGeom>
                          <a:noFill/>
                          <a:ln w="6350">
                            <a:noFill/>
                          </a:ln>
                        </wps:spPr>
                        <wps:txbx>
                          <w:txbxContent>
                            <w:p w14:paraId="3914EC49" w14:textId="77777777" w:rsidR="00904836" w:rsidRPr="00505378" w:rsidRDefault="00904836" w:rsidP="00F64D04">
                              <w:pPr>
                                <w:spacing w:after="0" w:line="240" w:lineRule="auto"/>
                                <w:jc w:val="center"/>
                                <w:rPr>
                                  <w:sz w:val="20"/>
                                  <w:szCs w:val="20"/>
                                  <w:lang w:val="es-AR"/>
                                </w:rPr>
                              </w:pPr>
                              <w:r w:rsidRPr="00505378">
                                <w:rPr>
                                  <w:sz w:val="20"/>
                                  <w:szCs w:val="20"/>
                                  <w:lang w:val="es-AR"/>
                                </w:rPr>
                                <w:t>Centro Operativo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Cuadro de texto 25"/>
                        <wps:cNvSpPr txBox="1"/>
                        <wps:spPr>
                          <a:xfrm>
                            <a:off x="2290526" y="0"/>
                            <a:ext cx="1013988" cy="398352"/>
                          </a:xfrm>
                          <a:prstGeom prst="rect">
                            <a:avLst/>
                          </a:prstGeom>
                          <a:noFill/>
                          <a:ln w="6350">
                            <a:noFill/>
                          </a:ln>
                        </wps:spPr>
                        <wps:txbx>
                          <w:txbxContent>
                            <w:p w14:paraId="50BADC3C" w14:textId="77777777" w:rsidR="00904836" w:rsidRPr="00505378" w:rsidRDefault="00904836" w:rsidP="00F64D04">
                              <w:pPr>
                                <w:spacing w:after="0" w:line="240" w:lineRule="auto"/>
                                <w:jc w:val="center"/>
                                <w:rPr>
                                  <w:sz w:val="20"/>
                                  <w:szCs w:val="20"/>
                                  <w:lang w:val="es-AR"/>
                                </w:rPr>
                              </w:pPr>
                              <w:r>
                                <w:rPr>
                                  <w:sz w:val="20"/>
                                  <w:szCs w:val="20"/>
                                  <w:lang w:val="es-AR"/>
                                </w:rPr>
                                <w:t>Subestación Cabecera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Cuadro de texto 26"/>
                        <wps:cNvSpPr txBox="1"/>
                        <wps:spPr>
                          <a:xfrm>
                            <a:off x="3223033" y="190123"/>
                            <a:ext cx="1565275" cy="280035"/>
                          </a:xfrm>
                          <a:prstGeom prst="rect">
                            <a:avLst/>
                          </a:prstGeom>
                          <a:noFill/>
                          <a:ln w="6350">
                            <a:noFill/>
                          </a:ln>
                        </wps:spPr>
                        <wps:txbx>
                          <w:txbxContent>
                            <w:p w14:paraId="2A801D21" w14:textId="77777777" w:rsidR="00904836" w:rsidRPr="00505378" w:rsidRDefault="00904836" w:rsidP="00F64D04">
                              <w:pPr>
                                <w:spacing w:after="0" w:line="240" w:lineRule="auto"/>
                                <w:jc w:val="center"/>
                                <w:rPr>
                                  <w:sz w:val="20"/>
                                  <w:szCs w:val="20"/>
                                  <w:lang w:val="es-AR"/>
                                </w:rPr>
                              </w:pPr>
                              <w:r>
                                <w:rPr>
                                  <w:sz w:val="20"/>
                                  <w:szCs w:val="20"/>
                                  <w:lang w:val="es-AR"/>
                                </w:rPr>
                                <w:t>Tramo de Línea asignado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Elipse 27"/>
                        <wps:cNvSpPr/>
                        <wps:spPr>
                          <a:xfrm>
                            <a:off x="452673" y="525101"/>
                            <a:ext cx="172016" cy="181069"/>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ángulo: biselado 28"/>
                        <wps:cNvSpPr/>
                        <wps:spPr>
                          <a:xfrm>
                            <a:off x="2643612" y="398352"/>
                            <a:ext cx="253497" cy="262456"/>
                          </a:xfrm>
                          <a:prstGeom prst="bevel">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Conector recto 29"/>
                        <wps:cNvCnPr/>
                        <wps:spPr>
                          <a:xfrm>
                            <a:off x="2897109" y="525101"/>
                            <a:ext cx="338612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0" name="Forma libre: forma 30"/>
                        <wps:cNvSpPr/>
                        <wps:spPr>
                          <a:xfrm>
                            <a:off x="570368" y="760491"/>
                            <a:ext cx="2235835" cy="579120"/>
                          </a:xfrm>
                          <a:custGeom>
                            <a:avLst/>
                            <a:gdLst>
                              <a:gd name="connsiteX0" fmla="*/ 0 w 2236216"/>
                              <a:gd name="connsiteY0" fmla="*/ 9054 h 579422"/>
                              <a:gd name="connsiteX1" fmla="*/ 9053 w 2236216"/>
                              <a:gd name="connsiteY1" fmla="*/ 63374 h 579422"/>
                              <a:gd name="connsiteX2" fmla="*/ 54321 w 2236216"/>
                              <a:gd name="connsiteY2" fmla="*/ 108642 h 579422"/>
                              <a:gd name="connsiteX3" fmla="*/ 81481 w 2236216"/>
                              <a:gd name="connsiteY3" fmla="*/ 117695 h 579422"/>
                              <a:gd name="connsiteX4" fmla="*/ 108642 w 2236216"/>
                              <a:gd name="connsiteY4" fmla="*/ 144856 h 579422"/>
                              <a:gd name="connsiteX5" fmla="*/ 199176 w 2236216"/>
                              <a:gd name="connsiteY5" fmla="*/ 117695 h 579422"/>
                              <a:gd name="connsiteX6" fmla="*/ 217283 w 2236216"/>
                              <a:gd name="connsiteY6" fmla="*/ 90535 h 579422"/>
                              <a:gd name="connsiteX7" fmla="*/ 244444 w 2236216"/>
                              <a:gd name="connsiteY7" fmla="*/ 72428 h 579422"/>
                              <a:gd name="connsiteX8" fmla="*/ 280657 w 2236216"/>
                              <a:gd name="connsiteY8" fmla="*/ 45267 h 579422"/>
                              <a:gd name="connsiteX9" fmla="*/ 362139 w 2236216"/>
                              <a:gd name="connsiteY9" fmla="*/ 54321 h 579422"/>
                              <a:gd name="connsiteX10" fmla="*/ 416459 w 2236216"/>
                              <a:gd name="connsiteY10" fmla="*/ 99588 h 579422"/>
                              <a:gd name="connsiteX11" fmla="*/ 443620 w 2236216"/>
                              <a:gd name="connsiteY11" fmla="*/ 190123 h 579422"/>
                              <a:gd name="connsiteX12" fmla="*/ 461727 w 2236216"/>
                              <a:gd name="connsiteY12" fmla="*/ 244444 h 579422"/>
                              <a:gd name="connsiteX13" fmla="*/ 506994 w 2236216"/>
                              <a:gd name="connsiteY13" fmla="*/ 298764 h 579422"/>
                              <a:gd name="connsiteX14" fmla="*/ 588475 w 2236216"/>
                              <a:gd name="connsiteY14" fmla="*/ 289711 h 579422"/>
                              <a:gd name="connsiteX15" fmla="*/ 615636 w 2236216"/>
                              <a:gd name="connsiteY15" fmla="*/ 271604 h 579422"/>
                              <a:gd name="connsiteX16" fmla="*/ 642796 w 2236216"/>
                              <a:gd name="connsiteY16" fmla="*/ 262551 h 579422"/>
                              <a:gd name="connsiteX17" fmla="*/ 669956 w 2236216"/>
                              <a:gd name="connsiteY17" fmla="*/ 244444 h 579422"/>
                              <a:gd name="connsiteX18" fmla="*/ 697117 w 2236216"/>
                              <a:gd name="connsiteY18" fmla="*/ 217283 h 579422"/>
                              <a:gd name="connsiteX19" fmla="*/ 742384 w 2236216"/>
                              <a:gd name="connsiteY19" fmla="*/ 235390 h 579422"/>
                              <a:gd name="connsiteX20" fmla="*/ 751438 w 2236216"/>
                              <a:gd name="connsiteY20" fmla="*/ 271604 h 579422"/>
                              <a:gd name="connsiteX21" fmla="*/ 769545 w 2236216"/>
                              <a:gd name="connsiteY21" fmla="*/ 298764 h 579422"/>
                              <a:gd name="connsiteX22" fmla="*/ 787651 w 2236216"/>
                              <a:gd name="connsiteY22" fmla="*/ 461727 h 579422"/>
                              <a:gd name="connsiteX23" fmla="*/ 796705 w 2236216"/>
                              <a:gd name="connsiteY23" fmla="*/ 497941 h 579422"/>
                              <a:gd name="connsiteX24" fmla="*/ 814812 w 2236216"/>
                              <a:gd name="connsiteY24" fmla="*/ 525101 h 579422"/>
                              <a:gd name="connsiteX25" fmla="*/ 896293 w 2236216"/>
                              <a:gd name="connsiteY25" fmla="*/ 570368 h 579422"/>
                              <a:gd name="connsiteX26" fmla="*/ 959667 w 2236216"/>
                              <a:gd name="connsiteY26" fmla="*/ 579422 h 579422"/>
                              <a:gd name="connsiteX27" fmla="*/ 1149790 w 2236216"/>
                              <a:gd name="connsiteY27" fmla="*/ 570368 h 579422"/>
                              <a:gd name="connsiteX28" fmla="*/ 1204111 w 2236216"/>
                              <a:gd name="connsiteY28" fmla="*/ 516048 h 579422"/>
                              <a:gd name="connsiteX29" fmla="*/ 1213164 w 2236216"/>
                              <a:gd name="connsiteY29" fmla="*/ 488887 h 579422"/>
                              <a:gd name="connsiteX30" fmla="*/ 1231271 w 2236216"/>
                              <a:gd name="connsiteY30" fmla="*/ 452673 h 579422"/>
                              <a:gd name="connsiteX31" fmla="*/ 1240325 w 2236216"/>
                              <a:gd name="connsiteY31" fmla="*/ 389299 h 579422"/>
                              <a:gd name="connsiteX32" fmla="*/ 1249378 w 2236216"/>
                              <a:gd name="connsiteY32" fmla="*/ 244444 h 579422"/>
                              <a:gd name="connsiteX33" fmla="*/ 1258432 w 2236216"/>
                              <a:gd name="connsiteY33" fmla="*/ 199176 h 579422"/>
                              <a:gd name="connsiteX34" fmla="*/ 1276539 w 2236216"/>
                              <a:gd name="connsiteY34" fmla="*/ 172016 h 579422"/>
                              <a:gd name="connsiteX35" fmla="*/ 1430448 w 2236216"/>
                              <a:gd name="connsiteY35" fmla="*/ 199176 h 579422"/>
                              <a:gd name="connsiteX36" fmla="*/ 1457608 w 2236216"/>
                              <a:gd name="connsiteY36" fmla="*/ 235390 h 579422"/>
                              <a:gd name="connsiteX37" fmla="*/ 1511929 w 2236216"/>
                              <a:gd name="connsiteY37" fmla="*/ 289711 h 579422"/>
                              <a:gd name="connsiteX38" fmla="*/ 1575303 w 2236216"/>
                              <a:gd name="connsiteY38" fmla="*/ 334978 h 579422"/>
                              <a:gd name="connsiteX39" fmla="*/ 1602463 w 2236216"/>
                              <a:gd name="connsiteY39" fmla="*/ 344032 h 579422"/>
                              <a:gd name="connsiteX40" fmla="*/ 1729212 w 2236216"/>
                              <a:gd name="connsiteY40" fmla="*/ 334978 h 579422"/>
                              <a:gd name="connsiteX41" fmla="*/ 1783533 w 2236216"/>
                              <a:gd name="connsiteY41" fmla="*/ 280658 h 579422"/>
                              <a:gd name="connsiteX42" fmla="*/ 1874067 w 2236216"/>
                              <a:gd name="connsiteY42" fmla="*/ 289711 h 579422"/>
                              <a:gd name="connsiteX43" fmla="*/ 1901228 w 2236216"/>
                              <a:gd name="connsiteY43" fmla="*/ 298764 h 579422"/>
                              <a:gd name="connsiteX44" fmla="*/ 1937442 w 2236216"/>
                              <a:gd name="connsiteY44" fmla="*/ 307818 h 579422"/>
                              <a:gd name="connsiteX45" fmla="*/ 1964602 w 2236216"/>
                              <a:gd name="connsiteY45" fmla="*/ 325925 h 579422"/>
                              <a:gd name="connsiteX46" fmla="*/ 2118511 w 2236216"/>
                              <a:gd name="connsiteY46" fmla="*/ 344032 h 579422"/>
                              <a:gd name="connsiteX47" fmla="*/ 2190939 w 2236216"/>
                              <a:gd name="connsiteY47" fmla="*/ 344032 h 579422"/>
                              <a:gd name="connsiteX48" fmla="*/ 2227152 w 2236216"/>
                              <a:gd name="connsiteY48" fmla="*/ 289711 h 579422"/>
                              <a:gd name="connsiteX49" fmla="*/ 2236206 w 2236216"/>
                              <a:gd name="connsiteY49" fmla="*/ 0 h 579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2236216" h="579422">
                                <a:moveTo>
                                  <a:pt x="0" y="9054"/>
                                </a:moveTo>
                                <a:cubicBezTo>
                                  <a:pt x="3018" y="27161"/>
                                  <a:pt x="3248" y="45960"/>
                                  <a:pt x="9053" y="63374"/>
                                </a:cubicBezTo>
                                <a:cubicBezTo>
                                  <a:pt x="16296" y="85103"/>
                                  <a:pt x="35006" y="98985"/>
                                  <a:pt x="54321" y="108642"/>
                                </a:cubicBezTo>
                                <a:cubicBezTo>
                                  <a:pt x="62857" y="112910"/>
                                  <a:pt x="72428" y="114677"/>
                                  <a:pt x="81481" y="117695"/>
                                </a:cubicBezTo>
                                <a:cubicBezTo>
                                  <a:pt x="90535" y="126749"/>
                                  <a:pt x="96087" y="142345"/>
                                  <a:pt x="108642" y="144856"/>
                                </a:cubicBezTo>
                                <a:cubicBezTo>
                                  <a:pt x="153455" y="153819"/>
                                  <a:pt x="169218" y="137668"/>
                                  <a:pt x="199176" y="117695"/>
                                </a:cubicBezTo>
                                <a:cubicBezTo>
                                  <a:pt x="205212" y="108642"/>
                                  <a:pt x="209589" y="98229"/>
                                  <a:pt x="217283" y="90535"/>
                                </a:cubicBezTo>
                                <a:cubicBezTo>
                                  <a:pt x="224977" y="82841"/>
                                  <a:pt x="235590" y="78753"/>
                                  <a:pt x="244444" y="72428"/>
                                </a:cubicBezTo>
                                <a:cubicBezTo>
                                  <a:pt x="256722" y="63658"/>
                                  <a:pt x="268586" y="54321"/>
                                  <a:pt x="280657" y="45267"/>
                                </a:cubicBezTo>
                                <a:cubicBezTo>
                                  <a:pt x="307818" y="48285"/>
                                  <a:pt x="335627" y="47693"/>
                                  <a:pt x="362139" y="54321"/>
                                </a:cubicBezTo>
                                <a:cubicBezTo>
                                  <a:pt x="378944" y="58522"/>
                                  <a:pt x="406325" y="89454"/>
                                  <a:pt x="416459" y="99588"/>
                                </a:cubicBezTo>
                                <a:cubicBezTo>
                                  <a:pt x="430143" y="154321"/>
                                  <a:pt x="421577" y="123994"/>
                                  <a:pt x="443620" y="190123"/>
                                </a:cubicBezTo>
                                <a:cubicBezTo>
                                  <a:pt x="443621" y="190127"/>
                                  <a:pt x="461725" y="244441"/>
                                  <a:pt x="461727" y="244444"/>
                                </a:cubicBezTo>
                                <a:cubicBezTo>
                                  <a:pt x="486936" y="282257"/>
                                  <a:pt x="472140" y="263910"/>
                                  <a:pt x="506994" y="298764"/>
                                </a:cubicBezTo>
                                <a:cubicBezTo>
                                  <a:pt x="534154" y="295746"/>
                                  <a:pt x="561963" y="296339"/>
                                  <a:pt x="588475" y="289711"/>
                                </a:cubicBezTo>
                                <a:cubicBezTo>
                                  <a:pt x="599031" y="287072"/>
                                  <a:pt x="605904" y="276470"/>
                                  <a:pt x="615636" y="271604"/>
                                </a:cubicBezTo>
                                <a:cubicBezTo>
                                  <a:pt x="624172" y="267336"/>
                                  <a:pt x="633743" y="265569"/>
                                  <a:pt x="642796" y="262551"/>
                                </a:cubicBezTo>
                                <a:cubicBezTo>
                                  <a:pt x="651849" y="256515"/>
                                  <a:pt x="661597" y="251410"/>
                                  <a:pt x="669956" y="244444"/>
                                </a:cubicBezTo>
                                <a:cubicBezTo>
                                  <a:pt x="679792" y="236247"/>
                                  <a:pt x="684412" y="218871"/>
                                  <a:pt x="697117" y="217283"/>
                                </a:cubicBezTo>
                                <a:cubicBezTo>
                                  <a:pt x="713243" y="215267"/>
                                  <a:pt x="727295" y="229354"/>
                                  <a:pt x="742384" y="235390"/>
                                </a:cubicBezTo>
                                <a:cubicBezTo>
                                  <a:pt x="745402" y="247461"/>
                                  <a:pt x="746536" y="260167"/>
                                  <a:pt x="751438" y="271604"/>
                                </a:cubicBezTo>
                                <a:cubicBezTo>
                                  <a:pt x="755724" y="281605"/>
                                  <a:pt x="766418" y="288342"/>
                                  <a:pt x="769545" y="298764"/>
                                </a:cubicBezTo>
                                <a:cubicBezTo>
                                  <a:pt x="777104" y="323961"/>
                                  <a:pt x="786363" y="452067"/>
                                  <a:pt x="787651" y="461727"/>
                                </a:cubicBezTo>
                                <a:cubicBezTo>
                                  <a:pt x="789296" y="474061"/>
                                  <a:pt x="791803" y="486504"/>
                                  <a:pt x="796705" y="497941"/>
                                </a:cubicBezTo>
                                <a:cubicBezTo>
                                  <a:pt x="800991" y="507942"/>
                                  <a:pt x="806623" y="517936"/>
                                  <a:pt x="814812" y="525101"/>
                                </a:cubicBezTo>
                                <a:cubicBezTo>
                                  <a:pt x="836325" y="543925"/>
                                  <a:pt x="866356" y="564381"/>
                                  <a:pt x="896293" y="570368"/>
                                </a:cubicBezTo>
                                <a:cubicBezTo>
                                  <a:pt x="917218" y="574553"/>
                                  <a:pt x="938542" y="576404"/>
                                  <a:pt x="959667" y="579422"/>
                                </a:cubicBezTo>
                                <a:lnTo>
                                  <a:pt x="1149790" y="570368"/>
                                </a:lnTo>
                                <a:cubicBezTo>
                                  <a:pt x="1174577" y="563942"/>
                                  <a:pt x="1204111" y="516048"/>
                                  <a:pt x="1204111" y="516048"/>
                                </a:cubicBezTo>
                                <a:cubicBezTo>
                                  <a:pt x="1207129" y="506994"/>
                                  <a:pt x="1209405" y="497659"/>
                                  <a:pt x="1213164" y="488887"/>
                                </a:cubicBezTo>
                                <a:cubicBezTo>
                                  <a:pt x="1218480" y="476482"/>
                                  <a:pt x="1227720" y="465694"/>
                                  <a:pt x="1231271" y="452673"/>
                                </a:cubicBezTo>
                                <a:cubicBezTo>
                                  <a:pt x="1236886" y="432086"/>
                                  <a:pt x="1237307" y="410424"/>
                                  <a:pt x="1240325" y="389299"/>
                                </a:cubicBezTo>
                                <a:cubicBezTo>
                                  <a:pt x="1243343" y="341014"/>
                                  <a:pt x="1244791" y="292605"/>
                                  <a:pt x="1249378" y="244444"/>
                                </a:cubicBezTo>
                                <a:cubicBezTo>
                                  <a:pt x="1250837" y="229125"/>
                                  <a:pt x="1253029" y="213584"/>
                                  <a:pt x="1258432" y="199176"/>
                                </a:cubicBezTo>
                                <a:cubicBezTo>
                                  <a:pt x="1262253" y="188988"/>
                                  <a:pt x="1270503" y="181069"/>
                                  <a:pt x="1276539" y="172016"/>
                                </a:cubicBezTo>
                                <a:cubicBezTo>
                                  <a:pt x="1326935" y="175616"/>
                                  <a:pt x="1390446" y="159174"/>
                                  <a:pt x="1430448" y="199176"/>
                                </a:cubicBezTo>
                                <a:cubicBezTo>
                                  <a:pt x="1441118" y="209846"/>
                                  <a:pt x="1447514" y="224174"/>
                                  <a:pt x="1457608" y="235390"/>
                                </a:cubicBezTo>
                                <a:cubicBezTo>
                                  <a:pt x="1474738" y="254424"/>
                                  <a:pt x="1511929" y="289711"/>
                                  <a:pt x="1511929" y="289711"/>
                                </a:cubicBezTo>
                                <a:cubicBezTo>
                                  <a:pt x="1527018" y="334978"/>
                                  <a:pt x="1511929" y="313853"/>
                                  <a:pt x="1575303" y="334978"/>
                                </a:cubicBezTo>
                                <a:lnTo>
                                  <a:pt x="1602463" y="344032"/>
                                </a:lnTo>
                                <a:cubicBezTo>
                                  <a:pt x="1644713" y="341014"/>
                                  <a:pt x="1689233" y="348971"/>
                                  <a:pt x="1729212" y="334978"/>
                                </a:cubicBezTo>
                                <a:cubicBezTo>
                                  <a:pt x="1753381" y="326519"/>
                                  <a:pt x="1783533" y="280658"/>
                                  <a:pt x="1783533" y="280658"/>
                                </a:cubicBezTo>
                                <a:cubicBezTo>
                                  <a:pt x="1813711" y="283676"/>
                                  <a:pt x="1844091" y="285100"/>
                                  <a:pt x="1874067" y="289711"/>
                                </a:cubicBezTo>
                                <a:cubicBezTo>
                                  <a:pt x="1883499" y="291162"/>
                                  <a:pt x="1892052" y="296142"/>
                                  <a:pt x="1901228" y="298764"/>
                                </a:cubicBezTo>
                                <a:cubicBezTo>
                                  <a:pt x="1913192" y="302182"/>
                                  <a:pt x="1925371" y="304800"/>
                                  <a:pt x="1937442" y="307818"/>
                                </a:cubicBezTo>
                                <a:cubicBezTo>
                                  <a:pt x="1946495" y="313854"/>
                                  <a:pt x="1954601" y="321639"/>
                                  <a:pt x="1964602" y="325925"/>
                                </a:cubicBezTo>
                                <a:cubicBezTo>
                                  <a:pt x="2001211" y="341615"/>
                                  <a:pt x="2107873" y="343214"/>
                                  <a:pt x="2118511" y="344032"/>
                                </a:cubicBezTo>
                                <a:cubicBezTo>
                                  <a:pt x="2139970" y="349396"/>
                                  <a:pt x="2169480" y="362809"/>
                                  <a:pt x="2190939" y="344032"/>
                                </a:cubicBezTo>
                                <a:cubicBezTo>
                                  <a:pt x="2207316" y="329702"/>
                                  <a:pt x="2227152" y="289711"/>
                                  <a:pt x="2227152" y="289711"/>
                                </a:cubicBezTo>
                                <a:cubicBezTo>
                                  <a:pt x="2236902" y="36227"/>
                                  <a:pt x="2236206" y="132842"/>
                                  <a:pt x="2236206" y="0"/>
                                </a:cubicBezTo>
                              </a:path>
                            </a:pathLst>
                          </a:custGeom>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onector recto 31"/>
                        <wps:cNvCnPr/>
                        <wps:spPr>
                          <a:xfrm>
                            <a:off x="2806574" y="760491"/>
                            <a:ext cx="1656715" cy="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32" name="Triángulo isósceles 32"/>
                        <wps:cNvSpPr/>
                        <wps:spPr>
                          <a:xfrm>
                            <a:off x="4464301" y="462670"/>
                            <a:ext cx="108641" cy="135802"/>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6" name="Grupo 76"/>
                        <wpg:cNvGrpSpPr/>
                        <wpg:grpSpPr>
                          <a:xfrm>
                            <a:off x="2916159" y="552261"/>
                            <a:ext cx="3385185" cy="198120"/>
                            <a:chOff x="0" y="0"/>
                            <a:chExt cx="3385449" cy="198611"/>
                          </a:xfrm>
                        </wpg:grpSpPr>
                        <wps:wsp>
                          <wps:cNvPr id="38" name="Forma libre: forma 38"/>
                          <wps:cNvSpPr/>
                          <wps:spPr>
                            <a:xfrm rot="21368137">
                              <a:off x="0" y="0"/>
                              <a:ext cx="135802" cy="172036"/>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Forma libre: forma 39"/>
                          <wps:cNvSpPr/>
                          <wps:spPr>
                            <a:xfrm rot="21368137">
                              <a:off x="153909" y="0"/>
                              <a:ext cx="135802" cy="172036"/>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Forma libre: forma 40"/>
                          <wps:cNvSpPr/>
                          <wps:spPr>
                            <a:xfrm rot="21368137">
                              <a:off x="316871" y="0"/>
                              <a:ext cx="135802" cy="172036"/>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Forma libre: forma 41"/>
                          <wps:cNvSpPr/>
                          <wps:spPr>
                            <a:xfrm rot="21368137">
                              <a:off x="470780" y="0"/>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Forma libre: forma 42"/>
                          <wps:cNvSpPr/>
                          <wps:spPr>
                            <a:xfrm rot="21368137">
                              <a:off x="624689" y="0"/>
                              <a:ext cx="135802" cy="172036"/>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Forma libre: forma 43"/>
                          <wps:cNvSpPr/>
                          <wps:spPr>
                            <a:xfrm rot="21368137">
                              <a:off x="778598" y="0"/>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Forma libre: forma 44"/>
                          <wps:cNvSpPr/>
                          <wps:spPr>
                            <a:xfrm rot="21368137">
                              <a:off x="932507" y="9054"/>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Forma libre: forma 45"/>
                          <wps:cNvSpPr/>
                          <wps:spPr>
                            <a:xfrm rot="21368137">
                              <a:off x="1095469" y="0"/>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Forma libre: forma 46"/>
                          <wps:cNvSpPr/>
                          <wps:spPr>
                            <a:xfrm rot="21368137">
                              <a:off x="1231271" y="9054"/>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Forma libre: forma 47"/>
                          <wps:cNvSpPr/>
                          <wps:spPr>
                            <a:xfrm rot="21368137">
                              <a:off x="1385180" y="9054"/>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Forma libre: forma 48"/>
                          <wps:cNvSpPr/>
                          <wps:spPr>
                            <a:xfrm rot="21368137">
                              <a:off x="1548142" y="18107"/>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Forma libre: forma 54"/>
                          <wps:cNvSpPr/>
                          <wps:spPr>
                            <a:xfrm rot="21368137">
                              <a:off x="1702051" y="9054"/>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Forma libre: forma 64"/>
                          <wps:cNvSpPr/>
                          <wps:spPr>
                            <a:xfrm rot="21368137">
                              <a:off x="1855960" y="18107"/>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Forma libre: forma 65"/>
                          <wps:cNvSpPr/>
                          <wps:spPr>
                            <a:xfrm rot="21368137">
                              <a:off x="2009869" y="9054"/>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rot="21368137">
                              <a:off x="2172831" y="18107"/>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rot="21368137">
                              <a:off x="2326740" y="9054"/>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rot="21368137">
                              <a:off x="2471596" y="27161"/>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rot="21368137">
                              <a:off x="2625505" y="18107"/>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Forma libre: forma 70"/>
                          <wps:cNvSpPr/>
                          <wps:spPr>
                            <a:xfrm rot="21368137">
                              <a:off x="2788467" y="27161"/>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Forma libre: forma 71"/>
                          <wps:cNvSpPr/>
                          <wps:spPr>
                            <a:xfrm rot="21368137">
                              <a:off x="2942376" y="18107"/>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Forma libre: forma 72"/>
                          <wps:cNvSpPr/>
                          <wps:spPr>
                            <a:xfrm rot="21368137">
                              <a:off x="3096285" y="27161"/>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Forma libre: forma 73"/>
                          <wps:cNvSpPr/>
                          <wps:spPr>
                            <a:xfrm rot="21368137">
                              <a:off x="3250194" y="18107"/>
                              <a:ext cx="135255" cy="171450"/>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3" name="Grupo 83"/>
                        <wpg:cNvGrpSpPr/>
                        <wpg:grpSpPr>
                          <a:xfrm>
                            <a:off x="1186004" y="1702051"/>
                            <a:ext cx="2439349" cy="679010"/>
                            <a:chOff x="0" y="0"/>
                            <a:chExt cx="2439349" cy="679010"/>
                          </a:xfrm>
                        </wpg:grpSpPr>
                        <wps:wsp>
                          <wps:cNvPr id="33" name="Cuadro de texto 33"/>
                          <wps:cNvSpPr txBox="1"/>
                          <wps:spPr>
                            <a:xfrm>
                              <a:off x="298764" y="0"/>
                              <a:ext cx="1565722" cy="235390"/>
                            </a:xfrm>
                            <a:prstGeom prst="rect">
                              <a:avLst/>
                            </a:prstGeom>
                            <a:noFill/>
                            <a:ln w="6350">
                              <a:noFill/>
                            </a:ln>
                          </wps:spPr>
                          <wps:txbx>
                            <w:txbxContent>
                              <w:p w14:paraId="2BCADA6E" w14:textId="77777777" w:rsidR="00904836" w:rsidRPr="00505378" w:rsidRDefault="00904836" w:rsidP="00F64D04">
                                <w:pPr>
                                  <w:spacing w:after="0" w:line="240" w:lineRule="auto"/>
                                  <w:jc w:val="left"/>
                                  <w:rPr>
                                    <w:sz w:val="20"/>
                                    <w:szCs w:val="20"/>
                                    <w:lang w:val="es-AR"/>
                                  </w:rPr>
                                </w:pPr>
                                <w:r>
                                  <w:rPr>
                                    <w:sz w:val="20"/>
                                    <w:szCs w:val="20"/>
                                    <w:lang w:val="es-AR"/>
                                  </w:rPr>
                                  <w:t>Punto medio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Triángulo isósceles 77"/>
                          <wps:cNvSpPr/>
                          <wps:spPr>
                            <a:xfrm>
                              <a:off x="91477" y="28104"/>
                              <a:ext cx="108641" cy="135802"/>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Forma libre: forma 79"/>
                          <wps:cNvSpPr/>
                          <wps:spPr>
                            <a:xfrm rot="21368137">
                              <a:off x="82424" y="226337"/>
                              <a:ext cx="134620" cy="170815"/>
                            </a:xfrm>
                            <a:custGeom>
                              <a:avLst/>
                              <a:gdLst>
                                <a:gd name="connsiteX0" fmla="*/ 0 w 135802"/>
                                <a:gd name="connsiteY0" fmla="*/ 0 h 172036"/>
                                <a:gd name="connsiteX1" fmla="*/ 45267 w 135802"/>
                                <a:gd name="connsiteY1" fmla="*/ 172016 h 172036"/>
                                <a:gd name="connsiteX2" fmla="*/ 135802 w 135802"/>
                                <a:gd name="connsiteY2" fmla="*/ 9054 h 172036"/>
                              </a:gdLst>
                              <a:ahLst/>
                              <a:cxnLst>
                                <a:cxn ang="0">
                                  <a:pos x="connsiteX0" y="connsiteY0"/>
                                </a:cxn>
                                <a:cxn ang="0">
                                  <a:pos x="connsiteX1" y="connsiteY1"/>
                                </a:cxn>
                                <a:cxn ang="0">
                                  <a:pos x="connsiteX2" y="connsiteY2"/>
                                </a:cxn>
                              </a:cxnLst>
                              <a:rect l="l" t="t" r="r" b="b"/>
                              <a:pathLst>
                                <a:path w="135802" h="172036">
                                  <a:moveTo>
                                    <a:pt x="0" y="0"/>
                                  </a:moveTo>
                                  <a:cubicBezTo>
                                    <a:pt x="11316" y="85253"/>
                                    <a:pt x="22633" y="170507"/>
                                    <a:pt x="45267" y="172016"/>
                                  </a:cubicBezTo>
                                  <a:cubicBezTo>
                                    <a:pt x="67901" y="173525"/>
                                    <a:pt x="101851" y="91289"/>
                                    <a:pt x="135802" y="9054"/>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Cuadro de texto 80"/>
                          <wps:cNvSpPr txBox="1"/>
                          <wps:spPr>
                            <a:xfrm>
                              <a:off x="298764" y="208230"/>
                              <a:ext cx="2140585" cy="280657"/>
                            </a:xfrm>
                            <a:prstGeom prst="rect">
                              <a:avLst/>
                            </a:prstGeom>
                            <a:noFill/>
                            <a:ln w="6350">
                              <a:noFill/>
                            </a:ln>
                          </wps:spPr>
                          <wps:txbx>
                            <w:txbxContent>
                              <w:p w14:paraId="195B2426" w14:textId="77777777" w:rsidR="00904836" w:rsidRPr="00505378" w:rsidRDefault="00904836" w:rsidP="00F64D04">
                                <w:pPr>
                                  <w:spacing w:after="0" w:line="240" w:lineRule="auto"/>
                                  <w:jc w:val="left"/>
                                  <w:rPr>
                                    <w:sz w:val="20"/>
                                    <w:szCs w:val="20"/>
                                    <w:lang w:val="es-AR"/>
                                  </w:rPr>
                                </w:pPr>
                                <w:r>
                                  <w:rPr>
                                    <w:sz w:val="20"/>
                                    <w:szCs w:val="20"/>
                                    <w:lang w:val="es-AR"/>
                                  </w:rPr>
                                  <w:t>Desplazamiento entre tareas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Conector recto 81"/>
                          <wps:cNvCnPr/>
                          <wps:spPr>
                            <a:xfrm>
                              <a:off x="0" y="534155"/>
                              <a:ext cx="266700" cy="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82" name="Cuadro de texto 82"/>
                          <wps:cNvSpPr txBox="1"/>
                          <wps:spPr>
                            <a:xfrm>
                              <a:off x="298764" y="398353"/>
                              <a:ext cx="2140585" cy="280657"/>
                            </a:xfrm>
                            <a:prstGeom prst="rect">
                              <a:avLst/>
                            </a:prstGeom>
                            <a:noFill/>
                            <a:ln w="6350">
                              <a:noFill/>
                            </a:ln>
                          </wps:spPr>
                          <wps:txbx>
                            <w:txbxContent>
                              <w:p w14:paraId="3C7CB315" w14:textId="77777777" w:rsidR="00904836" w:rsidRPr="00505378" w:rsidRDefault="00904836" w:rsidP="00F64D04">
                                <w:pPr>
                                  <w:spacing w:after="0" w:line="240" w:lineRule="auto"/>
                                  <w:jc w:val="left"/>
                                  <w:rPr>
                                    <w:sz w:val="20"/>
                                    <w:szCs w:val="20"/>
                                    <w:lang w:val="es-AR"/>
                                  </w:rPr>
                                </w:pPr>
                                <w:r>
                                  <w:rPr>
                                    <w:sz w:val="20"/>
                                    <w:szCs w:val="20"/>
                                    <w:lang w:val="es-AR"/>
                                  </w:rPr>
                                  <w:t>Desplazamiento de aproximación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6481319A" id="Grupo 84" o:spid="_x0000_s1026" style="position:absolute;left:0;text-align:left;margin-left:1pt;margin-top:5.2pt;width:496.15pt;height:187.5pt;z-index:251655168" coordsize="63013,2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">
                <v:shapetype id="_x0000_t202" coordsize="21600,21600" o:spt="202" path="m,l,21600r21600,l21600,xe">
                  <v:stroke joinstyle="miter"/>
                  <v:path gradientshapeok="t" o:connecttype="rect"/>
                </v:shapetype>
                <v:shape id="Cuadro de texto 24" o:spid="_x0000_s1027" type="#_x0000_t202" style="position:absolute;width:10139;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3914EC49" w14:textId="77777777" w:rsidR="00904836" w:rsidRPr="00505378" w:rsidRDefault="00904836" w:rsidP="00F64D04">
                        <w:pPr>
                          <w:spacing w:after="0" w:line="240" w:lineRule="auto"/>
                          <w:jc w:val="center"/>
                          <w:rPr>
                            <w:sz w:val="20"/>
                            <w:szCs w:val="20"/>
                            <w:lang w:val="es-AR"/>
                          </w:rPr>
                        </w:pPr>
                        <w:r w:rsidRPr="00505378">
                          <w:rPr>
                            <w:sz w:val="20"/>
                            <w:szCs w:val="20"/>
                            <w:lang w:val="es-AR"/>
                          </w:rPr>
                          <w:t>Centro Operativo</w:t>
                        </w:r>
                      </w:p>
                    </w:txbxContent>
                  </v:textbox>
                </v:shape>
                <v:shape id="Cuadro de texto 25" o:spid="_x0000_s1028" type="#_x0000_t202" style="position:absolute;left:22905;width:10140;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50BADC3C" w14:textId="77777777" w:rsidR="00904836" w:rsidRPr="00505378" w:rsidRDefault="00904836" w:rsidP="00F64D04">
                        <w:pPr>
                          <w:spacing w:after="0" w:line="240" w:lineRule="auto"/>
                          <w:jc w:val="center"/>
                          <w:rPr>
                            <w:sz w:val="20"/>
                            <w:szCs w:val="20"/>
                            <w:lang w:val="es-AR"/>
                          </w:rPr>
                        </w:pPr>
                        <w:r>
                          <w:rPr>
                            <w:sz w:val="20"/>
                            <w:szCs w:val="20"/>
                            <w:lang w:val="es-AR"/>
                          </w:rPr>
                          <w:t>Subestación Cabecera</w:t>
                        </w:r>
                      </w:p>
                    </w:txbxContent>
                  </v:textbox>
                </v:shape>
                <v:shape id="Cuadro de texto 26" o:spid="_x0000_s1029" type="#_x0000_t202" style="position:absolute;left:32230;top:1901;width:15653;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2A801D21" w14:textId="77777777" w:rsidR="00904836" w:rsidRPr="00505378" w:rsidRDefault="00904836" w:rsidP="00F64D04">
                        <w:pPr>
                          <w:spacing w:after="0" w:line="240" w:lineRule="auto"/>
                          <w:jc w:val="center"/>
                          <w:rPr>
                            <w:sz w:val="20"/>
                            <w:szCs w:val="20"/>
                            <w:lang w:val="es-AR"/>
                          </w:rPr>
                        </w:pPr>
                        <w:r>
                          <w:rPr>
                            <w:sz w:val="20"/>
                            <w:szCs w:val="20"/>
                            <w:lang w:val="es-AR"/>
                          </w:rPr>
                          <w:t>Tramo de Línea asignado</w:t>
                        </w:r>
                      </w:p>
                    </w:txbxContent>
                  </v:textbox>
                </v:shape>
                <v:oval id="Elipse 27" o:spid="_x0000_s1030" style="position:absolute;left:4526;top:5251;width:1720;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" fillcolor="#4472c4 [3204]" stroked="f" strokeweight="1pt">
                  <v:stroke joinstyle="miter"/>
                </v:oval>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Rectángulo: biselado 28" o:spid="_x0000_s1031" type="#_x0000_t84" style="position:absolute;left:26436;top:3983;width:2535;height:2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" fillcolor="#4472c4 [3204]" stroked="f" strokeweight="1pt"/>
                <v:line id="Conector recto 29" o:spid="_x0000_s1032" style="position:absolute;visibility:visible;mso-wrap-style:square" from="28971,5251" to="62832,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" strokecolor="#4472c4 [3204]" strokeweight=".5pt">
                  <v:stroke joinstyle="miter"/>
                </v:line>
                <v:shape id="Forma libre: forma 30" o:spid="_x0000_s1033" style="position:absolute;left:5703;top:7604;width:22359;height:5792;visibility:visible;mso-wrap-style:square;v-text-anchor:middle" coordsize="2236216,579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" path="m,9054c3018,27161,3248,45960,9053,63374v7243,21729,25953,35611,45268,45268c62857,112910,72428,114677,81481,117695v9054,9054,14606,24650,27161,27161c153455,153819,169218,137668,199176,117695v6036,-9053,10413,-19466,18107,-27160c224977,82841,235590,78753,244444,72428v12278,-8770,24142,-18107,36213,-27161c307818,48285,335627,47693,362139,54321v16805,4201,44186,35133,54320,45267c430143,154321,421577,123994,443620,190123v1,4,18105,54318,18107,54321c486936,282257,472140,263910,506994,298764v27160,-3018,54969,-2425,81481,-9053c599031,287072,605904,276470,615636,271604v8536,-4268,18107,-6035,27160,-9053c651849,256515,661597,251410,669956,244444v9836,-8197,14456,-25573,27161,-27161c713243,215267,727295,229354,742384,235390v3018,12071,4152,24777,9054,36214c755724,281605,766418,288342,769545,298764v7559,25197,16818,153303,18106,162963c789296,474061,791803,486504,796705,497941v4286,10001,9918,19995,18107,27160c836325,543925,866356,564381,896293,570368v20925,4185,42249,6036,63374,9054l1149790,570368v24787,-6426,54321,-54320,54321,-54320c1207129,506994,1209405,497659,1213164,488887v5316,-12405,14556,-23193,18107,-36214c1236886,432086,1237307,410424,1240325,389299v3018,-48285,4466,-96694,9053,-144855c1250837,229125,1253029,213584,1258432,199176v3821,-10188,12071,-18107,18107,-27160c1326935,175616,1390446,159174,1430448,199176v10670,10670,17066,24998,27160,36214c1474738,254424,1511929,289711,1511929,289711v15089,45267,,24142,63374,45267l1602463,344032v42250,-3018,86770,4939,126749,-9054c1753381,326519,1783533,280658,1783533,280658v30178,3018,60558,4442,90534,9053c1883499,291162,1892052,296142,1901228,298764v11964,3418,24143,6036,36214,9054c1946495,313854,1954601,321639,1964602,325925v36609,15690,143271,17289,153909,18107c2139970,349396,2169480,362809,2190939,344032v16377,-14330,36213,-54321,36213,-54321c2236902,36227,2236206,132842,2236206,e" filled="f" strokecolor="#70ad47 [3209]" strokeweight="1.5pt">
                  <v:stroke joinstyle="miter"/>
                  <v:path arrowok="t" o:connecttype="custom" o:connectlocs="0,9049;9051,63341;54312,108585;81467,117634;108623,144780;199142,117634;217246,90488;244402,72390;280609,45243;362077,54293;416388,99536;443544,190024;461648,244317;506908,298608;588375,289560;615531,271462;642686,262414;669842,244317;696998,217170;742258,235267;751310,271462;769414,298608;787517,461486;796569,497681;814673,524827;896140,570071;959503,579120;1149594,570071;1203906,515779;1212957,488632;1231061,452437;1240114,389096;1249165,244317;1258218,199072;1276322,171926;1430204,199072;1457360,235267;1511671,289560;1575035,334803;1602190,343853;1728917,334803;1783229,280512;1873748,289560;1900904,298608;1937112,307658;1964267,325755;2118150,343853;2190566,343853;2226773,289560;2235825,0" o:connectangles="0,0,0,0,0,0,0,0,0,0,0,0,0,0,0,0,0,0,0,0,0,0,0,0,0,0,0,0,0,0,0,0,0,0,0,0,0,0,0,0,0,0,0,0,0,0,0,0,0,0"/>
                </v:shape>
                <v:line id="Conector recto 31" o:spid="_x0000_s1034" style="position:absolute;visibility:visible;mso-wrap-style:square" from="28065,7604" to="44632,7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" strokecolor="#70ad47 [3209]" strokeweight="1.5pt">
                  <v:stroke joinstyle="miter"/>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32" o:spid="_x0000_s1035" type="#_x0000_t5" style="position:absolute;left:44643;top:4626;width:1086;height:1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" fillcolor="#4472c4 [3204]" strokecolor="#1f3763 [1604]" strokeweight="1pt"/>
                <v:group id="Grupo 76" o:spid="_x0000_s1036" style="position:absolute;left:29161;top:5522;width:33852;height:1981" coordsize="33854,1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orma libre: forma 38" o:spid="_x0000_s1037" style="position:absolute;width:1358;height:1720;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" path="m,c11316,85253,22633,170507,45267,172016,67901,173525,101851,91289,135802,9054e" filled="f" strokecolor="#ed7d31 [3205]" strokeweight="1.5pt">
                    <v:stroke joinstyle="miter"/>
                    <v:path arrowok="t" o:connecttype="custom" o:connectlocs="0,0;45267,172016;135802,9054" o:connectangles="0,0,0"/>
                  </v:shape>
                  <v:shape id="Forma libre: forma 39" o:spid="_x0000_s1038" style="position:absolute;left:1539;width:1358;height:1720;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267,172016;135802,9054" o:connectangles="0,0,0"/>
                  </v:shape>
                  <v:shape id="Forma libre: forma 40" o:spid="_x0000_s1039" style="position:absolute;left:3168;width:1358;height:1720;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" path="m,c11316,85253,22633,170507,45267,172016,67901,173525,101851,91289,135802,9054e" filled="f" strokecolor="#ed7d31 [3205]" strokeweight="1.5pt">
                    <v:stroke joinstyle="miter"/>
                    <v:path arrowok="t" o:connecttype="custom" o:connectlocs="0,0;45267,172016;135802,9054" o:connectangles="0,0,0"/>
                  </v:shape>
                  <v:shape id="Forma libre: forma 41" o:spid="_x0000_s1040" style="position:absolute;left:4707;width:1353;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" path="m,c11316,85253,22633,170507,45267,172016,67901,173525,101851,91289,135802,9054e" filled="f" strokecolor="#ed7d31 [3205]" strokeweight="1.5pt">
                    <v:stroke joinstyle="miter"/>
                    <v:path arrowok="t" o:connecttype="custom" o:connectlocs="0,0;45085,171430;135255,9023" o:connectangles="0,0,0"/>
                  </v:shape>
                  <v:shape id="Forma libre: forma 42" o:spid="_x0000_s1041" style="position:absolute;left:6246;width:1358;height:1720;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" path="m,c11316,85253,22633,170507,45267,172016,67901,173525,101851,91289,135802,9054e" filled="f" strokecolor="#ed7d31 [3205]" strokeweight="1.5pt">
                    <v:stroke joinstyle="miter"/>
                    <v:path arrowok="t" o:connecttype="custom" o:connectlocs="0,0;45267,172016;135802,9054" o:connectangles="0,0,0"/>
                  </v:shape>
                  <v:shape id="Forma libre: forma 43" o:spid="_x0000_s1042" style="position:absolute;left:7785;width:1353;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44" o:spid="_x0000_s1043" style="position:absolute;left:9325;top:90;width:1352;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" path="m,c11316,85253,22633,170507,45267,172016,67901,173525,101851,91289,135802,9054e" filled="f" strokecolor="#ed7d31 [3205]" strokeweight="1.5pt">
                    <v:stroke joinstyle="miter"/>
                    <v:path arrowok="t" o:connecttype="custom" o:connectlocs="0,0;45085,171430;135255,9023" o:connectangles="0,0,0"/>
                  </v:shape>
                  <v:shape id="Forma libre: forma 45" o:spid="_x0000_s1044" style="position:absolute;left:10954;width:1353;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46" o:spid="_x0000_s1045" style="position:absolute;left:12312;top:90;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47" o:spid="_x0000_s1046" style="position:absolute;left:13851;top:90;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48" o:spid="_x0000_s1047" style="position:absolute;left:15481;top:181;width:1352;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" path="m,c11316,85253,22633,170507,45267,172016,67901,173525,101851,91289,135802,9054e" filled="f" strokecolor="#ed7d31 [3205]" strokeweight="1.5pt">
                    <v:stroke joinstyle="miter"/>
                    <v:path arrowok="t" o:connecttype="custom" o:connectlocs="0,0;45085,171430;135255,9023" o:connectangles="0,0,0"/>
                  </v:shape>
                  <v:shape id="Forma libre: forma 54" o:spid="_x0000_s1048" style="position:absolute;left:17020;top:90;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64" o:spid="_x0000_s1049" style="position:absolute;left:18559;top:181;width:1353;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65" o:spid="_x0000_s1050" style="position:absolute;left:20098;top:90;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" path="m,c11316,85253,22633,170507,45267,172016,67901,173525,101851,91289,135802,9054e" filled="f" strokecolor="#ed7d31 [3205]" strokeweight="1.5pt">
                    <v:stroke joinstyle="miter"/>
                    <v:path arrowok="t" o:connecttype="custom" o:connectlocs="0,0;45085,171430;135255,9023" o:connectangles="0,0,0"/>
                  </v:shape>
                  <v:shape id="Forma libre: forma 66" o:spid="_x0000_s1051" style="position:absolute;left:21728;top:181;width:1352;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" path="m,c11316,85253,22633,170507,45267,172016,67901,173525,101851,91289,135802,9054e" filled="f" strokecolor="#ed7d31 [3205]" strokeweight="1.5pt">
                    <v:stroke joinstyle="miter"/>
                    <v:path arrowok="t" o:connecttype="custom" o:connectlocs="0,0;45085,171430;135255,9023" o:connectangles="0,0,0"/>
                  </v:shape>
                  <v:shape id="Forma libre: forma 67" o:spid="_x0000_s1052" style="position:absolute;left:23267;top:90;width:1352;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" path="m,c11316,85253,22633,170507,45267,172016,67901,173525,101851,91289,135802,9054e" filled="f" strokecolor="#ed7d31 [3205]" strokeweight="1.5pt">
                    <v:stroke joinstyle="miter"/>
                    <v:path arrowok="t" o:connecttype="custom" o:connectlocs="0,0;45085,171430;135255,9023" o:connectangles="0,0,0"/>
                  </v:shape>
                  <v:shape id="Forma libre: forma 68" o:spid="_x0000_s1053" style="position:absolute;left:24715;top:271;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" path="m,c11316,85253,22633,170507,45267,172016,67901,173525,101851,91289,135802,9054e" filled="f" strokecolor="#ed7d31 [3205]" strokeweight="1.5pt">
                    <v:stroke joinstyle="miter"/>
                    <v:path arrowok="t" o:connecttype="custom" o:connectlocs="0,0;45085,171430;135255,9023" o:connectangles="0,0,0"/>
                  </v:shape>
                  <v:shape id="Forma libre: forma 69" o:spid="_x0000_s1054" style="position:absolute;left:26255;top:181;width:1352;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70" o:spid="_x0000_s1055" style="position:absolute;left:27884;top:271;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" path="m,c11316,85253,22633,170507,45267,172016,67901,173525,101851,91289,135802,9054e" filled="f" strokecolor="#ed7d31 [3205]" strokeweight="1.5pt">
                    <v:stroke joinstyle="miter"/>
                    <v:path arrowok="t" o:connecttype="custom" o:connectlocs="0,0;45085,171430;135255,9023" o:connectangles="0,0,0"/>
                  </v:shape>
                  <v:shape id="Forma libre: forma 71" o:spid="_x0000_s1056" style="position:absolute;left:29423;top:181;width:1353;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shape id="Forma libre: forma 72" o:spid="_x0000_s1057" style="position:absolute;left:30962;top:271;width:1353;height:1715;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" path="m,c11316,85253,22633,170507,45267,172016,67901,173525,101851,91289,135802,9054e" filled="f" strokecolor="#ed7d31 [3205]" strokeweight="1.5pt">
                    <v:stroke joinstyle="miter"/>
                    <v:path arrowok="t" o:connecttype="custom" o:connectlocs="0,0;45085,171430;135255,9023" o:connectangles="0,0,0"/>
                  </v:shape>
                  <v:shape id="Forma libre: forma 73" o:spid="_x0000_s1058" style="position:absolute;left:32501;top:181;width:1353;height:1714;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5085,171430;135255,9023" o:connectangles="0,0,0"/>
                  </v:shape>
                </v:group>
                <v:group id="Grupo 83" o:spid="_x0000_s1059" style="position:absolute;left:11860;top:17020;width:24393;height:6790" coordsize="24393,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Cuadro de texto 33" o:spid="_x0000_s1060" type="#_x0000_t202" style="position:absolute;left:2987;width:15657;height:2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2BCADA6E" w14:textId="77777777" w:rsidR="00904836" w:rsidRPr="00505378" w:rsidRDefault="00904836" w:rsidP="00F64D04">
                          <w:pPr>
                            <w:spacing w:after="0" w:line="240" w:lineRule="auto"/>
                            <w:jc w:val="left"/>
                            <w:rPr>
                              <w:sz w:val="20"/>
                              <w:szCs w:val="20"/>
                              <w:lang w:val="es-AR"/>
                            </w:rPr>
                          </w:pPr>
                          <w:r>
                            <w:rPr>
                              <w:sz w:val="20"/>
                              <w:szCs w:val="20"/>
                              <w:lang w:val="es-AR"/>
                            </w:rPr>
                            <w:t>Punto medio</w:t>
                          </w:r>
                        </w:p>
                      </w:txbxContent>
                    </v:textbox>
                  </v:shape>
                  <v:shape id="Triángulo isósceles 77" o:spid="_x0000_s1061" type="#_x0000_t5" style="position:absolute;left:914;top:281;width:1087;height:1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" fillcolor="#4472c4 [3204]" strokecolor="#1f3763 [1604]" strokeweight="1pt"/>
                  <v:shape id="Forma libre: forma 79" o:spid="_x0000_s1062" style="position:absolute;left:824;top:2263;width:1346;height:1708;rotation:-253256fd;visibility:visible;mso-wrap-style:square;v-text-anchor:middle" coordsize="135802,172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" path="m,c11316,85253,22633,170507,45267,172016,67901,173525,101851,91289,135802,9054e" filled="f" strokecolor="#ed7d31 [3205]" strokeweight="1.5pt">
                    <v:stroke joinstyle="miter"/>
                    <v:path arrowok="t" o:connecttype="custom" o:connectlocs="0,0;44873,170795;134620,8990" o:connectangles="0,0,0"/>
                  </v:shape>
                  <v:shape id="Cuadro de texto 80" o:spid="_x0000_s1063" type="#_x0000_t202" style="position:absolute;left:2987;top:2082;width:21406;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195B2426" w14:textId="77777777" w:rsidR="00904836" w:rsidRPr="00505378" w:rsidRDefault="00904836" w:rsidP="00F64D04">
                          <w:pPr>
                            <w:spacing w:after="0" w:line="240" w:lineRule="auto"/>
                            <w:jc w:val="left"/>
                            <w:rPr>
                              <w:sz w:val="20"/>
                              <w:szCs w:val="20"/>
                              <w:lang w:val="es-AR"/>
                            </w:rPr>
                          </w:pPr>
                          <w:r>
                            <w:rPr>
                              <w:sz w:val="20"/>
                              <w:szCs w:val="20"/>
                              <w:lang w:val="es-AR"/>
                            </w:rPr>
                            <w:t>Desplazamiento entre tareas</w:t>
                          </w:r>
                        </w:p>
                      </w:txbxContent>
                    </v:textbox>
                  </v:shape>
                  <v:line id="Conector recto 81" o:spid="_x0000_s1064" style="position:absolute;visibility:visible;mso-wrap-style:square" from="0,5341" to="2667,5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" strokecolor="#70ad47 [3209]" strokeweight="1.5pt">
                    <v:stroke joinstyle="miter"/>
                  </v:line>
                  <v:shape id="Cuadro de texto 82" o:spid="_x0000_s1065" type="#_x0000_t202" style="position:absolute;left:2987;top:3983;width:21406;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" filled="f" stroked="f" strokeweight=".5pt">
                    <v:textbox>
                      <w:txbxContent>
                        <w:p w14:paraId="3C7CB315" w14:textId="77777777" w:rsidR="00904836" w:rsidRPr="00505378" w:rsidRDefault="00904836" w:rsidP="00F64D04">
                          <w:pPr>
                            <w:spacing w:after="0" w:line="240" w:lineRule="auto"/>
                            <w:jc w:val="left"/>
                            <w:rPr>
                              <w:sz w:val="20"/>
                              <w:szCs w:val="20"/>
                              <w:lang w:val="es-AR"/>
                            </w:rPr>
                          </w:pPr>
                          <w:r>
                            <w:rPr>
                              <w:sz w:val="20"/>
                              <w:szCs w:val="20"/>
                              <w:lang w:val="es-AR"/>
                            </w:rPr>
                            <w:t>Desplazamiento de aproximación</w:t>
                          </w:r>
                        </w:p>
                      </w:txbxContent>
                    </v:textbox>
                  </v:shape>
                </v:group>
              </v:group>
            </w:pict>
          </mc:Fallback>
        </mc:AlternateContent>
      </w:r>
    </w:p>
    <w:p w14:paraId="71A7B402" w14:textId="77777777" w:rsidR="00F64D04" w:rsidRPr="00AC5990" w:rsidRDefault="00F64D04" w:rsidP="00F64D04">
      <w:pPr>
        <w:rPr>
          <w:lang w:val="es-ES"/>
        </w:rPr>
      </w:pPr>
    </w:p>
    <w:p w14:paraId="49B1A77D" w14:textId="77777777" w:rsidR="00F64D04" w:rsidRPr="00AC5990" w:rsidRDefault="00F64D04" w:rsidP="00F64D04">
      <w:pPr>
        <w:rPr>
          <w:lang w:val="es-ES"/>
        </w:rPr>
      </w:pPr>
    </w:p>
    <w:p w14:paraId="3F733C81" w14:textId="77777777" w:rsidR="00F64D04" w:rsidRPr="00AC5990" w:rsidRDefault="00F64D04" w:rsidP="00F64D04">
      <w:pPr>
        <w:rPr>
          <w:lang w:val="es-ES"/>
        </w:rPr>
      </w:pPr>
    </w:p>
    <w:p w14:paraId="42E4EF63" w14:textId="77777777" w:rsidR="00F64D04" w:rsidRPr="00AC5990" w:rsidRDefault="00F64D04" w:rsidP="00F64D04">
      <w:pPr>
        <w:rPr>
          <w:lang w:val="es-ES"/>
        </w:rPr>
      </w:pPr>
    </w:p>
    <w:p w14:paraId="63C09097" w14:textId="77777777" w:rsidR="00F64D04" w:rsidRPr="00AC5990" w:rsidRDefault="00F64D04" w:rsidP="00F64D04">
      <w:pPr>
        <w:rPr>
          <w:lang w:val="es-ES"/>
        </w:rPr>
      </w:pPr>
    </w:p>
    <w:p w14:paraId="6D77D2B6" w14:textId="77777777" w:rsidR="00F64D04" w:rsidRPr="00AC5990" w:rsidRDefault="00F64D04" w:rsidP="00F64D04">
      <w:pPr>
        <w:rPr>
          <w:lang w:val="es-ES"/>
        </w:rPr>
      </w:pPr>
    </w:p>
    <w:p w14:paraId="28DB7280" w14:textId="77777777" w:rsidR="00F64D04" w:rsidRPr="00AC5990" w:rsidRDefault="00F64D04" w:rsidP="00F64D04">
      <w:pPr>
        <w:rPr>
          <w:lang w:val="es-ES"/>
        </w:rPr>
      </w:pPr>
    </w:p>
    <w:p w14:paraId="32A826AE" w14:textId="77777777" w:rsidR="00F64D04" w:rsidRPr="00AC5990" w:rsidRDefault="00F64D04" w:rsidP="00F64D04">
      <w:pPr>
        <w:rPr>
          <w:b/>
          <w:bCs/>
          <w:lang w:val="es-ES"/>
        </w:rPr>
      </w:pPr>
    </w:p>
    <w:p w14:paraId="05C45F03" w14:textId="294762DB" w:rsidR="00F64D04" w:rsidRPr="00AC5990" w:rsidRDefault="00F64D04" w:rsidP="00F64D04">
      <w:pPr>
        <w:rPr>
          <w:b/>
          <w:bCs/>
          <w:lang w:val="es-ES"/>
        </w:rPr>
      </w:pPr>
      <w:r w:rsidRPr="00AC5990">
        <w:rPr>
          <w:b/>
          <w:bCs/>
          <w:noProof/>
          <w:lang w:val="es-ES"/>
        </w:rPr>
        <mc:AlternateContent>
          <mc:Choice Requires="wpg">
            <w:drawing>
              <wp:anchor distT="0" distB="0" distL="114300" distR="114300" simplePos="0" relativeHeight="251658240" behindDoc="0" locked="0" layoutInCell="1" allowOverlap="1" wp14:anchorId="29A0190D" wp14:editId="7DEDCA7B">
                <wp:simplePos x="0" y="0"/>
                <wp:positionH relativeFrom="column">
                  <wp:posOffset>4187</wp:posOffset>
                </wp:positionH>
                <wp:positionV relativeFrom="paragraph">
                  <wp:posOffset>341944</wp:posOffset>
                </wp:positionV>
                <wp:extent cx="3304054" cy="1339360"/>
                <wp:effectExtent l="0" t="0" r="0" b="32385"/>
                <wp:wrapNone/>
                <wp:docPr id="85" name="Grupo 85"/>
                <wp:cNvGraphicFramePr/>
                <a:graphic xmlns:a="http://schemas.openxmlformats.org/drawingml/2006/main">
                  <a:graphicData uri="http://schemas.microsoft.com/office/word/2010/wordprocessingGroup">
                    <wpg:wgp>
                      <wpg:cNvGrpSpPr/>
                      <wpg:grpSpPr>
                        <a:xfrm>
                          <a:off x="0" y="0"/>
                          <a:ext cx="3304054" cy="1339360"/>
                          <a:chOff x="0" y="0"/>
                          <a:chExt cx="3304179" cy="1339611"/>
                        </a:xfrm>
                      </wpg:grpSpPr>
                      <wps:wsp>
                        <wps:cNvPr id="86" name="Cuadro de texto 86"/>
                        <wps:cNvSpPr txBox="1"/>
                        <wps:spPr>
                          <a:xfrm>
                            <a:off x="0" y="0"/>
                            <a:ext cx="1013988" cy="398352"/>
                          </a:xfrm>
                          <a:prstGeom prst="rect">
                            <a:avLst/>
                          </a:prstGeom>
                          <a:noFill/>
                          <a:ln w="6350">
                            <a:noFill/>
                          </a:ln>
                        </wps:spPr>
                        <wps:txbx>
                          <w:txbxContent>
                            <w:p w14:paraId="6C75E8A4" w14:textId="77777777" w:rsidR="00904836" w:rsidRPr="00505378" w:rsidRDefault="00904836" w:rsidP="00F64D04">
                              <w:pPr>
                                <w:spacing w:after="0" w:line="240" w:lineRule="auto"/>
                                <w:jc w:val="center"/>
                                <w:rPr>
                                  <w:sz w:val="20"/>
                                  <w:szCs w:val="20"/>
                                  <w:lang w:val="es-AR"/>
                                </w:rPr>
                              </w:pPr>
                              <w:r w:rsidRPr="00505378">
                                <w:rPr>
                                  <w:sz w:val="20"/>
                                  <w:szCs w:val="20"/>
                                  <w:lang w:val="es-AR"/>
                                </w:rPr>
                                <w:t>Centro Operativo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7" name="Cuadro de texto 87"/>
                        <wps:cNvSpPr txBox="1"/>
                        <wps:spPr>
                          <a:xfrm>
                            <a:off x="2290191" y="72442"/>
                            <a:ext cx="1013988" cy="325866"/>
                          </a:xfrm>
                          <a:prstGeom prst="rect">
                            <a:avLst/>
                          </a:prstGeom>
                          <a:noFill/>
                          <a:ln w="6350">
                            <a:noFill/>
                          </a:ln>
                        </wps:spPr>
                        <wps:txbx>
                          <w:txbxContent>
                            <w:p w14:paraId="55BB3937" w14:textId="77777777" w:rsidR="00904836" w:rsidRPr="00505378" w:rsidRDefault="00904836" w:rsidP="00F64D04">
                              <w:pPr>
                                <w:spacing w:after="0" w:line="240" w:lineRule="auto"/>
                                <w:jc w:val="center"/>
                                <w:rPr>
                                  <w:sz w:val="20"/>
                                  <w:szCs w:val="20"/>
                                  <w:lang w:val="es-AR"/>
                                </w:rPr>
                              </w:pPr>
                              <w:r>
                                <w:rPr>
                                  <w:sz w:val="20"/>
                                  <w:szCs w:val="20"/>
                                  <w:lang w:val="es-AR"/>
                                </w:rPr>
                                <w:t xml:space="preserve">Subestación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Elipse 89"/>
                        <wps:cNvSpPr/>
                        <wps:spPr>
                          <a:xfrm>
                            <a:off x="452673" y="525101"/>
                            <a:ext cx="172016" cy="181069"/>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Rectángulo: biselado 90"/>
                        <wps:cNvSpPr/>
                        <wps:spPr>
                          <a:xfrm>
                            <a:off x="2643612" y="398352"/>
                            <a:ext cx="253497" cy="262456"/>
                          </a:xfrm>
                          <a:prstGeom prst="bevel">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Forma libre: forma 92"/>
                        <wps:cNvSpPr/>
                        <wps:spPr>
                          <a:xfrm>
                            <a:off x="570368" y="760491"/>
                            <a:ext cx="2235835" cy="579120"/>
                          </a:xfrm>
                          <a:custGeom>
                            <a:avLst/>
                            <a:gdLst>
                              <a:gd name="connsiteX0" fmla="*/ 0 w 2236216"/>
                              <a:gd name="connsiteY0" fmla="*/ 9054 h 579422"/>
                              <a:gd name="connsiteX1" fmla="*/ 9053 w 2236216"/>
                              <a:gd name="connsiteY1" fmla="*/ 63374 h 579422"/>
                              <a:gd name="connsiteX2" fmla="*/ 54321 w 2236216"/>
                              <a:gd name="connsiteY2" fmla="*/ 108642 h 579422"/>
                              <a:gd name="connsiteX3" fmla="*/ 81481 w 2236216"/>
                              <a:gd name="connsiteY3" fmla="*/ 117695 h 579422"/>
                              <a:gd name="connsiteX4" fmla="*/ 108642 w 2236216"/>
                              <a:gd name="connsiteY4" fmla="*/ 144856 h 579422"/>
                              <a:gd name="connsiteX5" fmla="*/ 199176 w 2236216"/>
                              <a:gd name="connsiteY5" fmla="*/ 117695 h 579422"/>
                              <a:gd name="connsiteX6" fmla="*/ 217283 w 2236216"/>
                              <a:gd name="connsiteY6" fmla="*/ 90535 h 579422"/>
                              <a:gd name="connsiteX7" fmla="*/ 244444 w 2236216"/>
                              <a:gd name="connsiteY7" fmla="*/ 72428 h 579422"/>
                              <a:gd name="connsiteX8" fmla="*/ 280657 w 2236216"/>
                              <a:gd name="connsiteY8" fmla="*/ 45267 h 579422"/>
                              <a:gd name="connsiteX9" fmla="*/ 362139 w 2236216"/>
                              <a:gd name="connsiteY9" fmla="*/ 54321 h 579422"/>
                              <a:gd name="connsiteX10" fmla="*/ 416459 w 2236216"/>
                              <a:gd name="connsiteY10" fmla="*/ 99588 h 579422"/>
                              <a:gd name="connsiteX11" fmla="*/ 443620 w 2236216"/>
                              <a:gd name="connsiteY11" fmla="*/ 190123 h 579422"/>
                              <a:gd name="connsiteX12" fmla="*/ 461727 w 2236216"/>
                              <a:gd name="connsiteY12" fmla="*/ 244444 h 579422"/>
                              <a:gd name="connsiteX13" fmla="*/ 506994 w 2236216"/>
                              <a:gd name="connsiteY13" fmla="*/ 298764 h 579422"/>
                              <a:gd name="connsiteX14" fmla="*/ 588475 w 2236216"/>
                              <a:gd name="connsiteY14" fmla="*/ 289711 h 579422"/>
                              <a:gd name="connsiteX15" fmla="*/ 615636 w 2236216"/>
                              <a:gd name="connsiteY15" fmla="*/ 271604 h 579422"/>
                              <a:gd name="connsiteX16" fmla="*/ 642796 w 2236216"/>
                              <a:gd name="connsiteY16" fmla="*/ 262551 h 579422"/>
                              <a:gd name="connsiteX17" fmla="*/ 669956 w 2236216"/>
                              <a:gd name="connsiteY17" fmla="*/ 244444 h 579422"/>
                              <a:gd name="connsiteX18" fmla="*/ 697117 w 2236216"/>
                              <a:gd name="connsiteY18" fmla="*/ 217283 h 579422"/>
                              <a:gd name="connsiteX19" fmla="*/ 742384 w 2236216"/>
                              <a:gd name="connsiteY19" fmla="*/ 235390 h 579422"/>
                              <a:gd name="connsiteX20" fmla="*/ 751438 w 2236216"/>
                              <a:gd name="connsiteY20" fmla="*/ 271604 h 579422"/>
                              <a:gd name="connsiteX21" fmla="*/ 769545 w 2236216"/>
                              <a:gd name="connsiteY21" fmla="*/ 298764 h 579422"/>
                              <a:gd name="connsiteX22" fmla="*/ 787651 w 2236216"/>
                              <a:gd name="connsiteY22" fmla="*/ 461727 h 579422"/>
                              <a:gd name="connsiteX23" fmla="*/ 796705 w 2236216"/>
                              <a:gd name="connsiteY23" fmla="*/ 497941 h 579422"/>
                              <a:gd name="connsiteX24" fmla="*/ 814812 w 2236216"/>
                              <a:gd name="connsiteY24" fmla="*/ 525101 h 579422"/>
                              <a:gd name="connsiteX25" fmla="*/ 896293 w 2236216"/>
                              <a:gd name="connsiteY25" fmla="*/ 570368 h 579422"/>
                              <a:gd name="connsiteX26" fmla="*/ 959667 w 2236216"/>
                              <a:gd name="connsiteY26" fmla="*/ 579422 h 579422"/>
                              <a:gd name="connsiteX27" fmla="*/ 1149790 w 2236216"/>
                              <a:gd name="connsiteY27" fmla="*/ 570368 h 579422"/>
                              <a:gd name="connsiteX28" fmla="*/ 1204111 w 2236216"/>
                              <a:gd name="connsiteY28" fmla="*/ 516048 h 579422"/>
                              <a:gd name="connsiteX29" fmla="*/ 1213164 w 2236216"/>
                              <a:gd name="connsiteY29" fmla="*/ 488887 h 579422"/>
                              <a:gd name="connsiteX30" fmla="*/ 1231271 w 2236216"/>
                              <a:gd name="connsiteY30" fmla="*/ 452673 h 579422"/>
                              <a:gd name="connsiteX31" fmla="*/ 1240325 w 2236216"/>
                              <a:gd name="connsiteY31" fmla="*/ 389299 h 579422"/>
                              <a:gd name="connsiteX32" fmla="*/ 1249378 w 2236216"/>
                              <a:gd name="connsiteY32" fmla="*/ 244444 h 579422"/>
                              <a:gd name="connsiteX33" fmla="*/ 1258432 w 2236216"/>
                              <a:gd name="connsiteY33" fmla="*/ 199176 h 579422"/>
                              <a:gd name="connsiteX34" fmla="*/ 1276539 w 2236216"/>
                              <a:gd name="connsiteY34" fmla="*/ 172016 h 579422"/>
                              <a:gd name="connsiteX35" fmla="*/ 1430448 w 2236216"/>
                              <a:gd name="connsiteY35" fmla="*/ 199176 h 579422"/>
                              <a:gd name="connsiteX36" fmla="*/ 1457608 w 2236216"/>
                              <a:gd name="connsiteY36" fmla="*/ 235390 h 579422"/>
                              <a:gd name="connsiteX37" fmla="*/ 1511929 w 2236216"/>
                              <a:gd name="connsiteY37" fmla="*/ 289711 h 579422"/>
                              <a:gd name="connsiteX38" fmla="*/ 1575303 w 2236216"/>
                              <a:gd name="connsiteY38" fmla="*/ 334978 h 579422"/>
                              <a:gd name="connsiteX39" fmla="*/ 1602463 w 2236216"/>
                              <a:gd name="connsiteY39" fmla="*/ 344032 h 579422"/>
                              <a:gd name="connsiteX40" fmla="*/ 1729212 w 2236216"/>
                              <a:gd name="connsiteY40" fmla="*/ 334978 h 579422"/>
                              <a:gd name="connsiteX41" fmla="*/ 1783533 w 2236216"/>
                              <a:gd name="connsiteY41" fmla="*/ 280658 h 579422"/>
                              <a:gd name="connsiteX42" fmla="*/ 1874067 w 2236216"/>
                              <a:gd name="connsiteY42" fmla="*/ 289711 h 579422"/>
                              <a:gd name="connsiteX43" fmla="*/ 1901228 w 2236216"/>
                              <a:gd name="connsiteY43" fmla="*/ 298764 h 579422"/>
                              <a:gd name="connsiteX44" fmla="*/ 1937442 w 2236216"/>
                              <a:gd name="connsiteY44" fmla="*/ 307818 h 579422"/>
                              <a:gd name="connsiteX45" fmla="*/ 1964602 w 2236216"/>
                              <a:gd name="connsiteY45" fmla="*/ 325925 h 579422"/>
                              <a:gd name="connsiteX46" fmla="*/ 2118511 w 2236216"/>
                              <a:gd name="connsiteY46" fmla="*/ 344032 h 579422"/>
                              <a:gd name="connsiteX47" fmla="*/ 2190939 w 2236216"/>
                              <a:gd name="connsiteY47" fmla="*/ 344032 h 579422"/>
                              <a:gd name="connsiteX48" fmla="*/ 2227152 w 2236216"/>
                              <a:gd name="connsiteY48" fmla="*/ 289711 h 579422"/>
                              <a:gd name="connsiteX49" fmla="*/ 2236206 w 2236216"/>
                              <a:gd name="connsiteY49" fmla="*/ 0 h 5794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2236216" h="579422">
                                <a:moveTo>
                                  <a:pt x="0" y="9054"/>
                                </a:moveTo>
                                <a:cubicBezTo>
                                  <a:pt x="3018" y="27161"/>
                                  <a:pt x="3248" y="45960"/>
                                  <a:pt x="9053" y="63374"/>
                                </a:cubicBezTo>
                                <a:cubicBezTo>
                                  <a:pt x="16296" y="85103"/>
                                  <a:pt x="35006" y="98985"/>
                                  <a:pt x="54321" y="108642"/>
                                </a:cubicBezTo>
                                <a:cubicBezTo>
                                  <a:pt x="62857" y="112910"/>
                                  <a:pt x="72428" y="114677"/>
                                  <a:pt x="81481" y="117695"/>
                                </a:cubicBezTo>
                                <a:cubicBezTo>
                                  <a:pt x="90535" y="126749"/>
                                  <a:pt x="96087" y="142345"/>
                                  <a:pt x="108642" y="144856"/>
                                </a:cubicBezTo>
                                <a:cubicBezTo>
                                  <a:pt x="153455" y="153819"/>
                                  <a:pt x="169218" y="137668"/>
                                  <a:pt x="199176" y="117695"/>
                                </a:cubicBezTo>
                                <a:cubicBezTo>
                                  <a:pt x="205212" y="108642"/>
                                  <a:pt x="209589" y="98229"/>
                                  <a:pt x="217283" y="90535"/>
                                </a:cubicBezTo>
                                <a:cubicBezTo>
                                  <a:pt x="224977" y="82841"/>
                                  <a:pt x="235590" y="78753"/>
                                  <a:pt x="244444" y="72428"/>
                                </a:cubicBezTo>
                                <a:cubicBezTo>
                                  <a:pt x="256722" y="63658"/>
                                  <a:pt x="268586" y="54321"/>
                                  <a:pt x="280657" y="45267"/>
                                </a:cubicBezTo>
                                <a:cubicBezTo>
                                  <a:pt x="307818" y="48285"/>
                                  <a:pt x="335627" y="47693"/>
                                  <a:pt x="362139" y="54321"/>
                                </a:cubicBezTo>
                                <a:cubicBezTo>
                                  <a:pt x="378944" y="58522"/>
                                  <a:pt x="406325" y="89454"/>
                                  <a:pt x="416459" y="99588"/>
                                </a:cubicBezTo>
                                <a:cubicBezTo>
                                  <a:pt x="430143" y="154321"/>
                                  <a:pt x="421577" y="123994"/>
                                  <a:pt x="443620" y="190123"/>
                                </a:cubicBezTo>
                                <a:cubicBezTo>
                                  <a:pt x="443621" y="190127"/>
                                  <a:pt x="461725" y="244441"/>
                                  <a:pt x="461727" y="244444"/>
                                </a:cubicBezTo>
                                <a:cubicBezTo>
                                  <a:pt x="486936" y="282257"/>
                                  <a:pt x="472140" y="263910"/>
                                  <a:pt x="506994" y="298764"/>
                                </a:cubicBezTo>
                                <a:cubicBezTo>
                                  <a:pt x="534154" y="295746"/>
                                  <a:pt x="561963" y="296339"/>
                                  <a:pt x="588475" y="289711"/>
                                </a:cubicBezTo>
                                <a:cubicBezTo>
                                  <a:pt x="599031" y="287072"/>
                                  <a:pt x="605904" y="276470"/>
                                  <a:pt x="615636" y="271604"/>
                                </a:cubicBezTo>
                                <a:cubicBezTo>
                                  <a:pt x="624172" y="267336"/>
                                  <a:pt x="633743" y="265569"/>
                                  <a:pt x="642796" y="262551"/>
                                </a:cubicBezTo>
                                <a:cubicBezTo>
                                  <a:pt x="651849" y="256515"/>
                                  <a:pt x="661597" y="251410"/>
                                  <a:pt x="669956" y="244444"/>
                                </a:cubicBezTo>
                                <a:cubicBezTo>
                                  <a:pt x="679792" y="236247"/>
                                  <a:pt x="684412" y="218871"/>
                                  <a:pt x="697117" y="217283"/>
                                </a:cubicBezTo>
                                <a:cubicBezTo>
                                  <a:pt x="713243" y="215267"/>
                                  <a:pt x="727295" y="229354"/>
                                  <a:pt x="742384" y="235390"/>
                                </a:cubicBezTo>
                                <a:cubicBezTo>
                                  <a:pt x="745402" y="247461"/>
                                  <a:pt x="746536" y="260167"/>
                                  <a:pt x="751438" y="271604"/>
                                </a:cubicBezTo>
                                <a:cubicBezTo>
                                  <a:pt x="755724" y="281605"/>
                                  <a:pt x="766418" y="288342"/>
                                  <a:pt x="769545" y="298764"/>
                                </a:cubicBezTo>
                                <a:cubicBezTo>
                                  <a:pt x="777104" y="323961"/>
                                  <a:pt x="786363" y="452067"/>
                                  <a:pt x="787651" y="461727"/>
                                </a:cubicBezTo>
                                <a:cubicBezTo>
                                  <a:pt x="789296" y="474061"/>
                                  <a:pt x="791803" y="486504"/>
                                  <a:pt x="796705" y="497941"/>
                                </a:cubicBezTo>
                                <a:cubicBezTo>
                                  <a:pt x="800991" y="507942"/>
                                  <a:pt x="806623" y="517936"/>
                                  <a:pt x="814812" y="525101"/>
                                </a:cubicBezTo>
                                <a:cubicBezTo>
                                  <a:pt x="836325" y="543925"/>
                                  <a:pt x="866356" y="564381"/>
                                  <a:pt x="896293" y="570368"/>
                                </a:cubicBezTo>
                                <a:cubicBezTo>
                                  <a:pt x="917218" y="574553"/>
                                  <a:pt x="938542" y="576404"/>
                                  <a:pt x="959667" y="579422"/>
                                </a:cubicBezTo>
                                <a:lnTo>
                                  <a:pt x="1149790" y="570368"/>
                                </a:lnTo>
                                <a:cubicBezTo>
                                  <a:pt x="1174577" y="563942"/>
                                  <a:pt x="1204111" y="516048"/>
                                  <a:pt x="1204111" y="516048"/>
                                </a:cubicBezTo>
                                <a:cubicBezTo>
                                  <a:pt x="1207129" y="506994"/>
                                  <a:pt x="1209405" y="497659"/>
                                  <a:pt x="1213164" y="488887"/>
                                </a:cubicBezTo>
                                <a:cubicBezTo>
                                  <a:pt x="1218480" y="476482"/>
                                  <a:pt x="1227720" y="465694"/>
                                  <a:pt x="1231271" y="452673"/>
                                </a:cubicBezTo>
                                <a:cubicBezTo>
                                  <a:pt x="1236886" y="432086"/>
                                  <a:pt x="1237307" y="410424"/>
                                  <a:pt x="1240325" y="389299"/>
                                </a:cubicBezTo>
                                <a:cubicBezTo>
                                  <a:pt x="1243343" y="341014"/>
                                  <a:pt x="1244791" y="292605"/>
                                  <a:pt x="1249378" y="244444"/>
                                </a:cubicBezTo>
                                <a:cubicBezTo>
                                  <a:pt x="1250837" y="229125"/>
                                  <a:pt x="1253029" y="213584"/>
                                  <a:pt x="1258432" y="199176"/>
                                </a:cubicBezTo>
                                <a:cubicBezTo>
                                  <a:pt x="1262253" y="188988"/>
                                  <a:pt x="1270503" y="181069"/>
                                  <a:pt x="1276539" y="172016"/>
                                </a:cubicBezTo>
                                <a:cubicBezTo>
                                  <a:pt x="1326935" y="175616"/>
                                  <a:pt x="1390446" y="159174"/>
                                  <a:pt x="1430448" y="199176"/>
                                </a:cubicBezTo>
                                <a:cubicBezTo>
                                  <a:pt x="1441118" y="209846"/>
                                  <a:pt x="1447514" y="224174"/>
                                  <a:pt x="1457608" y="235390"/>
                                </a:cubicBezTo>
                                <a:cubicBezTo>
                                  <a:pt x="1474738" y="254424"/>
                                  <a:pt x="1511929" y="289711"/>
                                  <a:pt x="1511929" y="289711"/>
                                </a:cubicBezTo>
                                <a:cubicBezTo>
                                  <a:pt x="1527018" y="334978"/>
                                  <a:pt x="1511929" y="313853"/>
                                  <a:pt x="1575303" y="334978"/>
                                </a:cubicBezTo>
                                <a:lnTo>
                                  <a:pt x="1602463" y="344032"/>
                                </a:lnTo>
                                <a:cubicBezTo>
                                  <a:pt x="1644713" y="341014"/>
                                  <a:pt x="1689233" y="348971"/>
                                  <a:pt x="1729212" y="334978"/>
                                </a:cubicBezTo>
                                <a:cubicBezTo>
                                  <a:pt x="1753381" y="326519"/>
                                  <a:pt x="1783533" y="280658"/>
                                  <a:pt x="1783533" y="280658"/>
                                </a:cubicBezTo>
                                <a:cubicBezTo>
                                  <a:pt x="1813711" y="283676"/>
                                  <a:pt x="1844091" y="285100"/>
                                  <a:pt x="1874067" y="289711"/>
                                </a:cubicBezTo>
                                <a:cubicBezTo>
                                  <a:pt x="1883499" y="291162"/>
                                  <a:pt x="1892052" y="296142"/>
                                  <a:pt x="1901228" y="298764"/>
                                </a:cubicBezTo>
                                <a:cubicBezTo>
                                  <a:pt x="1913192" y="302182"/>
                                  <a:pt x="1925371" y="304800"/>
                                  <a:pt x="1937442" y="307818"/>
                                </a:cubicBezTo>
                                <a:cubicBezTo>
                                  <a:pt x="1946495" y="313854"/>
                                  <a:pt x="1954601" y="321639"/>
                                  <a:pt x="1964602" y="325925"/>
                                </a:cubicBezTo>
                                <a:cubicBezTo>
                                  <a:pt x="2001211" y="341615"/>
                                  <a:pt x="2107873" y="343214"/>
                                  <a:pt x="2118511" y="344032"/>
                                </a:cubicBezTo>
                                <a:cubicBezTo>
                                  <a:pt x="2139970" y="349396"/>
                                  <a:pt x="2169480" y="362809"/>
                                  <a:pt x="2190939" y="344032"/>
                                </a:cubicBezTo>
                                <a:cubicBezTo>
                                  <a:pt x="2207316" y="329702"/>
                                  <a:pt x="2227152" y="289711"/>
                                  <a:pt x="2227152" y="289711"/>
                                </a:cubicBezTo>
                                <a:cubicBezTo>
                                  <a:pt x="2236902" y="36227"/>
                                  <a:pt x="2236206" y="132842"/>
                                  <a:pt x="2236206" y="0"/>
                                </a:cubicBezTo>
                              </a:path>
                            </a:pathLst>
                          </a:custGeom>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A0190D" id="Grupo 85" o:spid="_x0000_s1066" style="position:absolute;left:0;text-align:left;margin-left:.35pt;margin-top:26.9pt;width:260.15pt;height:105.45pt;z-index:251658240;mso-width-relative:margin;mso-height-relative:margin" coordsize="33041,13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">
                <v:shape id="Cuadro de texto 86" o:spid="_x0000_s1067" type="#_x0000_t202" style="position:absolute;width:10139;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" filled="f" stroked="f" strokeweight=".5pt">
                  <v:textbox>
                    <w:txbxContent>
                      <w:p w14:paraId="6C75E8A4" w14:textId="77777777" w:rsidR="00904836" w:rsidRPr="00505378" w:rsidRDefault="00904836" w:rsidP="00F64D04">
                        <w:pPr>
                          <w:spacing w:after="0" w:line="240" w:lineRule="auto"/>
                          <w:jc w:val="center"/>
                          <w:rPr>
                            <w:sz w:val="20"/>
                            <w:szCs w:val="20"/>
                            <w:lang w:val="es-AR"/>
                          </w:rPr>
                        </w:pPr>
                        <w:r w:rsidRPr="00505378">
                          <w:rPr>
                            <w:sz w:val="20"/>
                            <w:szCs w:val="20"/>
                            <w:lang w:val="es-AR"/>
                          </w:rPr>
                          <w:t>Centro Operativo</w:t>
                        </w:r>
                      </w:p>
                    </w:txbxContent>
                  </v:textbox>
                </v:shape>
                <v:shape id="Cuadro de texto 87" o:spid="_x0000_s1068" type="#_x0000_t202" style="position:absolute;left:22901;top:724;width:10140;height:3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" filled="f" stroked="f" strokeweight=".5pt">
                  <v:textbox>
                    <w:txbxContent>
                      <w:p w14:paraId="55BB3937" w14:textId="77777777" w:rsidR="00904836" w:rsidRPr="00505378" w:rsidRDefault="00904836" w:rsidP="00F64D04">
                        <w:pPr>
                          <w:spacing w:after="0" w:line="240" w:lineRule="auto"/>
                          <w:jc w:val="center"/>
                          <w:rPr>
                            <w:sz w:val="20"/>
                            <w:szCs w:val="20"/>
                            <w:lang w:val="es-AR"/>
                          </w:rPr>
                        </w:pPr>
                        <w:r>
                          <w:rPr>
                            <w:sz w:val="20"/>
                            <w:szCs w:val="20"/>
                            <w:lang w:val="es-AR"/>
                          </w:rPr>
                          <w:t xml:space="preserve">Subestación </w:t>
                        </w:r>
                      </w:p>
                    </w:txbxContent>
                  </v:textbox>
                </v:shape>
                <v:oval id="Elipse 89" o:spid="_x0000_s1069" style="position:absolute;left:4526;top:5251;width:1720;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" fillcolor="#4472c4 [3204]" stroked="f" strokeweight="1pt">
                  <v:stroke joinstyle="miter"/>
                </v:oval>
                <v:shape id="Rectángulo: biselado 90" o:spid="_x0000_s1070" type="#_x0000_t84" style="position:absolute;left:26436;top:3983;width:2535;height:2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" fillcolor="#4472c4 [3204]" stroked="f" strokeweight="1pt"/>
                <v:shape id="Forma libre: forma 92" o:spid="_x0000_s1071" style="position:absolute;left:5703;top:7604;width:22359;height:5792;visibility:visible;mso-wrap-style:square;v-text-anchor:middle" coordsize="2236216,579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" path="m,9054c3018,27161,3248,45960,9053,63374v7243,21729,25953,35611,45268,45268c62857,112910,72428,114677,81481,117695v9054,9054,14606,24650,27161,27161c153455,153819,169218,137668,199176,117695v6036,-9053,10413,-19466,18107,-27160c224977,82841,235590,78753,244444,72428v12278,-8770,24142,-18107,36213,-27161c307818,48285,335627,47693,362139,54321v16805,4201,44186,35133,54320,45267c430143,154321,421577,123994,443620,190123v1,4,18105,54318,18107,54321c486936,282257,472140,263910,506994,298764v27160,-3018,54969,-2425,81481,-9053c599031,287072,605904,276470,615636,271604v8536,-4268,18107,-6035,27160,-9053c651849,256515,661597,251410,669956,244444v9836,-8197,14456,-25573,27161,-27161c713243,215267,727295,229354,742384,235390v3018,12071,4152,24777,9054,36214c755724,281605,766418,288342,769545,298764v7559,25197,16818,153303,18106,162963c789296,474061,791803,486504,796705,497941v4286,10001,9918,19995,18107,27160c836325,543925,866356,564381,896293,570368v20925,4185,42249,6036,63374,9054l1149790,570368v24787,-6426,54321,-54320,54321,-54320c1207129,506994,1209405,497659,1213164,488887v5316,-12405,14556,-23193,18107,-36214c1236886,432086,1237307,410424,1240325,389299v3018,-48285,4466,-96694,9053,-144855c1250837,229125,1253029,213584,1258432,199176v3821,-10188,12071,-18107,18107,-27160c1326935,175616,1390446,159174,1430448,199176v10670,10670,17066,24998,27160,36214c1474738,254424,1511929,289711,1511929,289711v15089,45267,,24142,63374,45267l1602463,344032v42250,-3018,86770,4939,126749,-9054c1753381,326519,1783533,280658,1783533,280658v30178,3018,60558,4442,90534,9053c1883499,291162,1892052,296142,1901228,298764v11964,3418,24143,6036,36214,9054c1946495,313854,1954601,321639,1964602,325925v36609,15690,143271,17289,153909,18107c2139970,349396,2169480,362809,2190939,344032v16377,-14330,36213,-54321,36213,-54321c2236902,36227,2236206,132842,2236206,e" filled="f" strokecolor="#70ad47 [3209]" strokeweight="1.5pt">
                  <v:stroke joinstyle="miter"/>
                  <v:path arrowok="t" o:connecttype="custom" o:connectlocs="0,9049;9051,63341;54312,108585;81467,117634;108623,144780;199142,117634;217246,90488;244402,72390;280609,45243;362077,54293;416388,99536;443544,190024;461648,244317;506908,298608;588375,289560;615531,271462;642686,262414;669842,244317;696998,217170;742258,235267;751310,271462;769414,298608;787517,461486;796569,497681;814673,524827;896140,570071;959503,579120;1149594,570071;1203906,515779;1212957,488632;1231061,452437;1240114,389096;1249165,244317;1258218,199072;1276322,171926;1430204,199072;1457360,235267;1511671,289560;1575035,334803;1602190,343853;1728917,334803;1783229,280512;1873748,289560;1900904,298608;1937112,307658;1964267,325755;2118150,343853;2190566,343853;2226773,289560;2235825,0" o:connectangles="0,0,0,0,0,0,0,0,0,0,0,0,0,0,0,0,0,0,0,0,0,0,0,0,0,0,0,0,0,0,0,0,0,0,0,0,0,0,0,0,0,0,0,0,0,0,0,0,0,0"/>
                </v:shape>
              </v:group>
            </w:pict>
          </mc:Fallback>
        </mc:AlternateContent>
      </w:r>
      <w:r w:rsidRPr="00AC5990">
        <w:rPr>
          <w:b/>
          <w:bCs/>
          <w:lang w:val="es-ES"/>
        </w:rPr>
        <w:t>Subestaciones</w:t>
      </w:r>
    </w:p>
    <w:p w14:paraId="597DA6A4" w14:textId="77777777" w:rsidR="00F64D04" w:rsidRPr="00AC5990" w:rsidRDefault="00F64D04" w:rsidP="00F64D04">
      <w:pPr>
        <w:rPr>
          <w:lang w:val="es-ES"/>
        </w:rPr>
      </w:pPr>
    </w:p>
    <w:p w14:paraId="446ED664" w14:textId="77777777" w:rsidR="00F64D04" w:rsidRPr="00AC5990" w:rsidRDefault="00F64D04" w:rsidP="00F64D04">
      <w:pPr>
        <w:rPr>
          <w:lang w:val="es-ES"/>
        </w:rPr>
      </w:pPr>
    </w:p>
    <w:p w14:paraId="6B239AFC" w14:textId="77777777" w:rsidR="00F64D04" w:rsidRPr="00AC5990" w:rsidRDefault="00F64D04" w:rsidP="00F64D04">
      <w:pPr>
        <w:rPr>
          <w:lang w:val="es-ES"/>
        </w:rPr>
      </w:pPr>
    </w:p>
    <w:p w14:paraId="4FFD9B86" w14:textId="77777777" w:rsidR="00F64D04" w:rsidRPr="00AC5990" w:rsidRDefault="00F64D04" w:rsidP="00F64D04">
      <w:pPr>
        <w:rPr>
          <w:lang w:val="es-ES"/>
        </w:rPr>
      </w:pPr>
    </w:p>
    <w:p w14:paraId="7F83C0C9" w14:textId="77777777" w:rsidR="00F64D04" w:rsidRPr="00AC5990" w:rsidRDefault="00F64D04" w:rsidP="00F64D04">
      <w:pPr>
        <w:rPr>
          <w:lang w:val="es-ES"/>
        </w:rPr>
      </w:pPr>
    </w:p>
    <w:p w14:paraId="55508B46" w14:textId="77E0A0BF" w:rsidR="00F64D04" w:rsidRPr="00AC5990" w:rsidRDefault="00F64D04" w:rsidP="00F64D04">
      <w:pPr>
        <w:rPr>
          <w:lang w:val="es-ES"/>
        </w:rPr>
      </w:pPr>
      <w:r w:rsidRPr="00AC5990">
        <w:rPr>
          <w:lang w:val="es-ES"/>
        </w:rPr>
        <w:t>Para determinar las distancias recorridas se consideran las tareas programables, y las tareas no programables, en virtud que las primeras es posible organizar su ejecución agrupadas de modo de aprovechar tiempos de aproximación y las segundas no lo permiten. En el caso de las tareas programables las mismas se planifican en misiones las cuales están definidas por la cantidad de veces máxima que una determinada cuadrilla debe salir a campo a realizar tareas (por emeplo si una determinada inspexión requiere ser realizada dos veces al año, se consideran dos misiones), luego cada misión se organiza en jornadas semanales (cinco días) con pernocte. En el caso que el tiempo de aproximación exceda las 3 horas se consideran jornadas de dos semanas (diez días).</w:t>
      </w:r>
    </w:p>
    <w:p w14:paraId="0DFBCD81" w14:textId="77777777" w:rsidR="00F64D04" w:rsidRPr="00AC5990" w:rsidRDefault="00F64D04" w:rsidP="00F64D04">
      <w:pPr>
        <w:rPr>
          <w:lang w:val="es-ES"/>
        </w:rPr>
      </w:pPr>
      <w:r w:rsidRPr="00AC5990">
        <w:rPr>
          <w:lang w:val="es-ES"/>
        </w:rPr>
        <w:t>Para las primeras, se considera el desplazamiento de la cuadrilla hasta el lugar de inicio de las faena y luego las distancias recorridas para la ejecución de cada una de las tareas.</w:t>
      </w:r>
    </w:p>
    <w:p w14:paraId="100795DF" w14:textId="77777777" w:rsidR="00F64D04" w:rsidRPr="00AC5990" w:rsidRDefault="00F64D04" w:rsidP="00F64D04">
      <w:pPr>
        <w:rPr>
          <w:lang w:val="es-ES"/>
        </w:rPr>
      </w:pPr>
      <w:r w:rsidRPr="00AC5990">
        <w:rPr>
          <w:lang w:val="es-ES"/>
        </w:rPr>
        <w:t>La metodología para el cálculo de las distancias para tareas de mantenimiento programables hasta el lugar de inicio de la faena se desarrolló en los siguientes pasos:</w:t>
      </w:r>
    </w:p>
    <w:p w14:paraId="0E0D54D8" w14:textId="77777777" w:rsidR="00F64D04" w:rsidRPr="00AC5990" w:rsidRDefault="00F64D04" w:rsidP="002E20CA">
      <w:pPr>
        <w:pStyle w:val="Prrafodelista"/>
        <w:numPr>
          <w:ilvl w:val="0"/>
          <w:numId w:val="47"/>
        </w:numPr>
        <w:rPr>
          <w:lang w:val="es-ES"/>
        </w:rPr>
      </w:pPr>
      <w:r w:rsidRPr="00AC5990">
        <w:rPr>
          <w:lang w:val="es-ES"/>
        </w:rPr>
        <w:t>Se fijaron los centros operativos (CO) del contratista sobre la base de la información enviada por las empreasa y cercana a centros urbanos.</w:t>
      </w:r>
    </w:p>
    <w:p w14:paraId="307CAB3A" w14:textId="77777777" w:rsidR="00F64D04" w:rsidRPr="00AC5990" w:rsidRDefault="00F64D04" w:rsidP="002E20CA">
      <w:pPr>
        <w:pStyle w:val="Prrafodelista"/>
        <w:numPr>
          <w:ilvl w:val="0"/>
          <w:numId w:val="47"/>
        </w:numPr>
        <w:rPr>
          <w:lang w:val="es-ES"/>
        </w:rPr>
      </w:pPr>
      <w:r w:rsidRPr="00AC5990">
        <w:rPr>
          <w:lang w:val="es-ES"/>
        </w:rPr>
        <w:t>Se asoció cada subestación al CO más cercano.</w:t>
      </w:r>
    </w:p>
    <w:p w14:paraId="39C191DC" w14:textId="441F1400" w:rsidR="00F64D04" w:rsidRPr="00AC5990" w:rsidRDefault="00F64D04" w:rsidP="002E20CA">
      <w:pPr>
        <w:pStyle w:val="Prrafodelista"/>
        <w:numPr>
          <w:ilvl w:val="0"/>
          <w:numId w:val="47"/>
        </w:numPr>
        <w:rPr>
          <w:lang w:val="es-ES"/>
        </w:rPr>
      </w:pPr>
      <w:r w:rsidRPr="00AC5990">
        <w:rPr>
          <w:lang w:val="es-ES"/>
        </w:rPr>
        <w:t>La distancia recorrida se calcula de la siguiente forma:</w:t>
      </w:r>
    </w:p>
    <w:p w14:paraId="52056AD4" w14:textId="77777777" w:rsidR="00F64D04" w:rsidRPr="00AC5990" w:rsidRDefault="00F64D04" w:rsidP="002E20CA">
      <w:pPr>
        <w:pStyle w:val="Prrafodelista"/>
        <w:numPr>
          <w:ilvl w:val="1"/>
          <w:numId w:val="47"/>
        </w:numPr>
        <w:rPr>
          <w:lang w:val="es-ES"/>
        </w:rPr>
      </w:pPr>
      <w:r w:rsidRPr="00AC5990">
        <w:rPr>
          <w:lang w:val="es-ES"/>
        </w:rPr>
        <w:t>Subestaciones: distancia recorrida del CO a la subestación.</w:t>
      </w:r>
    </w:p>
    <w:p w14:paraId="34E032EA" w14:textId="77777777" w:rsidR="00F64D04" w:rsidRPr="00AC5990" w:rsidRDefault="00F64D04" w:rsidP="002E20CA">
      <w:pPr>
        <w:pStyle w:val="Prrafodelista"/>
        <w:numPr>
          <w:ilvl w:val="1"/>
          <w:numId w:val="47"/>
        </w:numPr>
        <w:rPr>
          <w:lang w:val="es-ES"/>
        </w:rPr>
      </w:pPr>
      <w:r w:rsidRPr="00AC5990">
        <w:rPr>
          <w:lang w:val="es-ES"/>
        </w:rPr>
        <w:t>Líneas: distancia recorrida desde el CO asignado a la subestación mas distancia a la mitad del tramo de línea asignado.</w:t>
      </w:r>
    </w:p>
    <w:p w14:paraId="180E0411" w14:textId="77777777" w:rsidR="00F64D04" w:rsidRPr="00AC5990" w:rsidRDefault="00F64D04" w:rsidP="00F64D04">
      <w:pPr>
        <w:rPr>
          <w:lang w:val="es-ES"/>
        </w:rPr>
      </w:pPr>
      <w:r w:rsidRPr="00AC5990">
        <w:rPr>
          <w:lang w:val="es-ES"/>
        </w:rPr>
        <w:t>Para el cálculo de las distancias recorridas se asume lo siguiente en el caso de las líneas:</w:t>
      </w:r>
    </w:p>
    <w:p w14:paraId="6CBEB778" w14:textId="77777777" w:rsidR="00F64D04" w:rsidRPr="00AC5990" w:rsidRDefault="00F64D04" w:rsidP="002E20CA">
      <w:pPr>
        <w:pStyle w:val="Prrafodelista"/>
        <w:numPr>
          <w:ilvl w:val="0"/>
          <w:numId w:val="69"/>
        </w:numPr>
        <w:rPr>
          <w:lang w:val="es-ES"/>
        </w:rPr>
      </w:pPr>
      <w:r w:rsidRPr="00AC5990">
        <w:rPr>
          <w:lang w:val="es-ES"/>
        </w:rPr>
        <w:t>Si ambas SE cabecera están asignadas al mismo CO el 100% de la línea se atienen desde la SE mas cercana al CO.</w:t>
      </w:r>
    </w:p>
    <w:p w14:paraId="6B9178BE" w14:textId="77777777" w:rsidR="00F64D04" w:rsidRPr="00AC5990" w:rsidRDefault="00F64D04" w:rsidP="002E20CA">
      <w:pPr>
        <w:pStyle w:val="Prrafodelista"/>
        <w:numPr>
          <w:ilvl w:val="0"/>
          <w:numId w:val="69"/>
        </w:numPr>
        <w:rPr>
          <w:lang w:val="es-ES"/>
        </w:rPr>
      </w:pPr>
      <w:r w:rsidRPr="00AC5990">
        <w:rPr>
          <w:lang w:val="es-ES"/>
        </w:rPr>
        <w:t xml:space="preserve">Si las SE están asignadas a CO distintos se atienede cada semi tramo desde el CO correspondiente a cada SE. </w:t>
      </w:r>
    </w:p>
    <w:p w14:paraId="46D1FE7E" w14:textId="77777777" w:rsidR="00F64D04" w:rsidRPr="00AC5990" w:rsidRDefault="00F64D04" w:rsidP="00F64D04">
      <w:pPr>
        <w:rPr>
          <w:lang w:val="es-ES"/>
        </w:rPr>
      </w:pPr>
      <w:r w:rsidRPr="00AC5990">
        <w:rPr>
          <w:lang w:val="es-ES"/>
        </w:rPr>
        <w:t>Se asume que en los trabajos programados la cuadrilla se queda en el lugar de trabajo hasta un máximo de dos  semanas, luego de lo cual retorna a su CO. Durante la semana laboral la cuadrilla no regresa a su CO y se aloja en un lugar cercano a la realización de la faena.</w:t>
      </w:r>
    </w:p>
    <w:p w14:paraId="011D1027" w14:textId="77777777" w:rsidR="00F64D04" w:rsidRPr="00AC5990" w:rsidRDefault="00F64D04" w:rsidP="00F64D04">
      <w:pPr>
        <w:rPr>
          <w:lang w:val="es-ES"/>
        </w:rPr>
      </w:pPr>
      <w:r w:rsidRPr="00AC5990">
        <w:rPr>
          <w:lang w:val="es-ES"/>
        </w:rPr>
        <w:t>Luego resulta necesario calcular la cantidad de desplazamientos anuales de aproximación que realiza cada cuadrilla, esto se hace a partir de la siguiente metodología.</w:t>
      </w:r>
    </w:p>
    <w:p w14:paraId="53015C9E" w14:textId="77777777" w:rsidR="00F64D04" w:rsidRPr="00AC5990" w:rsidRDefault="00F64D04" w:rsidP="00F64D04">
      <w:pPr>
        <w:rPr>
          <w:lang w:val="es-ES"/>
        </w:rPr>
      </w:pPr>
      <w:r w:rsidRPr="00AC5990">
        <w:rPr>
          <w:lang w:val="es-ES"/>
        </w:rPr>
        <w:t>En función del volumen de horas de mantenimiento programables se determina  la cantidad de viajes necesarios de la cuadrilla para lo cual se utiliza la siguiente fórmula:</w:t>
      </w:r>
    </w:p>
    <w:p w14:paraId="764AF8EE" w14:textId="77777777" w:rsidR="00F64D04" w:rsidRPr="00AC5990" w:rsidRDefault="00F64D04" w:rsidP="00F64D04">
      <w:pPr>
        <w:rPr>
          <w:lang w:val="es-ES"/>
        </w:rPr>
      </w:pPr>
      <m:oMathPara>
        <m:oMath>
          <m:r>
            <w:rPr>
              <w:rFonts w:ascii="Cambria Math" w:hAnsi="Cambria Math"/>
              <w:lang w:val="es-ES"/>
            </w:rPr>
            <m:t xml:space="preserve"># Viajes= </m:t>
          </m:r>
          <m:f>
            <m:fPr>
              <m:ctrlPr>
                <w:rPr>
                  <w:rFonts w:ascii="Cambria Math" w:hAnsi="Cambria Math"/>
                  <w:i/>
                  <w:lang w:val="es-ES"/>
                </w:rPr>
              </m:ctrlPr>
            </m:fPr>
            <m:num>
              <m:r>
                <w:rPr>
                  <w:rFonts w:ascii="Cambria Math" w:hAnsi="Cambria Math"/>
                  <w:lang w:val="es-ES"/>
                </w:rPr>
                <m:t>Hs programables</m:t>
              </m:r>
            </m:num>
            <m:den>
              <m:r>
                <w:rPr>
                  <w:rFonts w:ascii="Cambria Math" w:hAnsi="Cambria Math"/>
                  <w:lang w:val="es-ES"/>
                </w:rPr>
                <m:t>8*40-(# Viajes*Tiempo Viaje+Tiempo Desplazamiento Tareas)</m:t>
              </m:r>
            </m:den>
          </m:f>
        </m:oMath>
      </m:oMathPara>
    </w:p>
    <w:p w14:paraId="353CBE78" w14:textId="77777777" w:rsidR="00F64D04" w:rsidRPr="00AC5990" w:rsidRDefault="00F64D04" w:rsidP="00F64D04">
      <w:pPr>
        <w:rPr>
          <w:lang w:val="es-ES"/>
        </w:rPr>
      </w:pPr>
      <w:r w:rsidRPr="00AC5990">
        <w:rPr>
          <w:lang w:val="es-ES"/>
        </w:rPr>
        <w:t>Como se observa en la fórmula la cantidad de viajes requeridos se incrementa dado que el tiempo mismo de aproximacion y el tiempo de desplazamiento entre tareas reduce el tiempo neto para la ejecución de las tareas programables. Para determinar la cantidad de viajes se requiere realizar una interación, que según los ejercicios realizados rápidamente converge.</w:t>
      </w:r>
    </w:p>
    <w:p w14:paraId="7663CCBE" w14:textId="77777777" w:rsidR="00F64D04" w:rsidRPr="00AC5990" w:rsidRDefault="00F64D04" w:rsidP="00F64D04">
      <w:pPr>
        <w:rPr>
          <w:lang w:val="es-ES"/>
        </w:rPr>
      </w:pPr>
      <w:r w:rsidRPr="00AC5990">
        <w:rPr>
          <w:lang w:val="es-ES"/>
        </w:rPr>
        <w:t>Luego multiplicando la cantidad de traslados que realiza la cuadrilla, por el tiempo de traslado, se obtiene el tiempo anual que la cuadrilla invierte en traslados de ida y vuelta. El tiempo de traslado entre actividades total se determina multiplicando el tiempo de traslado entre intervenciones por la cantidad de intervenciones anuales.</w:t>
      </w:r>
    </w:p>
    <w:p w14:paraId="6DB29C57" w14:textId="77777777" w:rsidR="00F64D04" w:rsidRPr="00AC5990" w:rsidRDefault="00F64D04" w:rsidP="00F64D04">
      <w:pPr>
        <w:rPr>
          <w:lang w:val="es-ES"/>
        </w:rPr>
      </w:pPr>
      <w:r w:rsidRPr="00AC5990">
        <w:rPr>
          <w:lang w:val="es-ES"/>
        </w:rPr>
        <w:t xml:space="preserve">Finalmente, se adiciona el tiempo de traslado entre intervenciones considerado para las actividades programables que se realizan en líneas, dado que en estas actividades la cuadrilla se desplaza de una torre a la otra caminando o entre zona privada o en lugar donde no resulta sencillo transitar. </w:t>
      </w:r>
    </w:p>
    <w:p w14:paraId="7824B79A" w14:textId="77777777" w:rsidR="00F64D04" w:rsidRPr="00AC5990" w:rsidRDefault="00F64D04" w:rsidP="00F64D04">
      <w:pPr>
        <w:rPr>
          <w:lang w:val="es-ES"/>
        </w:rPr>
      </w:pPr>
      <w:r w:rsidRPr="00AC5990">
        <w:rPr>
          <w:lang w:val="es-ES"/>
        </w:rPr>
        <w:t>Para tareas de mantenimiento no programables, tal el caso de fallas, se considera que la cuadrilla realiza un viaje al punto de la faena por cada evento de mantenimiento.</w:t>
      </w:r>
    </w:p>
    <w:p w14:paraId="33A494D8" w14:textId="77777777" w:rsidR="00F64D04" w:rsidRPr="00AC5990" w:rsidRDefault="00F64D04" w:rsidP="00F64D04">
      <w:pPr>
        <w:rPr>
          <w:lang w:val="es-ES"/>
        </w:rPr>
      </w:pPr>
      <w:r w:rsidRPr="00AC5990">
        <w:rPr>
          <w:lang w:val="es-ES"/>
        </w:rPr>
        <w:t>Respecto de las velocidades de traslado, debido a que la  misma depende de la geografía donde se encuentran las instalaciones y al estado de los caminos se ha considerado una velocidad media de traslado por tipo de terreno.</w:t>
      </w:r>
    </w:p>
    <w:p w14:paraId="4BEEECB9" w14:textId="77777777" w:rsidR="00F64D04" w:rsidRPr="00AC5990" w:rsidRDefault="00F64D04" w:rsidP="00F64D04">
      <w:pPr>
        <w:rPr>
          <w:lang w:val="es-ES"/>
        </w:rPr>
      </w:pPr>
      <w:r w:rsidRPr="00AC5990">
        <w:rPr>
          <w:lang w:val="es-ES"/>
        </w:rPr>
        <w:t>Las distancias recorridas y velocidades medias desde el CO hasta la SE fueron extraídas  del Google Earth.</w:t>
      </w:r>
    </w:p>
    <w:p w14:paraId="27FC4F46" w14:textId="77777777" w:rsidR="00F64D04" w:rsidRPr="00AC5990" w:rsidRDefault="00F64D04" w:rsidP="00F64D04">
      <w:pPr>
        <w:rPr>
          <w:lang w:val="es-ES"/>
        </w:rPr>
      </w:pPr>
      <w:r w:rsidRPr="00AC5990">
        <w:rPr>
          <w:lang w:val="es-ES"/>
        </w:rPr>
        <w:t>Dependiendo de la actividad que se realice, los tiempos de traslado que se consideran son diferentes, a saber:</w:t>
      </w:r>
    </w:p>
    <w:p w14:paraId="1579F0A5" w14:textId="77777777" w:rsidR="00F64D04" w:rsidRPr="00AC5990" w:rsidRDefault="00F64D04" w:rsidP="002E20CA">
      <w:pPr>
        <w:pStyle w:val="Prrafodelista"/>
        <w:numPr>
          <w:ilvl w:val="0"/>
          <w:numId w:val="46"/>
        </w:numPr>
        <w:rPr>
          <w:rFonts w:asciiTheme="minorHAnsi" w:hAnsiTheme="minorHAnsi" w:cstheme="minorHAnsi"/>
          <w:lang w:val="es-ES"/>
        </w:rPr>
      </w:pPr>
      <w:r w:rsidRPr="00AC5990">
        <w:rPr>
          <w:rFonts w:asciiTheme="minorHAnsi" w:hAnsiTheme="minorHAnsi" w:cstheme="minorHAnsi"/>
          <w:lang w:val="es-ES"/>
        </w:rPr>
        <w:t>Actividades no programadas: generalmente son tareas que se realiza cuando hay fallas, se determina un tiempo de traslado para cada actividad realizada.</w:t>
      </w:r>
    </w:p>
    <w:p w14:paraId="0211B6F9" w14:textId="77777777" w:rsidR="00F64D04" w:rsidRPr="00AC5990" w:rsidRDefault="00F64D04" w:rsidP="002E20CA">
      <w:pPr>
        <w:pStyle w:val="Prrafodelista"/>
        <w:numPr>
          <w:ilvl w:val="0"/>
          <w:numId w:val="46"/>
        </w:numPr>
        <w:rPr>
          <w:rFonts w:asciiTheme="minorHAnsi" w:hAnsiTheme="minorHAnsi" w:cstheme="minorHAnsi"/>
          <w:lang w:val="es-ES"/>
        </w:rPr>
      </w:pPr>
      <w:r w:rsidRPr="00AC5990">
        <w:rPr>
          <w:rFonts w:asciiTheme="minorHAnsi" w:hAnsiTheme="minorHAnsi" w:cstheme="minorHAnsi"/>
          <w:lang w:val="es-ES"/>
        </w:rPr>
        <w:t>Actividades relacionadas con líneas : en este caso, además del tiempo de traslado al inicio y fin del día, hay que tener en cuenta el tiempo de traslado entre las diferentes intervenciones, los que también tienen una velocidad media asociada.</w:t>
      </w:r>
    </w:p>
    <w:p w14:paraId="32F2532F" w14:textId="7CA51770" w:rsidR="0079428C" w:rsidRPr="002D4A53" w:rsidRDefault="00F64D04" w:rsidP="00F64D04">
      <w:pPr>
        <w:rPr>
          <w:highlight w:val="yellow"/>
          <w:lang w:val="es-ES"/>
        </w:rPr>
      </w:pPr>
      <w:r w:rsidRPr="00AC5990">
        <w:rPr>
          <w:lang w:val="es-ES"/>
        </w:rPr>
        <w:t>Los tiempos de traslado se calcularon como el cociente entre la distancia media de traslado y la velocidad media de traslado.</w:t>
      </w:r>
    </w:p>
    <w:p w14:paraId="156E0C84" w14:textId="77777777" w:rsidR="0079428C" w:rsidRPr="00F465C5" w:rsidRDefault="0079428C" w:rsidP="0079428C">
      <w:pPr>
        <w:pStyle w:val="Ttulo3"/>
      </w:pPr>
      <w:bookmarkStart w:id="103" w:name="_Toc32392158"/>
      <w:bookmarkStart w:id="104" w:name="_Toc34398100"/>
      <w:bookmarkStart w:id="105" w:name="_Toc34687196"/>
      <w:r w:rsidRPr="00F465C5">
        <w:t>Remuneraciones</w:t>
      </w:r>
      <w:bookmarkEnd w:id="103"/>
      <w:bookmarkEnd w:id="104"/>
      <w:bookmarkEnd w:id="105"/>
    </w:p>
    <w:p w14:paraId="39E2E0A5" w14:textId="77777777" w:rsidR="0079428C" w:rsidRPr="00F465C5" w:rsidRDefault="0079428C" w:rsidP="0079428C">
      <w:pPr>
        <w:pStyle w:val="Ttulo4"/>
      </w:pPr>
      <w:bookmarkStart w:id="106" w:name="_Toc32392159"/>
      <w:bookmarkStart w:id="107" w:name="_Toc34398101"/>
      <w:bookmarkStart w:id="108" w:name="_Toc34687197"/>
      <w:r w:rsidRPr="00F465C5">
        <w:t>Introducción</w:t>
      </w:r>
      <w:bookmarkEnd w:id="106"/>
      <w:bookmarkEnd w:id="107"/>
      <w:bookmarkEnd w:id="108"/>
    </w:p>
    <w:p w14:paraId="4FD0F8BA" w14:textId="77777777" w:rsidR="003416F1" w:rsidRPr="00EE2F47" w:rsidRDefault="003416F1" w:rsidP="003416F1">
      <w:r w:rsidRPr="00EE2F47">
        <w:t>Los costos de las remuneraciones constituyen una de las partidas más importantes de los costos de explotación de las empresas transmisoras de electricidad. Los valores unitarios para los diferentes cargos incluidos en la estructura organizacional de la EM son determinados, tal como lo señalan las Bases Técnicas, a partir de un Estudio de Remuneraciones del Mercado Laboral Chileno.</w:t>
      </w:r>
    </w:p>
    <w:p w14:paraId="1EE2C8CC" w14:textId="77777777" w:rsidR="003416F1" w:rsidRPr="00EE2F47" w:rsidRDefault="003416F1" w:rsidP="003416F1">
      <w:r w:rsidRPr="00EE2F47">
        <w:t>El universo de categorías de personal que se defina debe resultar suficiente para que englobe la totalidad de las características de los recursos humanos necesarios para poder llevar a cabo todos los procesos y actividades en forma eficaz y eficiente. Los valores adoptados deben corresponder al costo total anual de la empresa, es decir, deben incluir todos los costos que genera cada empleado.</w:t>
      </w:r>
    </w:p>
    <w:p w14:paraId="7D3DE9AF" w14:textId="77777777" w:rsidR="003416F1" w:rsidRPr="00EE2F47" w:rsidRDefault="003416F1" w:rsidP="003416F1">
      <w:r w:rsidRPr="00EE2F47">
        <w:t xml:space="preserve">Para el efecto, se utiliza un Estudio de Remuneraciones desarrollado por una empresa especializada. Dicho estudio contiene un análisis sobre remuneraciones, beneficios adicionales y algunas prácticas habituales para los recursos humanos, que se desarrolla sobre una muestra de empresas representativas del mercado de Chile. </w:t>
      </w:r>
    </w:p>
    <w:p w14:paraId="4B3AEBE3" w14:textId="77777777" w:rsidR="003416F1" w:rsidRPr="003416F1" w:rsidRDefault="003416F1" w:rsidP="003416F1">
      <w:pPr>
        <w:pStyle w:val="Ttulo4"/>
      </w:pPr>
      <w:bookmarkStart w:id="109" w:name="_Toc27147826"/>
      <w:bookmarkStart w:id="110" w:name="_Toc34687198"/>
      <w:r w:rsidRPr="003416F1">
        <w:t>Metodología y Fuentes de Información</w:t>
      </w:r>
      <w:bookmarkEnd w:id="109"/>
      <w:bookmarkEnd w:id="110"/>
    </w:p>
    <w:p w14:paraId="2E78537C" w14:textId="77777777" w:rsidR="003416F1" w:rsidRPr="003416F1" w:rsidRDefault="003416F1" w:rsidP="003416F1">
      <w:r w:rsidRPr="003416F1">
        <w:t>En el contexto del análisis de las remuneraciones de mercado para la determinación de los costos de personal en los costos de operación, mantenimiento y administración (COMA), el Consorcio ha tenido en consideración la metodología que establecen las bases técnicas en el segundo párrafo del punto 3.6.2.4, que se transcribe a continuación:</w:t>
      </w:r>
    </w:p>
    <w:p w14:paraId="592784BA" w14:textId="77777777" w:rsidR="003416F1" w:rsidRPr="003416F1" w:rsidRDefault="003416F1" w:rsidP="003416F1">
      <w:pPr>
        <w:ind w:left="708"/>
      </w:pPr>
      <w:r w:rsidRPr="003416F1">
        <w:t xml:space="preserve">“Para determinar las rentas de mercado asociadas a cada cargo, el consultor realizará un proceso de homologación debidamente fundado, buscando el mejor ajuste entre las características de los cargos con la información disponible en los estudios de remuneraciones. El estadígrafo a utilizar para el personal propio será el percentil 50% y para el personal tercerizado (contratistas) se deberá emplear como estadígrafo el percentil 25%.” </w:t>
      </w:r>
    </w:p>
    <w:p w14:paraId="5C1BB4C0" w14:textId="4D10E7CC" w:rsidR="003416F1" w:rsidRPr="003B00B2" w:rsidRDefault="003416F1" w:rsidP="003416F1">
      <w:r w:rsidRPr="003416F1">
        <w:t xml:space="preserve">Al efecto, el Consorcio adquirió el Estudio de Compensaciones eSIREM (en adelante encuesta Price), de la firma especializada PricewaterhouseCoopers (en adelante Price), emitido en 2019, el que </w:t>
      </w:r>
      <w:r w:rsidRPr="003B00B2">
        <w:t>considera una muestra general de 79 empresas de distintos rubros y tamaños, las que se señalan en el Anexo</w:t>
      </w:r>
      <w:r w:rsidR="003B00B2" w:rsidRPr="003B00B2">
        <w:t xml:space="preserve"> COMA_3_ Modelo</w:t>
      </w:r>
      <w:r w:rsidRPr="003B00B2">
        <w:t xml:space="preserve">. Dado que la encuesta Price es vigente a Agosto de 2018, se referencian las rentas a diciembre de 2017 utilizando </w:t>
      </w:r>
      <w:r w:rsidR="00D71779" w:rsidRPr="003B00B2">
        <w:t>los deflactores</w:t>
      </w:r>
      <w:r w:rsidRPr="003B00B2">
        <w:t xml:space="preserve"> </w:t>
      </w:r>
      <w:r w:rsidR="00D71779" w:rsidRPr="003B00B2">
        <w:t xml:space="preserve">que </w:t>
      </w:r>
      <w:r w:rsidRPr="003B00B2">
        <w:t>se señala en</w:t>
      </w:r>
      <w:r w:rsidR="003B00B2" w:rsidRPr="003B00B2">
        <w:t>13.2.2</w:t>
      </w:r>
      <w:r w:rsidRPr="003B00B2">
        <w:t>.</w:t>
      </w:r>
    </w:p>
    <w:p w14:paraId="2DF21A25" w14:textId="77777777" w:rsidR="003416F1" w:rsidRPr="003416F1" w:rsidRDefault="003416F1" w:rsidP="003416F1">
      <w:r w:rsidRPr="003B00B2">
        <w:t>En relación a la elección de la encuesta indicada, se señala que el Consultor</w:t>
      </w:r>
      <w:r w:rsidRPr="003416F1">
        <w:t xml:space="preserve"> tiene experiencia en la utilización de la misma en varios estudios de valorización de empresas modelo (un Estudio de Transmisión Troncal, tres estudios de Valor Agregado de Distribución y dos estudios de Subtransmisión). En una oportunidad utilizó la encuesta Ernest and Young (E&amp;Y), con resultados también satisfactorios. Sin embargo, la última versión de la encuesta E&amp;Y, de marzo de 2018 -el año 2019 no se efectuó- sólo contó con 36 empresas, y no considera empresas eléctricas ni empresas de tecnologías equivalentes, por lo que claramente esta encuesta no compite con la de Price a los efectos del presente estudio. El Consultor no conoce de otras alternativas de encuestas de remuneraciones que se hayan venido realizando periódicamente, del prestigio y categoría de las encuestas Price y E&amp;Y.</w:t>
      </w:r>
    </w:p>
    <w:p w14:paraId="3BE1C29A" w14:textId="77777777" w:rsidR="003416F1" w:rsidRPr="003416F1" w:rsidRDefault="003416F1" w:rsidP="003416F1">
      <w:r w:rsidRPr="003416F1">
        <w:t>Asimismo, el Consultor desestimó el trabajar con más de una encuesta ya que no considera conceptualmente consistente mezclar los resultados de más de una encuesta para obtener las remuneraciones de los diferentes profesionales y personal de la empresa modelo debido a las diferencias metodológicas entre ellas.</w:t>
      </w:r>
    </w:p>
    <w:p w14:paraId="5EF35A85" w14:textId="77777777" w:rsidR="003416F1" w:rsidRDefault="003416F1" w:rsidP="003416F1">
      <w:r w:rsidRPr="003416F1">
        <w:t>De la muestra que completa 79 empresas, el Consorcio solicitó a Price filtrar las remuneraciones para un subconjunto conformado por 17</w:t>
      </w:r>
      <w:r w:rsidRPr="003416F1">
        <w:rPr>
          <w:rStyle w:val="Refdenotaalpie"/>
        </w:rPr>
        <w:footnoteReference w:id="16"/>
      </w:r>
      <w:r w:rsidRPr="003416F1">
        <w:t xml:space="preserve"> empresas del área más tecnológica, incluyendo eléctricas, telecomunicaciones, agua potable y del sector minero. De las remuneraciones que figuran en esta muestra, y para los cargos homologados, el Consorcio utilizó el estadígrafo 50% para el personal propio de la empresa y el estadígrafo 25% para el personal tercerizado, de acuerdo a lo indicado en las bases del estudio. La muestra utilizada es la siguiente:</w:t>
      </w:r>
    </w:p>
    <w:p w14:paraId="38E49295" w14:textId="77777777" w:rsidR="00750A0D" w:rsidRPr="003416F1" w:rsidRDefault="00750A0D" w:rsidP="003416F1"/>
    <w:p w14:paraId="33D8380B" w14:textId="320F24EC" w:rsidR="003416F1" w:rsidRPr="003416F1" w:rsidRDefault="003416F1" w:rsidP="003416F1">
      <w:pPr>
        <w:spacing w:after="120"/>
        <w:jc w:val="center"/>
        <w:rPr>
          <w:b/>
          <w:bCs/>
          <w:sz w:val="20"/>
          <w:szCs w:val="20"/>
        </w:rPr>
      </w:pPr>
      <w:bookmarkStart w:id="111" w:name="_Toc27147887"/>
      <w:r w:rsidRPr="003416F1">
        <w:rPr>
          <w:b/>
          <w:bCs/>
          <w:sz w:val="20"/>
          <w:szCs w:val="20"/>
        </w:rPr>
        <w:t xml:space="preserve">Tabla Nº </w:t>
      </w:r>
      <w:r w:rsidR="009F3AA0">
        <w:rPr>
          <w:b/>
          <w:bCs/>
          <w:sz w:val="20"/>
          <w:szCs w:val="20"/>
        </w:rPr>
        <w:t>6</w:t>
      </w:r>
      <w:r w:rsidRPr="003416F1">
        <w:rPr>
          <w:b/>
          <w:bCs/>
          <w:sz w:val="20"/>
          <w:szCs w:val="20"/>
        </w:rPr>
        <w:t xml:space="preserve"> Muestra Empresas Tecnológicas</w:t>
      </w:r>
      <w:bookmarkEnd w:id="111"/>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18"/>
        <w:gridCol w:w="5387"/>
        <w:gridCol w:w="2835"/>
      </w:tblGrid>
      <w:tr w:rsidR="003416F1" w:rsidRPr="003416F1" w14:paraId="3439007C" w14:textId="77777777" w:rsidTr="009D12B8">
        <w:trPr>
          <w:tblHeader/>
          <w:jc w:val="center"/>
        </w:trPr>
        <w:tc>
          <w:tcPr>
            <w:tcW w:w="9640" w:type="dxa"/>
            <w:gridSpan w:val="3"/>
            <w:shd w:val="clear" w:color="auto" w:fill="D0CECE"/>
            <w:noWrap/>
            <w:vAlign w:val="center"/>
          </w:tcPr>
          <w:p w14:paraId="08EAD6A4" w14:textId="77777777" w:rsidR="003416F1" w:rsidRPr="003416F1" w:rsidRDefault="003416F1" w:rsidP="009D12B8">
            <w:pPr>
              <w:spacing w:after="0" w:line="240" w:lineRule="auto"/>
              <w:jc w:val="center"/>
              <w:rPr>
                <w:b/>
                <w:bCs/>
                <w:sz w:val="22"/>
                <w:szCs w:val="22"/>
              </w:rPr>
            </w:pPr>
            <w:r w:rsidRPr="003416F1">
              <w:rPr>
                <w:b/>
                <w:bCs/>
                <w:sz w:val="22"/>
                <w:szCs w:val="22"/>
              </w:rPr>
              <w:t>Muestra Empresas Tecnológicas</w:t>
            </w:r>
          </w:p>
        </w:tc>
      </w:tr>
      <w:tr w:rsidR="003416F1" w:rsidRPr="003416F1" w14:paraId="1856BF9F" w14:textId="77777777" w:rsidTr="009D12B8">
        <w:trPr>
          <w:tblHeader/>
          <w:jc w:val="center"/>
        </w:trPr>
        <w:tc>
          <w:tcPr>
            <w:tcW w:w="1418" w:type="dxa"/>
            <w:shd w:val="clear" w:color="auto" w:fill="D0CECE"/>
            <w:noWrap/>
            <w:vAlign w:val="center"/>
          </w:tcPr>
          <w:p w14:paraId="09D463A6" w14:textId="77777777" w:rsidR="003416F1" w:rsidRPr="003416F1" w:rsidRDefault="003416F1" w:rsidP="009D12B8">
            <w:pPr>
              <w:spacing w:after="0" w:line="240" w:lineRule="auto"/>
              <w:jc w:val="center"/>
              <w:rPr>
                <w:b/>
                <w:bCs/>
                <w:sz w:val="22"/>
                <w:szCs w:val="22"/>
              </w:rPr>
            </w:pPr>
            <w:r w:rsidRPr="003416F1">
              <w:rPr>
                <w:b/>
                <w:bCs/>
                <w:sz w:val="22"/>
                <w:szCs w:val="22"/>
              </w:rPr>
              <w:t>Tamaño</w:t>
            </w:r>
          </w:p>
        </w:tc>
        <w:tc>
          <w:tcPr>
            <w:tcW w:w="5387" w:type="dxa"/>
            <w:shd w:val="clear" w:color="auto" w:fill="D0CECE"/>
            <w:noWrap/>
            <w:vAlign w:val="center"/>
          </w:tcPr>
          <w:p w14:paraId="33FF9F89" w14:textId="77777777" w:rsidR="003416F1" w:rsidRPr="003416F1" w:rsidRDefault="003416F1" w:rsidP="009D12B8">
            <w:pPr>
              <w:spacing w:after="0" w:line="240" w:lineRule="auto"/>
              <w:jc w:val="center"/>
              <w:rPr>
                <w:b/>
                <w:bCs/>
                <w:sz w:val="22"/>
                <w:szCs w:val="22"/>
              </w:rPr>
            </w:pPr>
            <w:r w:rsidRPr="003416F1">
              <w:rPr>
                <w:b/>
                <w:bCs/>
                <w:sz w:val="22"/>
                <w:szCs w:val="22"/>
              </w:rPr>
              <w:t>Nombre Empresa</w:t>
            </w:r>
          </w:p>
        </w:tc>
        <w:tc>
          <w:tcPr>
            <w:tcW w:w="2835" w:type="dxa"/>
            <w:shd w:val="clear" w:color="auto" w:fill="D0CECE"/>
            <w:noWrap/>
            <w:vAlign w:val="center"/>
          </w:tcPr>
          <w:p w14:paraId="70982881" w14:textId="77777777" w:rsidR="003416F1" w:rsidRPr="003416F1" w:rsidRDefault="003416F1" w:rsidP="009D12B8">
            <w:pPr>
              <w:spacing w:after="0" w:line="240" w:lineRule="auto"/>
              <w:jc w:val="center"/>
              <w:rPr>
                <w:b/>
                <w:bCs/>
                <w:sz w:val="22"/>
                <w:szCs w:val="22"/>
              </w:rPr>
            </w:pPr>
            <w:r w:rsidRPr="003416F1">
              <w:rPr>
                <w:b/>
                <w:bCs/>
                <w:sz w:val="22"/>
                <w:szCs w:val="22"/>
              </w:rPr>
              <w:t>Industria</w:t>
            </w:r>
          </w:p>
        </w:tc>
      </w:tr>
      <w:tr w:rsidR="003416F1" w:rsidRPr="003416F1" w14:paraId="0E7EA0F8" w14:textId="77777777" w:rsidTr="009D12B8">
        <w:trPr>
          <w:jc w:val="center"/>
        </w:trPr>
        <w:tc>
          <w:tcPr>
            <w:tcW w:w="1418" w:type="dxa"/>
            <w:shd w:val="clear" w:color="auto" w:fill="auto"/>
            <w:noWrap/>
            <w:vAlign w:val="center"/>
          </w:tcPr>
          <w:p w14:paraId="5301F9D2"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0DD9DCF0" w14:textId="77777777" w:rsidR="003416F1" w:rsidRPr="003416F1" w:rsidRDefault="003416F1" w:rsidP="009D12B8">
            <w:pPr>
              <w:spacing w:after="0" w:line="240" w:lineRule="auto"/>
              <w:rPr>
                <w:sz w:val="22"/>
                <w:szCs w:val="22"/>
              </w:rPr>
            </w:pPr>
            <w:r w:rsidRPr="003416F1">
              <w:rPr>
                <w:sz w:val="22"/>
                <w:szCs w:val="22"/>
              </w:rPr>
              <w:t>Colbún S.A.</w:t>
            </w:r>
          </w:p>
        </w:tc>
        <w:tc>
          <w:tcPr>
            <w:tcW w:w="2835" w:type="dxa"/>
            <w:shd w:val="clear" w:color="auto" w:fill="auto"/>
            <w:noWrap/>
            <w:vAlign w:val="center"/>
          </w:tcPr>
          <w:p w14:paraId="79FD8906" w14:textId="77777777" w:rsidR="003416F1" w:rsidRPr="003416F1" w:rsidRDefault="003416F1" w:rsidP="009D12B8">
            <w:pPr>
              <w:spacing w:after="0" w:line="240" w:lineRule="auto"/>
              <w:rPr>
                <w:sz w:val="22"/>
                <w:szCs w:val="22"/>
              </w:rPr>
            </w:pPr>
            <w:r w:rsidRPr="003416F1">
              <w:rPr>
                <w:sz w:val="22"/>
                <w:szCs w:val="22"/>
              </w:rPr>
              <w:t>Energía</w:t>
            </w:r>
          </w:p>
        </w:tc>
      </w:tr>
      <w:tr w:rsidR="003416F1" w:rsidRPr="003416F1" w14:paraId="209DB76B" w14:textId="77777777" w:rsidTr="009D12B8">
        <w:trPr>
          <w:jc w:val="center"/>
        </w:trPr>
        <w:tc>
          <w:tcPr>
            <w:tcW w:w="1418" w:type="dxa"/>
            <w:shd w:val="clear" w:color="auto" w:fill="auto"/>
            <w:noWrap/>
            <w:vAlign w:val="center"/>
          </w:tcPr>
          <w:p w14:paraId="2AF21240"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23B2F805" w14:textId="77777777" w:rsidR="003416F1" w:rsidRPr="003416F1" w:rsidRDefault="003416F1" w:rsidP="009D12B8">
            <w:pPr>
              <w:spacing w:after="0" w:line="240" w:lineRule="auto"/>
              <w:rPr>
                <w:sz w:val="22"/>
                <w:szCs w:val="22"/>
              </w:rPr>
            </w:pPr>
            <w:r w:rsidRPr="003416F1">
              <w:rPr>
                <w:sz w:val="22"/>
                <w:szCs w:val="22"/>
              </w:rPr>
              <w:t>Enap Refinería Bío Bío</w:t>
            </w:r>
          </w:p>
        </w:tc>
        <w:tc>
          <w:tcPr>
            <w:tcW w:w="2835" w:type="dxa"/>
            <w:shd w:val="clear" w:color="auto" w:fill="auto"/>
            <w:noWrap/>
            <w:vAlign w:val="center"/>
          </w:tcPr>
          <w:p w14:paraId="23E19855" w14:textId="77777777" w:rsidR="003416F1" w:rsidRPr="003416F1" w:rsidRDefault="003416F1" w:rsidP="009D12B8">
            <w:pPr>
              <w:spacing w:after="0" w:line="240" w:lineRule="auto"/>
              <w:rPr>
                <w:sz w:val="22"/>
                <w:szCs w:val="22"/>
              </w:rPr>
            </w:pPr>
            <w:r w:rsidRPr="003416F1">
              <w:rPr>
                <w:sz w:val="22"/>
                <w:szCs w:val="22"/>
              </w:rPr>
              <w:t>Energía</w:t>
            </w:r>
          </w:p>
        </w:tc>
      </w:tr>
      <w:tr w:rsidR="003416F1" w:rsidRPr="003416F1" w14:paraId="24F07729" w14:textId="77777777" w:rsidTr="009D12B8">
        <w:trPr>
          <w:jc w:val="center"/>
        </w:trPr>
        <w:tc>
          <w:tcPr>
            <w:tcW w:w="1418" w:type="dxa"/>
            <w:shd w:val="clear" w:color="auto" w:fill="auto"/>
            <w:noWrap/>
            <w:vAlign w:val="center"/>
          </w:tcPr>
          <w:p w14:paraId="5D9242BC"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4F170F59" w14:textId="77777777" w:rsidR="003416F1" w:rsidRPr="003416F1" w:rsidRDefault="003416F1" w:rsidP="009D12B8">
            <w:pPr>
              <w:spacing w:after="0" w:line="240" w:lineRule="auto"/>
              <w:rPr>
                <w:sz w:val="22"/>
                <w:szCs w:val="22"/>
              </w:rPr>
            </w:pPr>
            <w:r w:rsidRPr="003416F1">
              <w:rPr>
                <w:sz w:val="22"/>
                <w:szCs w:val="22"/>
              </w:rPr>
              <w:t>Enap Refinerías Aconcagua</w:t>
            </w:r>
          </w:p>
        </w:tc>
        <w:tc>
          <w:tcPr>
            <w:tcW w:w="2835" w:type="dxa"/>
            <w:shd w:val="clear" w:color="auto" w:fill="auto"/>
            <w:noWrap/>
            <w:vAlign w:val="center"/>
          </w:tcPr>
          <w:p w14:paraId="42B49622" w14:textId="77777777" w:rsidR="003416F1" w:rsidRPr="003416F1" w:rsidRDefault="003416F1" w:rsidP="009D12B8">
            <w:pPr>
              <w:spacing w:after="0" w:line="240" w:lineRule="auto"/>
              <w:rPr>
                <w:sz w:val="22"/>
                <w:szCs w:val="22"/>
              </w:rPr>
            </w:pPr>
            <w:r w:rsidRPr="003416F1">
              <w:rPr>
                <w:sz w:val="22"/>
                <w:szCs w:val="22"/>
              </w:rPr>
              <w:t>Energía</w:t>
            </w:r>
          </w:p>
        </w:tc>
      </w:tr>
      <w:tr w:rsidR="003416F1" w:rsidRPr="003416F1" w14:paraId="24D1DB05" w14:textId="77777777" w:rsidTr="009D12B8">
        <w:trPr>
          <w:jc w:val="center"/>
        </w:trPr>
        <w:tc>
          <w:tcPr>
            <w:tcW w:w="1418" w:type="dxa"/>
            <w:shd w:val="clear" w:color="auto" w:fill="auto"/>
            <w:noWrap/>
            <w:vAlign w:val="center"/>
          </w:tcPr>
          <w:p w14:paraId="38182D72"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1294482E" w14:textId="77777777" w:rsidR="003416F1" w:rsidRPr="003416F1" w:rsidRDefault="003416F1" w:rsidP="009D12B8">
            <w:pPr>
              <w:spacing w:after="0" w:line="240" w:lineRule="auto"/>
              <w:rPr>
                <w:sz w:val="22"/>
                <w:szCs w:val="22"/>
              </w:rPr>
            </w:pPr>
            <w:r w:rsidRPr="003416F1">
              <w:rPr>
                <w:sz w:val="22"/>
                <w:szCs w:val="22"/>
              </w:rPr>
              <w:t>Codelco - División El Teniente</w:t>
            </w:r>
          </w:p>
        </w:tc>
        <w:tc>
          <w:tcPr>
            <w:tcW w:w="2835" w:type="dxa"/>
            <w:shd w:val="clear" w:color="auto" w:fill="auto"/>
            <w:noWrap/>
            <w:vAlign w:val="center"/>
          </w:tcPr>
          <w:p w14:paraId="5DA1D76A" w14:textId="77777777" w:rsidR="003416F1" w:rsidRPr="003416F1" w:rsidRDefault="003416F1" w:rsidP="009D12B8">
            <w:pPr>
              <w:spacing w:after="0" w:line="240" w:lineRule="auto"/>
              <w:rPr>
                <w:sz w:val="22"/>
                <w:szCs w:val="22"/>
              </w:rPr>
            </w:pPr>
            <w:r w:rsidRPr="003416F1">
              <w:rPr>
                <w:sz w:val="22"/>
                <w:szCs w:val="22"/>
              </w:rPr>
              <w:t>Minería</w:t>
            </w:r>
          </w:p>
        </w:tc>
      </w:tr>
      <w:tr w:rsidR="003416F1" w:rsidRPr="003416F1" w14:paraId="51B32670" w14:textId="77777777" w:rsidTr="009D12B8">
        <w:trPr>
          <w:jc w:val="center"/>
        </w:trPr>
        <w:tc>
          <w:tcPr>
            <w:tcW w:w="1418" w:type="dxa"/>
            <w:shd w:val="clear" w:color="auto" w:fill="auto"/>
            <w:noWrap/>
            <w:vAlign w:val="center"/>
          </w:tcPr>
          <w:p w14:paraId="21CC1CAB"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2E749B66" w14:textId="77777777" w:rsidR="003416F1" w:rsidRPr="003416F1" w:rsidRDefault="003416F1" w:rsidP="009D12B8">
            <w:pPr>
              <w:spacing w:after="0" w:line="240" w:lineRule="auto"/>
              <w:rPr>
                <w:sz w:val="22"/>
                <w:szCs w:val="22"/>
              </w:rPr>
            </w:pPr>
            <w:r w:rsidRPr="003416F1">
              <w:rPr>
                <w:sz w:val="22"/>
                <w:szCs w:val="22"/>
              </w:rPr>
              <w:t>Compañía Contractual Minera Candelaria</w:t>
            </w:r>
          </w:p>
        </w:tc>
        <w:tc>
          <w:tcPr>
            <w:tcW w:w="2835" w:type="dxa"/>
            <w:shd w:val="clear" w:color="auto" w:fill="auto"/>
            <w:noWrap/>
            <w:vAlign w:val="center"/>
          </w:tcPr>
          <w:p w14:paraId="4A7A5246" w14:textId="77777777" w:rsidR="003416F1" w:rsidRPr="003416F1" w:rsidRDefault="003416F1" w:rsidP="009D12B8">
            <w:pPr>
              <w:spacing w:after="0" w:line="240" w:lineRule="auto"/>
              <w:rPr>
                <w:sz w:val="22"/>
                <w:szCs w:val="22"/>
              </w:rPr>
            </w:pPr>
            <w:r w:rsidRPr="003416F1">
              <w:rPr>
                <w:sz w:val="22"/>
                <w:szCs w:val="22"/>
              </w:rPr>
              <w:t>Minería</w:t>
            </w:r>
          </w:p>
        </w:tc>
      </w:tr>
      <w:tr w:rsidR="003416F1" w:rsidRPr="003416F1" w14:paraId="726F477D" w14:textId="77777777" w:rsidTr="009D12B8">
        <w:trPr>
          <w:jc w:val="center"/>
        </w:trPr>
        <w:tc>
          <w:tcPr>
            <w:tcW w:w="1418" w:type="dxa"/>
            <w:shd w:val="clear" w:color="auto" w:fill="auto"/>
            <w:noWrap/>
            <w:vAlign w:val="center"/>
          </w:tcPr>
          <w:p w14:paraId="60D67CD0"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1F7F2782" w14:textId="77777777" w:rsidR="003416F1" w:rsidRPr="003416F1" w:rsidRDefault="003416F1" w:rsidP="009D12B8">
            <w:pPr>
              <w:spacing w:after="0" w:line="240" w:lineRule="auto"/>
              <w:rPr>
                <w:sz w:val="22"/>
                <w:szCs w:val="22"/>
              </w:rPr>
            </w:pPr>
            <w:r w:rsidRPr="003416F1">
              <w:rPr>
                <w:sz w:val="22"/>
                <w:szCs w:val="22"/>
              </w:rPr>
              <w:t>Aguas Andinas S.A.</w:t>
            </w:r>
          </w:p>
        </w:tc>
        <w:tc>
          <w:tcPr>
            <w:tcW w:w="2835" w:type="dxa"/>
            <w:shd w:val="clear" w:color="auto" w:fill="auto"/>
            <w:noWrap/>
            <w:vAlign w:val="center"/>
          </w:tcPr>
          <w:p w14:paraId="6C1B67F0" w14:textId="77777777" w:rsidR="003416F1" w:rsidRPr="003416F1" w:rsidRDefault="003416F1" w:rsidP="009D12B8">
            <w:pPr>
              <w:spacing w:after="0" w:line="240" w:lineRule="auto"/>
              <w:rPr>
                <w:sz w:val="22"/>
                <w:szCs w:val="22"/>
              </w:rPr>
            </w:pPr>
            <w:r w:rsidRPr="003416F1">
              <w:rPr>
                <w:sz w:val="22"/>
                <w:szCs w:val="22"/>
              </w:rPr>
              <w:t>Servicios</w:t>
            </w:r>
          </w:p>
        </w:tc>
      </w:tr>
      <w:tr w:rsidR="003416F1" w:rsidRPr="003416F1" w14:paraId="5F1242C2" w14:textId="77777777" w:rsidTr="009D12B8">
        <w:trPr>
          <w:jc w:val="center"/>
        </w:trPr>
        <w:tc>
          <w:tcPr>
            <w:tcW w:w="1418" w:type="dxa"/>
            <w:shd w:val="clear" w:color="auto" w:fill="auto"/>
            <w:noWrap/>
            <w:vAlign w:val="center"/>
          </w:tcPr>
          <w:p w14:paraId="3216766E"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22CA22B8" w14:textId="77777777" w:rsidR="003416F1" w:rsidRPr="003416F1" w:rsidRDefault="003416F1" w:rsidP="009D12B8">
            <w:pPr>
              <w:spacing w:after="0" w:line="240" w:lineRule="auto"/>
              <w:rPr>
                <w:sz w:val="22"/>
                <w:szCs w:val="22"/>
              </w:rPr>
            </w:pPr>
            <w:r w:rsidRPr="003416F1">
              <w:rPr>
                <w:sz w:val="22"/>
                <w:szCs w:val="22"/>
              </w:rPr>
              <w:t>Chilquinta Energía S.A.</w:t>
            </w:r>
          </w:p>
        </w:tc>
        <w:tc>
          <w:tcPr>
            <w:tcW w:w="2835" w:type="dxa"/>
            <w:shd w:val="clear" w:color="auto" w:fill="auto"/>
            <w:noWrap/>
            <w:vAlign w:val="center"/>
          </w:tcPr>
          <w:p w14:paraId="3FA2AEA2" w14:textId="77777777" w:rsidR="003416F1" w:rsidRPr="003416F1" w:rsidRDefault="003416F1" w:rsidP="009D12B8">
            <w:pPr>
              <w:spacing w:after="0" w:line="240" w:lineRule="auto"/>
              <w:rPr>
                <w:sz w:val="22"/>
                <w:szCs w:val="22"/>
              </w:rPr>
            </w:pPr>
            <w:r w:rsidRPr="003416F1">
              <w:rPr>
                <w:sz w:val="22"/>
                <w:szCs w:val="22"/>
              </w:rPr>
              <w:t>Servicios</w:t>
            </w:r>
          </w:p>
        </w:tc>
      </w:tr>
      <w:tr w:rsidR="003416F1" w:rsidRPr="003416F1" w14:paraId="02AE840E" w14:textId="77777777" w:rsidTr="009D12B8">
        <w:trPr>
          <w:jc w:val="center"/>
        </w:trPr>
        <w:tc>
          <w:tcPr>
            <w:tcW w:w="1418" w:type="dxa"/>
            <w:shd w:val="clear" w:color="auto" w:fill="auto"/>
            <w:noWrap/>
            <w:vAlign w:val="center"/>
          </w:tcPr>
          <w:p w14:paraId="5A97F85F"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132043EF" w14:textId="77777777" w:rsidR="003416F1" w:rsidRPr="003416F1" w:rsidRDefault="003416F1" w:rsidP="009D12B8">
            <w:pPr>
              <w:spacing w:after="0" w:line="240" w:lineRule="auto"/>
              <w:rPr>
                <w:sz w:val="22"/>
                <w:szCs w:val="22"/>
              </w:rPr>
            </w:pPr>
            <w:r w:rsidRPr="003416F1">
              <w:rPr>
                <w:sz w:val="22"/>
                <w:szCs w:val="22"/>
              </w:rPr>
              <w:t>Interexport Integración S.A</w:t>
            </w:r>
          </w:p>
        </w:tc>
        <w:tc>
          <w:tcPr>
            <w:tcW w:w="2835" w:type="dxa"/>
            <w:shd w:val="clear" w:color="auto" w:fill="auto"/>
            <w:noWrap/>
            <w:vAlign w:val="center"/>
          </w:tcPr>
          <w:p w14:paraId="57DADF1F" w14:textId="77777777" w:rsidR="003416F1" w:rsidRPr="003416F1" w:rsidRDefault="003416F1" w:rsidP="009D12B8">
            <w:pPr>
              <w:spacing w:after="0" w:line="240" w:lineRule="auto"/>
              <w:rPr>
                <w:sz w:val="22"/>
                <w:szCs w:val="22"/>
              </w:rPr>
            </w:pPr>
            <w:r w:rsidRPr="003416F1">
              <w:rPr>
                <w:sz w:val="22"/>
                <w:szCs w:val="22"/>
              </w:rPr>
              <w:t>Telecomunicaciones y Medios</w:t>
            </w:r>
          </w:p>
        </w:tc>
      </w:tr>
      <w:tr w:rsidR="003416F1" w:rsidRPr="003416F1" w14:paraId="772D53D0" w14:textId="77777777" w:rsidTr="009D12B8">
        <w:trPr>
          <w:jc w:val="center"/>
        </w:trPr>
        <w:tc>
          <w:tcPr>
            <w:tcW w:w="1418" w:type="dxa"/>
            <w:shd w:val="clear" w:color="auto" w:fill="auto"/>
            <w:noWrap/>
            <w:vAlign w:val="center"/>
          </w:tcPr>
          <w:p w14:paraId="7C0CADC0"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0D72A673" w14:textId="77777777" w:rsidR="003416F1" w:rsidRPr="003416F1" w:rsidRDefault="003416F1" w:rsidP="009D12B8">
            <w:pPr>
              <w:spacing w:after="0" w:line="240" w:lineRule="auto"/>
              <w:rPr>
                <w:sz w:val="22"/>
                <w:szCs w:val="22"/>
              </w:rPr>
            </w:pPr>
            <w:r w:rsidRPr="003416F1">
              <w:rPr>
                <w:sz w:val="22"/>
                <w:szCs w:val="22"/>
              </w:rPr>
              <w:t>Interexport Telecomunicaciones Y Servicios S.A</w:t>
            </w:r>
          </w:p>
        </w:tc>
        <w:tc>
          <w:tcPr>
            <w:tcW w:w="2835" w:type="dxa"/>
            <w:shd w:val="clear" w:color="auto" w:fill="auto"/>
            <w:noWrap/>
            <w:vAlign w:val="center"/>
          </w:tcPr>
          <w:p w14:paraId="02685263" w14:textId="77777777" w:rsidR="003416F1" w:rsidRPr="003416F1" w:rsidRDefault="003416F1" w:rsidP="009D12B8">
            <w:pPr>
              <w:spacing w:after="0" w:line="240" w:lineRule="auto"/>
              <w:rPr>
                <w:sz w:val="22"/>
                <w:szCs w:val="22"/>
              </w:rPr>
            </w:pPr>
            <w:r w:rsidRPr="003416F1">
              <w:rPr>
                <w:sz w:val="22"/>
                <w:szCs w:val="22"/>
              </w:rPr>
              <w:t>Telecomunicaciones y Medios</w:t>
            </w:r>
          </w:p>
        </w:tc>
      </w:tr>
      <w:tr w:rsidR="003416F1" w:rsidRPr="003416F1" w14:paraId="471D163B" w14:textId="77777777" w:rsidTr="009D12B8">
        <w:trPr>
          <w:jc w:val="center"/>
        </w:trPr>
        <w:tc>
          <w:tcPr>
            <w:tcW w:w="1418" w:type="dxa"/>
            <w:shd w:val="clear" w:color="auto" w:fill="auto"/>
            <w:noWrap/>
            <w:vAlign w:val="center"/>
          </w:tcPr>
          <w:p w14:paraId="20F54715"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7CB4A60D" w14:textId="77777777" w:rsidR="003416F1" w:rsidRPr="003416F1" w:rsidRDefault="003416F1" w:rsidP="009D12B8">
            <w:pPr>
              <w:spacing w:after="0" w:line="240" w:lineRule="auto"/>
              <w:rPr>
                <w:sz w:val="22"/>
                <w:szCs w:val="22"/>
              </w:rPr>
            </w:pPr>
            <w:r w:rsidRPr="003416F1">
              <w:rPr>
                <w:sz w:val="22"/>
                <w:szCs w:val="22"/>
              </w:rPr>
              <w:t>Vtr Comunicaciones Spa</w:t>
            </w:r>
          </w:p>
        </w:tc>
        <w:tc>
          <w:tcPr>
            <w:tcW w:w="2835" w:type="dxa"/>
            <w:shd w:val="clear" w:color="auto" w:fill="auto"/>
            <w:noWrap/>
            <w:vAlign w:val="center"/>
          </w:tcPr>
          <w:p w14:paraId="39532E1E" w14:textId="77777777" w:rsidR="003416F1" w:rsidRPr="003416F1" w:rsidRDefault="003416F1" w:rsidP="009D12B8">
            <w:pPr>
              <w:spacing w:after="0" w:line="240" w:lineRule="auto"/>
              <w:rPr>
                <w:sz w:val="22"/>
                <w:szCs w:val="22"/>
              </w:rPr>
            </w:pPr>
            <w:r w:rsidRPr="003416F1">
              <w:rPr>
                <w:sz w:val="22"/>
                <w:szCs w:val="22"/>
              </w:rPr>
              <w:t>Telecomunicaciones y Medios</w:t>
            </w:r>
          </w:p>
        </w:tc>
      </w:tr>
      <w:tr w:rsidR="003416F1" w:rsidRPr="003416F1" w14:paraId="64EF82E5" w14:textId="77777777" w:rsidTr="009D12B8">
        <w:trPr>
          <w:jc w:val="center"/>
        </w:trPr>
        <w:tc>
          <w:tcPr>
            <w:tcW w:w="1418" w:type="dxa"/>
            <w:shd w:val="clear" w:color="auto" w:fill="auto"/>
            <w:noWrap/>
            <w:vAlign w:val="center"/>
          </w:tcPr>
          <w:p w14:paraId="41EAAD66" w14:textId="77777777" w:rsidR="003416F1" w:rsidRPr="003416F1" w:rsidRDefault="003416F1" w:rsidP="009D12B8">
            <w:pPr>
              <w:spacing w:after="0" w:line="240" w:lineRule="auto"/>
              <w:rPr>
                <w:sz w:val="22"/>
                <w:szCs w:val="22"/>
              </w:rPr>
            </w:pPr>
            <w:r w:rsidRPr="003416F1">
              <w:rPr>
                <w:sz w:val="22"/>
                <w:szCs w:val="22"/>
              </w:rPr>
              <w:t>Grandes</w:t>
            </w:r>
          </w:p>
        </w:tc>
        <w:tc>
          <w:tcPr>
            <w:tcW w:w="5387" w:type="dxa"/>
            <w:shd w:val="clear" w:color="auto" w:fill="auto"/>
            <w:noWrap/>
            <w:vAlign w:val="center"/>
          </w:tcPr>
          <w:p w14:paraId="630B0555" w14:textId="77777777" w:rsidR="003416F1" w:rsidRPr="003416F1" w:rsidRDefault="003416F1" w:rsidP="009D12B8">
            <w:pPr>
              <w:spacing w:after="0" w:line="240" w:lineRule="auto"/>
              <w:rPr>
                <w:sz w:val="22"/>
                <w:szCs w:val="22"/>
              </w:rPr>
            </w:pPr>
            <w:r w:rsidRPr="003416F1">
              <w:rPr>
                <w:sz w:val="22"/>
                <w:szCs w:val="22"/>
              </w:rPr>
              <w:t>Salinas Y Fabres S.A.</w:t>
            </w:r>
          </w:p>
        </w:tc>
        <w:tc>
          <w:tcPr>
            <w:tcW w:w="2835" w:type="dxa"/>
            <w:shd w:val="clear" w:color="auto" w:fill="auto"/>
            <w:noWrap/>
            <w:vAlign w:val="center"/>
          </w:tcPr>
          <w:p w14:paraId="38D88192" w14:textId="77777777" w:rsidR="003416F1" w:rsidRPr="003416F1" w:rsidRDefault="003416F1" w:rsidP="009D12B8">
            <w:pPr>
              <w:spacing w:after="0" w:line="240" w:lineRule="auto"/>
              <w:rPr>
                <w:sz w:val="22"/>
                <w:szCs w:val="22"/>
              </w:rPr>
            </w:pPr>
            <w:r w:rsidRPr="003416F1">
              <w:rPr>
                <w:sz w:val="22"/>
                <w:szCs w:val="22"/>
              </w:rPr>
              <w:t>Vehículos y Maquinarias</w:t>
            </w:r>
          </w:p>
        </w:tc>
      </w:tr>
      <w:tr w:rsidR="003416F1" w:rsidRPr="003416F1" w14:paraId="32BF4512" w14:textId="77777777" w:rsidTr="009D12B8">
        <w:trPr>
          <w:jc w:val="center"/>
        </w:trPr>
        <w:tc>
          <w:tcPr>
            <w:tcW w:w="1418" w:type="dxa"/>
            <w:shd w:val="clear" w:color="auto" w:fill="auto"/>
            <w:noWrap/>
            <w:vAlign w:val="center"/>
          </w:tcPr>
          <w:p w14:paraId="537D889F" w14:textId="77777777" w:rsidR="003416F1" w:rsidRPr="003416F1" w:rsidRDefault="003416F1" w:rsidP="009D12B8">
            <w:pPr>
              <w:spacing w:after="0" w:line="240" w:lineRule="auto"/>
              <w:rPr>
                <w:sz w:val="22"/>
                <w:szCs w:val="22"/>
              </w:rPr>
            </w:pPr>
            <w:r w:rsidRPr="003416F1">
              <w:rPr>
                <w:sz w:val="22"/>
                <w:szCs w:val="22"/>
              </w:rPr>
              <w:t>Medianas</w:t>
            </w:r>
          </w:p>
        </w:tc>
        <w:tc>
          <w:tcPr>
            <w:tcW w:w="5387" w:type="dxa"/>
            <w:shd w:val="clear" w:color="auto" w:fill="auto"/>
            <w:noWrap/>
            <w:vAlign w:val="center"/>
          </w:tcPr>
          <w:p w14:paraId="11EF1827" w14:textId="77777777" w:rsidR="003416F1" w:rsidRPr="003416F1" w:rsidRDefault="003416F1" w:rsidP="009D12B8">
            <w:pPr>
              <w:spacing w:after="0" w:line="240" w:lineRule="auto"/>
              <w:rPr>
                <w:sz w:val="22"/>
                <w:szCs w:val="22"/>
              </w:rPr>
            </w:pPr>
            <w:r w:rsidRPr="003416F1">
              <w:rPr>
                <w:sz w:val="22"/>
                <w:szCs w:val="22"/>
              </w:rPr>
              <w:t>Transelec S.A.</w:t>
            </w:r>
          </w:p>
        </w:tc>
        <w:tc>
          <w:tcPr>
            <w:tcW w:w="2835" w:type="dxa"/>
            <w:shd w:val="clear" w:color="auto" w:fill="auto"/>
            <w:noWrap/>
            <w:vAlign w:val="center"/>
          </w:tcPr>
          <w:p w14:paraId="1C7E4239" w14:textId="77777777" w:rsidR="003416F1" w:rsidRPr="003416F1" w:rsidRDefault="003416F1" w:rsidP="009D12B8">
            <w:pPr>
              <w:spacing w:after="0" w:line="240" w:lineRule="auto"/>
              <w:rPr>
                <w:sz w:val="22"/>
                <w:szCs w:val="22"/>
              </w:rPr>
            </w:pPr>
            <w:r w:rsidRPr="003416F1">
              <w:rPr>
                <w:sz w:val="22"/>
                <w:szCs w:val="22"/>
              </w:rPr>
              <w:t>Energía</w:t>
            </w:r>
          </w:p>
        </w:tc>
      </w:tr>
      <w:tr w:rsidR="003416F1" w:rsidRPr="003416F1" w14:paraId="777FA967" w14:textId="77777777" w:rsidTr="009D12B8">
        <w:trPr>
          <w:jc w:val="center"/>
        </w:trPr>
        <w:tc>
          <w:tcPr>
            <w:tcW w:w="1418" w:type="dxa"/>
            <w:shd w:val="clear" w:color="auto" w:fill="auto"/>
            <w:noWrap/>
            <w:vAlign w:val="center"/>
          </w:tcPr>
          <w:p w14:paraId="6EC99E80" w14:textId="77777777" w:rsidR="003416F1" w:rsidRPr="003416F1" w:rsidRDefault="003416F1" w:rsidP="009D12B8">
            <w:pPr>
              <w:spacing w:after="0" w:line="240" w:lineRule="auto"/>
              <w:rPr>
                <w:sz w:val="22"/>
                <w:szCs w:val="22"/>
              </w:rPr>
            </w:pPr>
            <w:r w:rsidRPr="003416F1">
              <w:rPr>
                <w:sz w:val="22"/>
                <w:szCs w:val="22"/>
              </w:rPr>
              <w:t>Medianas</w:t>
            </w:r>
          </w:p>
        </w:tc>
        <w:tc>
          <w:tcPr>
            <w:tcW w:w="5387" w:type="dxa"/>
            <w:shd w:val="clear" w:color="auto" w:fill="auto"/>
            <w:noWrap/>
            <w:vAlign w:val="center"/>
          </w:tcPr>
          <w:p w14:paraId="47D281F8" w14:textId="77777777" w:rsidR="003416F1" w:rsidRPr="003416F1" w:rsidRDefault="003416F1" w:rsidP="009D12B8">
            <w:pPr>
              <w:spacing w:after="0" w:line="240" w:lineRule="auto"/>
              <w:rPr>
                <w:sz w:val="22"/>
                <w:szCs w:val="22"/>
              </w:rPr>
            </w:pPr>
            <w:r w:rsidRPr="003416F1">
              <w:rPr>
                <w:sz w:val="22"/>
                <w:szCs w:val="22"/>
              </w:rPr>
              <w:t>Hidroeléctrica Ñuble Spa</w:t>
            </w:r>
          </w:p>
        </w:tc>
        <w:tc>
          <w:tcPr>
            <w:tcW w:w="2835" w:type="dxa"/>
            <w:shd w:val="clear" w:color="auto" w:fill="auto"/>
            <w:noWrap/>
            <w:vAlign w:val="center"/>
          </w:tcPr>
          <w:p w14:paraId="71D0EF77" w14:textId="77777777" w:rsidR="003416F1" w:rsidRPr="003416F1" w:rsidRDefault="003416F1" w:rsidP="009D12B8">
            <w:pPr>
              <w:spacing w:after="0" w:line="240" w:lineRule="auto"/>
              <w:rPr>
                <w:sz w:val="22"/>
                <w:szCs w:val="22"/>
              </w:rPr>
            </w:pPr>
            <w:r w:rsidRPr="003416F1">
              <w:rPr>
                <w:sz w:val="22"/>
                <w:szCs w:val="22"/>
              </w:rPr>
              <w:t>Energía</w:t>
            </w:r>
          </w:p>
        </w:tc>
      </w:tr>
      <w:tr w:rsidR="003416F1" w:rsidRPr="003416F1" w14:paraId="7E25B3E0" w14:textId="77777777" w:rsidTr="009D12B8">
        <w:trPr>
          <w:jc w:val="center"/>
        </w:trPr>
        <w:tc>
          <w:tcPr>
            <w:tcW w:w="1418" w:type="dxa"/>
            <w:shd w:val="clear" w:color="auto" w:fill="auto"/>
            <w:noWrap/>
            <w:vAlign w:val="center"/>
          </w:tcPr>
          <w:p w14:paraId="7792DA50" w14:textId="77777777" w:rsidR="003416F1" w:rsidRPr="003416F1" w:rsidRDefault="003416F1" w:rsidP="009D12B8">
            <w:pPr>
              <w:spacing w:after="0" w:line="240" w:lineRule="auto"/>
              <w:rPr>
                <w:sz w:val="22"/>
                <w:szCs w:val="22"/>
              </w:rPr>
            </w:pPr>
            <w:r w:rsidRPr="003416F1">
              <w:rPr>
                <w:sz w:val="22"/>
                <w:szCs w:val="22"/>
              </w:rPr>
              <w:t>Medianas</w:t>
            </w:r>
          </w:p>
        </w:tc>
        <w:tc>
          <w:tcPr>
            <w:tcW w:w="5387" w:type="dxa"/>
            <w:shd w:val="clear" w:color="auto" w:fill="auto"/>
            <w:noWrap/>
            <w:vAlign w:val="center"/>
          </w:tcPr>
          <w:p w14:paraId="57CE1FAE" w14:textId="77777777" w:rsidR="003416F1" w:rsidRPr="003416F1" w:rsidRDefault="003416F1" w:rsidP="009D12B8">
            <w:pPr>
              <w:spacing w:after="0" w:line="240" w:lineRule="auto"/>
              <w:rPr>
                <w:sz w:val="22"/>
                <w:szCs w:val="22"/>
              </w:rPr>
            </w:pPr>
            <w:r w:rsidRPr="003416F1">
              <w:rPr>
                <w:sz w:val="22"/>
                <w:szCs w:val="22"/>
              </w:rPr>
              <w:t>Interchile S.A.</w:t>
            </w:r>
          </w:p>
        </w:tc>
        <w:tc>
          <w:tcPr>
            <w:tcW w:w="2835" w:type="dxa"/>
            <w:shd w:val="clear" w:color="auto" w:fill="auto"/>
            <w:noWrap/>
            <w:vAlign w:val="center"/>
          </w:tcPr>
          <w:p w14:paraId="19A2305A" w14:textId="77777777" w:rsidR="003416F1" w:rsidRPr="003416F1" w:rsidRDefault="003416F1" w:rsidP="009D12B8">
            <w:pPr>
              <w:spacing w:after="0" w:line="240" w:lineRule="auto"/>
              <w:rPr>
                <w:sz w:val="22"/>
                <w:szCs w:val="22"/>
              </w:rPr>
            </w:pPr>
            <w:r w:rsidRPr="003416F1">
              <w:rPr>
                <w:sz w:val="22"/>
                <w:szCs w:val="22"/>
              </w:rPr>
              <w:t>Energía</w:t>
            </w:r>
          </w:p>
        </w:tc>
      </w:tr>
      <w:tr w:rsidR="003416F1" w:rsidRPr="003416F1" w14:paraId="3981728F" w14:textId="77777777" w:rsidTr="009D12B8">
        <w:trPr>
          <w:jc w:val="center"/>
        </w:trPr>
        <w:tc>
          <w:tcPr>
            <w:tcW w:w="1418" w:type="dxa"/>
            <w:shd w:val="clear" w:color="auto" w:fill="auto"/>
            <w:noWrap/>
            <w:vAlign w:val="center"/>
          </w:tcPr>
          <w:p w14:paraId="077287A6" w14:textId="77777777" w:rsidR="003416F1" w:rsidRPr="003416F1" w:rsidRDefault="003416F1" w:rsidP="009D12B8">
            <w:pPr>
              <w:spacing w:after="0" w:line="240" w:lineRule="auto"/>
              <w:rPr>
                <w:sz w:val="22"/>
                <w:szCs w:val="22"/>
              </w:rPr>
            </w:pPr>
            <w:r w:rsidRPr="003416F1">
              <w:rPr>
                <w:sz w:val="22"/>
                <w:szCs w:val="22"/>
              </w:rPr>
              <w:t>Medianas</w:t>
            </w:r>
          </w:p>
        </w:tc>
        <w:tc>
          <w:tcPr>
            <w:tcW w:w="5387" w:type="dxa"/>
            <w:shd w:val="clear" w:color="auto" w:fill="auto"/>
            <w:noWrap/>
            <w:vAlign w:val="center"/>
          </w:tcPr>
          <w:p w14:paraId="4FCA94BD" w14:textId="77777777" w:rsidR="003416F1" w:rsidRPr="003416F1" w:rsidRDefault="003416F1" w:rsidP="009D12B8">
            <w:pPr>
              <w:spacing w:after="0" w:line="240" w:lineRule="auto"/>
              <w:rPr>
                <w:sz w:val="22"/>
                <w:szCs w:val="22"/>
              </w:rPr>
            </w:pPr>
            <w:r w:rsidRPr="003416F1">
              <w:rPr>
                <w:sz w:val="22"/>
                <w:szCs w:val="22"/>
              </w:rPr>
              <w:t>Tecnored S.A.</w:t>
            </w:r>
          </w:p>
        </w:tc>
        <w:tc>
          <w:tcPr>
            <w:tcW w:w="2835" w:type="dxa"/>
            <w:shd w:val="clear" w:color="auto" w:fill="auto"/>
            <w:noWrap/>
            <w:vAlign w:val="center"/>
          </w:tcPr>
          <w:p w14:paraId="29B901A9" w14:textId="77777777" w:rsidR="003416F1" w:rsidRPr="003416F1" w:rsidRDefault="003416F1" w:rsidP="009D12B8">
            <w:pPr>
              <w:spacing w:after="0" w:line="240" w:lineRule="auto"/>
              <w:rPr>
                <w:sz w:val="22"/>
                <w:szCs w:val="22"/>
              </w:rPr>
            </w:pPr>
            <w:r w:rsidRPr="003416F1">
              <w:rPr>
                <w:sz w:val="22"/>
                <w:szCs w:val="22"/>
              </w:rPr>
              <w:t>Servicios</w:t>
            </w:r>
          </w:p>
        </w:tc>
      </w:tr>
      <w:tr w:rsidR="003416F1" w:rsidRPr="003416F1" w14:paraId="08AA7515" w14:textId="77777777" w:rsidTr="009D12B8">
        <w:trPr>
          <w:jc w:val="center"/>
        </w:trPr>
        <w:tc>
          <w:tcPr>
            <w:tcW w:w="1418" w:type="dxa"/>
            <w:shd w:val="clear" w:color="auto" w:fill="auto"/>
            <w:noWrap/>
            <w:vAlign w:val="center"/>
          </w:tcPr>
          <w:p w14:paraId="36149A56" w14:textId="77777777" w:rsidR="003416F1" w:rsidRPr="003416F1" w:rsidRDefault="003416F1" w:rsidP="009D12B8">
            <w:pPr>
              <w:spacing w:after="0" w:line="240" w:lineRule="auto"/>
              <w:rPr>
                <w:sz w:val="22"/>
                <w:szCs w:val="22"/>
              </w:rPr>
            </w:pPr>
            <w:r w:rsidRPr="003416F1">
              <w:rPr>
                <w:sz w:val="22"/>
                <w:szCs w:val="22"/>
              </w:rPr>
              <w:t>Medianas</w:t>
            </w:r>
          </w:p>
        </w:tc>
        <w:tc>
          <w:tcPr>
            <w:tcW w:w="5387" w:type="dxa"/>
            <w:shd w:val="clear" w:color="auto" w:fill="auto"/>
            <w:noWrap/>
            <w:vAlign w:val="center"/>
          </w:tcPr>
          <w:p w14:paraId="4F71AC88" w14:textId="77777777" w:rsidR="003416F1" w:rsidRPr="003416F1" w:rsidRDefault="003416F1" w:rsidP="009D12B8">
            <w:pPr>
              <w:spacing w:after="0" w:line="240" w:lineRule="auto"/>
              <w:rPr>
                <w:sz w:val="22"/>
                <w:szCs w:val="22"/>
              </w:rPr>
            </w:pPr>
            <w:r w:rsidRPr="003416F1">
              <w:rPr>
                <w:sz w:val="22"/>
                <w:szCs w:val="22"/>
              </w:rPr>
              <w:t>Engie Services</w:t>
            </w:r>
          </w:p>
        </w:tc>
        <w:tc>
          <w:tcPr>
            <w:tcW w:w="2835" w:type="dxa"/>
            <w:shd w:val="clear" w:color="auto" w:fill="auto"/>
            <w:noWrap/>
            <w:vAlign w:val="center"/>
          </w:tcPr>
          <w:p w14:paraId="56F4CEB2" w14:textId="77777777" w:rsidR="003416F1" w:rsidRPr="003416F1" w:rsidRDefault="003416F1" w:rsidP="009D12B8">
            <w:pPr>
              <w:spacing w:after="0" w:line="240" w:lineRule="auto"/>
              <w:rPr>
                <w:sz w:val="22"/>
                <w:szCs w:val="22"/>
              </w:rPr>
            </w:pPr>
            <w:r w:rsidRPr="003416F1">
              <w:rPr>
                <w:sz w:val="22"/>
                <w:szCs w:val="22"/>
              </w:rPr>
              <w:t>Servicios</w:t>
            </w:r>
          </w:p>
        </w:tc>
      </w:tr>
      <w:tr w:rsidR="003416F1" w:rsidRPr="003416F1" w14:paraId="2555AC0C" w14:textId="77777777" w:rsidTr="009D12B8">
        <w:trPr>
          <w:jc w:val="center"/>
        </w:trPr>
        <w:tc>
          <w:tcPr>
            <w:tcW w:w="1418" w:type="dxa"/>
            <w:shd w:val="clear" w:color="auto" w:fill="auto"/>
            <w:noWrap/>
            <w:vAlign w:val="center"/>
          </w:tcPr>
          <w:p w14:paraId="0E5A681F" w14:textId="77777777" w:rsidR="003416F1" w:rsidRPr="003416F1" w:rsidRDefault="003416F1" w:rsidP="009D12B8">
            <w:pPr>
              <w:spacing w:after="0" w:line="240" w:lineRule="auto"/>
              <w:rPr>
                <w:sz w:val="22"/>
                <w:szCs w:val="22"/>
              </w:rPr>
            </w:pPr>
            <w:r w:rsidRPr="003416F1">
              <w:rPr>
                <w:sz w:val="22"/>
                <w:szCs w:val="22"/>
              </w:rPr>
              <w:t>Medianas</w:t>
            </w:r>
          </w:p>
        </w:tc>
        <w:tc>
          <w:tcPr>
            <w:tcW w:w="5387" w:type="dxa"/>
            <w:shd w:val="clear" w:color="auto" w:fill="auto"/>
            <w:noWrap/>
            <w:vAlign w:val="center"/>
          </w:tcPr>
          <w:p w14:paraId="3D59174C" w14:textId="77777777" w:rsidR="003416F1" w:rsidRPr="003416F1" w:rsidRDefault="003416F1" w:rsidP="009D12B8">
            <w:pPr>
              <w:spacing w:after="0" w:line="240" w:lineRule="auto"/>
              <w:rPr>
                <w:sz w:val="22"/>
                <w:szCs w:val="22"/>
              </w:rPr>
            </w:pPr>
            <w:r w:rsidRPr="003416F1">
              <w:rPr>
                <w:sz w:val="22"/>
                <w:szCs w:val="22"/>
              </w:rPr>
              <w:t>Tecnet S.A.</w:t>
            </w:r>
          </w:p>
        </w:tc>
        <w:tc>
          <w:tcPr>
            <w:tcW w:w="2835" w:type="dxa"/>
            <w:shd w:val="clear" w:color="auto" w:fill="auto"/>
            <w:noWrap/>
            <w:vAlign w:val="center"/>
          </w:tcPr>
          <w:p w14:paraId="1DDF94A1" w14:textId="77777777" w:rsidR="003416F1" w:rsidRPr="003416F1" w:rsidRDefault="003416F1" w:rsidP="009D12B8">
            <w:pPr>
              <w:spacing w:after="0" w:line="240" w:lineRule="auto"/>
              <w:rPr>
                <w:sz w:val="22"/>
                <w:szCs w:val="22"/>
              </w:rPr>
            </w:pPr>
            <w:r w:rsidRPr="003416F1">
              <w:rPr>
                <w:sz w:val="22"/>
                <w:szCs w:val="22"/>
              </w:rPr>
              <w:t>Energía</w:t>
            </w:r>
          </w:p>
        </w:tc>
      </w:tr>
    </w:tbl>
    <w:p w14:paraId="62B60DBE" w14:textId="77777777" w:rsidR="003416F1" w:rsidRPr="003416F1" w:rsidRDefault="003416F1" w:rsidP="003416F1">
      <w:pPr>
        <w:spacing w:after="0"/>
      </w:pPr>
    </w:p>
    <w:p w14:paraId="7D3A1380" w14:textId="77777777" w:rsidR="003416F1" w:rsidRPr="003416F1" w:rsidRDefault="003416F1" w:rsidP="003416F1">
      <w:pPr>
        <w:spacing w:after="0"/>
      </w:pPr>
    </w:p>
    <w:p w14:paraId="380B21C4" w14:textId="77777777" w:rsidR="003416F1" w:rsidRPr="003416F1" w:rsidRDefault="003416F1" w:rsidP="003416F1">
      <w:pPr>
        <w:pStyle w:val="Ttulo4"/>
      </w:pPr>
      <w:bookmarkStart w:id="112" w:name="_Toc27147827"/>
      <w:bookmarkStart w:id="113" w:name="_Toc34687199"/>
      <w:r w:rsidRPr="003416F1">
        <w:t>Fundamentación de la Muestra Propuesta</w:t>
      </w:r>
      <w:r w:rsidRPr="003416F1">
        <w:rPr>
          <w:rStyle w:val="Refdenotaalpie"/>
        </w:rPr>
        <w:footnoteReference w:id="17"/>
      </w:r>
      <w:bookmarkEnd w:id="112"/>
      <w:bookmarkEnd w:id="113"/>
    </w:p>
    <w:p w14:paraId="1E1B373E" w14:textId="77777777" w:rsidR="003416F1" w:rsidRPr="003416F1" w:rsidRDefault="003416F1" w:rsidP="003416F1">
      <w:r w:rsidRPr="003416F1">
        <w:t>La muestra de 79 empresas consideradas en la encuesta Price incluye empresas de tamaños grande, medio grande, mediano y pequeño</w:t>
      </w:r>
      <w:r w:rsidRPr="003416F1">
        <w:rPr>
          <w:rStyle w:val="Refdenotaalpie"/>
        </w:rPr>
        <w:footnoteReference w:id="18"/>
      </w:r>
      <w:r w:rsidRPr="003416F1">
        <w:t>. Para el análisis de remuneraciones de una empresa que atiende la operación, mantenimiento y administración del sistema de transmisión nacional, el Consorcio consideró adecuado seleccionar empresas similares a eléctricas de tamaños grande, medio grande y medianas.</w:t>
      </w:r>
    </w:p>
    <w:p w14:paraId="1523139A" w14:textId="77777777" w:rsidR="003416F1" w:rsidRPr="003416F1" w:rsidRDefault="003416F1" w:rsidP="003416F1">
      <w:r w:rsidRPr="003416F1">
        <w:t xml:space="preserve">En efecto, a juicio del Consultor, la empresa modelo que atiende el STN debe ser en principio una empresa grande según la definición de tamaño que hace Price (ventas anuales por sobre los USD 250.000.000). Sin embargo, la encuesta de Price tiene entre las empresas grandes sólo a dos empresas del rubro energía, a saber, Chilquinta y Colbún. Para incrementar el tamaño de la muestra -que debe ser superior a diez según lo exige Price- se incluyeron empresas grandes de otros servicios como telecomunicaciones (3 empresas), servicios sanitarios (1 empresa), de maquinarias y equipos (1 empresa) y empresas del sector petróleo (2 empresas) con lo que se completa una muestra de 9 empresas grandes. </w:t>
      </w:r>
    </w:p>
    <w:p w14:paraId="7DB3B8C2" w14:textId="77777777" w:rsidR="003416F1" w:rsidRPr="003416F1" w:rsidRDefault="003416F1" w:rsidP="003416F1">
      <w:r w:rsidRPr="003416F1">
        <w:t>Para incrementar la presencia de empresas de energía eléctrica se consideró necesario también incluir empresas medianas, lo que se logra al incorporar a la muestra a las empresas Transelec, Interchile e Hidroeléctrica Ñuble SPA, completando un total de 12 empresas.</w:t>
      </w:r>
    </w:p>
    <w:p w14:paraId="72C3E50E" w14:textId="77777777" w:rsidR="003416F1" w:rsidRPr="003416F1" w:rsidRDefault="003416F1" w:rsidP="003416F1">
      <w:r w:rsidRPr="003416F1">
        <w:t xml:space="preserve">Originalmente se pensó en adicionar a la muestra anterior </w:t>
      </w:r>
      <w:r w:rsidRPr="003416F1">
        <w:rPr>
          <w:strike/>
        </w:rPr>
        <w:t xml:space="preserve">a </w:t>
      </w:r>
      <w:r w:rsidRPr="003416F1">
        <w:t>2 empresas mineras grandes y dos medio grandes, con lo que se llegó a 16 empresas. La inclusión de empresas mineras obedecía al hecho de que éstas, al poseer sistemas eléctricos de transmisión y distribución industrial, compiten por profesionales y operarios en el mismo mercado laboral que las empresas eléctricas.</w:t>
      </w:r>
    </w:p>
    <w:p w14:paraId="60375095" w14:textId="77777777" w:rsidR="003416F1" w:rsidRPr="003416F1" w:rsidRDefault="003416F1" w:rsidP="003416F1">
      <w:r w:rsidRPr="003416F1">
        <w:t>Respecto de esta selección, y mediante comunicación del 27 de septiembre, el Comité manifestó su inquietud respecto a, por una parte, la consideración de sólo 16 empresas en la muestra, y por otra, la elevada presencia de empresas mineras (25% del total).</w:t>
      </w:r>
    </w:p>
    <w:p w14:paraId="451B3FC4" w14:textId="77777777" w:rsidR="003416F1" w:rsidRPr="003416F1" w:rsidRDefault="003416F1" w:rsidP="003416F1">
      <w:r w:rsidRPr="003416F1">
        <w:t>Frente a esta observación el Consultor optó por reducir la presencia de empresas mineras, limitándola a las dos mineras grandes, y por incorporar tres empresas medianas más del rubro servicios y energía, completando una muestra de 17 empresas.</w:t>
      </w:r>
    </w:p>
    <w:p w14:paraId="416A21A9" w14:textId="77777777" w:rsidR="003416F1" w:rsidRPr="003416F1" w:rsidRDefault="003416F1" w:rsidP="003416F1">
      <w:r w:rsidRPr="003416F1">
        <w:t>Finalmente, se señala que no se considera o incorpora empresas del rubro ingeniería, construcción e inmobiliaria por estimarse más asociado al sector construcción de edificios y casas, esto es, alejado del segmento más tecnológico de transmisión eléctrica. Las demás empresas asociadas al rubro eléctrico eran empresas pequeñas, que no se consideró pertinente mezclar con las empresas medianas y grandes.</w:t>
      </w:r>
    </w:p>
    <w:p w14:paraId="1F9A39F9" w14:textId="77777777" w:rsidR="003416F1" w:rsidRPr="003416F1" w:rsidRDefault="003416F1" w:rsidP="003416F1">
      <w:pPr>
        <w:pStyle w:val="Ttulo4"/>
      </w:pPr>
      <w:bookmarkStart w:id="114" w:name="_Toc34687200"/>
      <w:r w:rsidRPr="003416F1">
        <w:t>Costos de personal empresa modelo</w:t>
      </w:r>
      <w:bookmarkEnd w:id="114"/>
    </w:p>
    <w:p w14:paraId="7AAEB64F" w14:textId="77777777" w:rsidR="003416F1" w:rsidRPr="003416F1" w:rsidRDefault="003416F1" w:rsidP="003416F1">
      <w:r w:rsidRPr="003416F1">
        <w:t>El costo total empresa por concepto de compensaciones del personal de la empresa modelo se compone de tres elementos:</w:t>
      </w:r>
    </w:p>
    <w:p w14:paraId="1B94DF06" w14:textId="77777777" w:rsidR="003416F1" w:rsidRPr="003416F1" w:rsidRDefault="003416F1" w:rsidP="002E20CA">
      <w:pPr>
        <w:pStyle w:val="Prrafodelista"/>
        <w:numPr>
          <w:ilvl w:val="0"/>
          <w:numId w:val="66"/>
        </w:numPr>
      </w:pPr>
      <w:r w:rsidRPr="003416F1">
        <w:t>Remuneración Bruta, la que se define como la suma de componentes fijos garantizados y componentes variables o no garantizados.</w:t>
      </w:r>
    </w:p>
    <w:p w14:paraId="393CB96E" w14:textId="77777777" w:rsidR="003416F1" w:rsidRPr="003416F1" w:rsidRDefault="003416F1" w:rsidP="002E20CA">
      <w:pPr>
        <w:pStyle w:val="Prrafodelista"/>
        <w:numPr>
          <w:ilvl w:val="0"/>
          <w:numId w:val="66"/>
        </w:numPr>
      </w:pPr>
      <w:r w:rsidRPr="003416F1">
        <w:t>Obligaciones legales.</w:t>
      </w:r>
    </w:p>
    <w:p w14:paraId="69A2790A" w14:textId="77777777" w:rsidR="003416F1" w:rsidRPr="003416F1" w:rsidRDefault="003416F1" w:rsidP="002E20CA">
      <w:pPr>
        <w:pStyle w:val="Prrafodelista"/>
        <w:numPr>
          <w:ilvl w:val="0"/>
          <w:numId w:val="66"/>
        </w:numPr>
      </w:pPr>
      <w:r w:rsidRPr="003416F1">
        <w:t>Beneficios adicionales a la remuneración bruta.</w:t>
      </w:r>
    </w:p>
    <w:p w14:paraId="190A6ACC" w14:textId="77777777" w:rsidR="003416F1" w:rsidRPr="003416F1" w:rsidRDefault="003416F1" w:rsidP="003416F1">
      <w:r w:rsidRPr="003416F1">
        <w:t>A continuación se describen cada uno de ellos.</w:t>
      </w:r>
    </w:p>
    <w:p w14:paraId="3FAFD8BE" w14:textId="77777777" w:rsidR="003416F1" w:rsidRPr="003416F1" w:rsidRDefault="003416F1" w:rsidP="003416F1">
      <w:pPr>
        <w:pStyle w:val="Ttulo5"/>
      </w:pPr>
      <w:r w:rsidRPr="003416F1">
        <w:t>Remuneración Bruta</w:t>
      </w:r>
    </w:p>
    <w:p w14:paraId="581AD98C" w14:textId="77777777" w:rsidR="003416F1" w:rsidRPr="003416F1" w:rsidRDefault="003416F1" w:rsidP="003416F1">
      <w:r w:rsidRPr="003416F1">
        <w:t>La remuneración bruta se compone de componentes fijos y componentes variables, todos mensualizados y pagados en dinero a los trabajadores o colaboradores:</w:t>
      </w:r>
    </w:p>
    <w:p w14:paraId="1918B89D" w14:textId="77777777" w:rsidR="003416F1" w:rsidRPr="003416F1" w:rsidRDefault="003416F1" w:rsidP="003416F1">
      <w:pPr>
        <w:ind w:firstLine="360"/>
        <w:rPr>
          <w:b/>
          <w:color w:val="000000"/>
          <w:u w:val="single"/>
        </w:rPr>
      </w:pPr>
      <w:r w:rsidRPr="003416F1">
        <w:rPr>
          <w:b/>
          <w:color w:val="000000"/>
          <w:u w:val="single"/>
        </w:rPr>
        <w:t>Componentes Fijos:</w:t>
      </w:r>
    </w:p>
    <w:p w14:paraId="646F0FF6"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Sueldo Base: </w:t>
      </w:r>
      <w:r w:rsidRPr="003416F1">
        <w:rPr>
          <w:color w:val="000000"/>
        </w:rPr>
        <w:t>Corresponde al sueldo contractual mensual recibido por el colaborador, antes de descuentos previsionales e impuestos.</w:t>
      </w:r>
    </w:p>
    <w:p w14:paraId="13C441A9"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Gratificación Legal: </w:t>
      </w:r>
      <w:r w:rsidRPr="003416F1">
        <w:rPr>
          <w:color w:val="000000"/>
        </w:rPr>
        <w:t xml:space="preserve">Corresponde a la parte de las utilidades con que el empleador beneficia el sueldo del colaborador. En efecto, de conformidad con lo dispuesto en el artículo 47 del Código del Trabajo, los empleadores que obtienen utilidades líquidas en su giro tienen la obligación de gratificar anualmente a sus colaboradores, sea por la modalidad del señalado artículo 47, es decir, en proporción no inferior al 30% de dichas utilidades o por la vía del artículo 50, esto es, pagando al colaborador el 25% de lo devengado en el respectivo ejercicio comercial por concepto de remuneraciones mensuales con un límite de 4.75 ingresos mínimos mensuales. </w:t>
      </w:r>
    </w:p>
    <w:p w14:paraId="6B17BC72"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Asignación de Zona: </w:t>
      </w:r>
      <w:r w:rsidRPr="003416F1">
        <w:rPr>
          <w:color w:val="000000"/>
        </w:rPr>
        <w:t xml:space="preserve">Corresponde a la suma de dinero percibida por el colaborador, por cumplir funciones en alguna región específica. </w:t>
      </w:r>
    </w:p>
    <w:p w14:paraId="08A54945"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Aguinaldo Navidad: </w:t>
      </w:r>
      <w:r w:rsidRPr="003416F1">
        <w:rPr>
          <w:color w:val="000000"/>
        </w:rPr>
        <w:t xml:space="preserve">Es la asignación en dinero entregada al colaborador en el mes de diciembre, por concepto de Navidad. </w:t>
      </w:r>
    </w:p>
    <w:p w14:paraId="47F88640"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Aguinaldo Fiestas Patrias: </w:t>
      </w:r>
      <w:r w:rsidRPr="003416F1">
        <w:rPr>
          <w:color w:val="000000"/>
        </w:rPr>
        <w:t xml:space="preserve">Es la asignación en dinero entregada al colaborador en el mes de septiembre, por concepto de Fiestas Patrias. </w:t>
      </w:r>
    </w:p>
    <w:p w14:paraId="24432935"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Bono de Vacaciones: </w:t>
      </w:r>
      <w:r w:rsidRPr="003416F1">
        <w:rPr>
          <w:color w:val="000000"/>
        </w:rPr>
        <w:t xml:space="preserve">Es la asignación en dinero entregada al colaborador, por concepto de Vacaciones. </w:t>
      </w:r>
    </w:p>
    <w:p w14:paraId="3F909592"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Asignación de Colación: </w:t>
      </w:r>
      <w:r w:rsidRPr="003416F1">
        <w:rPr>
          <w:color w:val="000000"/>
        </w:rPr>
        <w:t xml:space="preserve">Es la asignación en dinero percibida por el concepto de colación, excluyendo vales de almuerzo y valor de casino, ya que se consideran como un beneficio. </w:t>
      </w:r>
    </w:p>
    <w:p w14:paraId="28C6C82C"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Asignación de Movilización: </w:t>
      </w:r>
      <w:r w:rsidRPr="003416F1">
        <w:rPr>
          <w:color w:val="000000"/>
        </w:rPr>
        <w:t>Es la asignación en dinero percibida por el cargo por concepto de movilización.</w:t>
      </w:r>
    </w:p>
    <w:p w14:paraId="6CFA1A6C"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Otros Fijos Imponibles: </w:t>
      </w:r>
      <w:r w:rsidRPr="003416F1">
        <w:rPr>
          <w:color w:val="000000"/>
        </w:rPr>
        <w:t xml:space="preserve">Corresponde a las restantes sumas en dinero que percibe el cargo bajo cualquier otro concepto y que son imponibles y tributables. </w:t>
      </w:r>
    </w:p>
    <w:p w14:paraId="51D4844A"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Gratificación Convencional (Garantizada): </w:t>
      </w:r>
      <w:r w:rsidRPr="003416F1">
        <w:rPr>
          <w:color w:val="000000"/>
        </w:rPr>
        <w:t xml:space="preserve">Corresponde a la gratificación acordada entre empleador y colaborador, la cual debe ser pagada aun cuando la empresa no haya obtenido utilidades líquidas. </w:t>
      </w:r>
    </w:p>
    <w:p w14:paraId="60E3E9D1" w14:textId="77777777" w:rsidR="003416F1" w:rsidRPr="003416F1" w:rsidRDefault="003416F1" w:rsidP="002E20CA">
      <w:pPr>
        <w:pStyle w:val="Prrafodelista"/>
        <w:numPr>
          <w:ilvl w:val="0"/>
          <w:numId w:val="64"/>
        </w:numPr>
        <w:spacing w:after="160" w:line="259" w:lineRule="auto"/>
        <w:rPr>
          <w:color w:val="000000"/>
        </w:rPr>
      </w:pPr>
      <w:r w:rsidRPr="003416F1">
        <w:rPr>
          <w:b/>
          <w:bCs/>
          <w:color w:val="000000"/>
        </w:rPr>
        <w:t xml:space="preserve">Otros Fijos no Imponibles: </w:t>
      </w:r>
      <w:r w:rsidRPr="003416F1">
        <w:rPr>
          <w:color w:val="000000"/>
        </w:rPr>
        <w:t>Corresponde a las restantes sumas en dinero que percibe el cargo bajo cualquier otro concepto.</w:t>
      </w:r>
    </w:p>
    <w:p w14:paraId="228DD616" w14:textId="77777777" w:rsidR="003416F1" w:rsidRPr="003416F1" w:rsidRDefault="003416F1" w:rsidP="003416F1">
      <w:pPr>
        <w:ind w:firstLine="360"/>
        <w:rPr>
          <w:b/>
          <w:color w:val="000000"/>
          <w:u w:val="single"/>
        </w:rPr>
      </w:pPr>
      <w:r w:rsidRPr="003416F1">
        <w:rPr>
          <w:b/>
          <w:color w:val="000000"/>
          <w:u w:val="single"/>
        </w:rPr>
        <w:t>Componentes Variables:</w:t>
      </w:r>
    </w:p>
    <w:p w14:paraId="365AD7B2" w14:textId="77777777" w:rsidR="003416F1" w:rsidRPr="003416F1" w:rsidRDefault="003416F1" w:rsidP="002E20CA">
      <w:pPr>
        <w:pStyle w:val="Prrafodelista"/>
        <w:numPr>
          <w:ilvl w:val="0"/>
          <w:numId w:val="65"/>
        </w:numPr>
        <w:spacing w:after="160" w:line="259" w:lineRule="auto"/>
        <w:rPr>
          <w:color w:val="000000"/>
        </w:rPr>
      </w:pPr>
      <w:r w:rsidRPr="003416F1">
        <w:rPr>
          <w:b/>
          <w:bCs/>
          <w:color w:val="000000"/>
        </w:rPr>
        <w:t xml:space="preserve">Bono Gestión Real Pagado: </w:t>
      </w:r>
      <w:r w:rsidRPr="003416F1">
        <w:rPr>
          <w:color w:val="000000"/>
        </w:rPr>
        <w:t xml:space="preserve">Es el incentivo de gestión efectivamente pagado en base a cumplimiento de metas. </w:t>
      </w:r>
    </w:p>
    <w:p w14:paraId="56118900" w14:textId="77777777" w:rsidR="003416F1" w:rsidRPr="003416F1" w:rsidRDefault="003416F1" w:rsidP="002E20CA">
      <w:pPr>
        <w:pStyle w:val="Prrafodelista"/>
        <w:numPr>
          <w:ilvl w:val="0"/>
          <w:numId w:val="65"/>
        </w:numPr>
        <w:spacing w:after="160" w:line="259" w:lineRule="auto"/>
        <w:rPr>
          <w:color w:val="000000"/>
        </w:rPr>
      </w:pPr>
      <w:r w:rsidRPr="003416F1">
        <w:rPr>
          <w:b/>
          <w:bCs/>
          <w:color w:val="000000"/>
        </w:rPr>
        <w:t xml:space="preserve">Gratificación No Garantizada: </w:t>
      </w:r>
      <w:r w:rsidRPr="003416F1">
        <w:rPr>
          <w:color w:val="000000"/>
        </w:rPr>
        <w:t xml:space="preserve">Corresponde a la gratificación acordada entre empleador y colaborador, la cual está sujeta a la eventualidad de que la empresa obtenga utilidades líquidas en el respectivo ejercicio comercial. </w:t>
      </w:r>
    </w:p>
    <w:p w14:paraId="79C1ADD2" w14:textId="77777777" w:rsidR="003416F1" w:rsidRPr="003416F1" w:rsidRDefault="003416F1" w:rsidP="002E20CA">
      <w:pPr>
        <w:pStyle w:val="Prrafodelista"/>
        <w:numPr>
          <w:ilvl w:val="0"/>
          <w:numId w:val="65"/>
        </w:numPr>
        <w:spacing w:after="160" w:line="259" w:lineRule="auto"/>
        <w:rPr>
          <w:color w:val="000000"/>
        </w:rPr>
      </w:pPr>
      <w:r w:rsidRPr="003416F1">
        <w:rPr>
          <w:b/>
          <w:bCs/>
          <w:color w:val="000000"/>
        </w:rPr>
        <w:t>Bonos e Incentivos de Producción</w:t>
      </w:r>
      <w:r w:rsidRPr="003416F1">
        <w:rPr>
          <w:color w:val="000000"/>
        </w:rPr>
        <w:t xml:space="preserve">: Corresponde a la asignación en dinero percibida por el colaborador como incentivo a la productividad. </w:t>
      </w:r>
    </w:p>
    <w:p w14:paraId="163655EA" w14:textId="77777777" w:rsidR="003416F1" w:rsidRPr="003416F1" w:rsidRDefault="003416F1" w:rsidP="002E20CA">
      <w:pPr>
        <w:pStyle w:val="Prrafodelista"/>
        <w:numPr>
          <w:ilvl w:val="0"/>
          <w:numId w:val="65"/>
        </w:numPr>
        <w:spacing w:after="160" w:line="259" w:lineRule="auto"/>
        <w:rPr>
          <w:color w:val="000000"/>
        </w:rPr>
      </w:pPr>
      <w:r w:rsidRPr="003416F1">
        <w:rPr>
          <w:b/>
          <w:bCs/>
          <w:color w:val="000000"/>
        </w:rPr>
        <w:t>Comisiones e Incentivos por Venta</w:t>
      </w:r>
      <w:r w:rsidRPr="003416F1">
        <w:rPr>
          <w:color w:val="000000"/>
        </w:rPr>
        <w:t xml:space="preserve">: Es la asignación en dinero recibida por el colaborador como incentivo a las ventas. </w:t>
      </w:r>
    </w:p>
    <w:p w14:paraId="3D8AB8F7" w14:textId="77777777" w:rsidR="003416F1" w:rsidRPr="003416F1" w:rsidRDefault="003416F1" w:rsidP="002E20CA">
      <w:pPr>
        <w:pStyle w:val="Prrafodelista"/>
        <w:numPr>
          <w:ilvl w:val="0"/>
          <w:numId w:val="65"/>
        </w:numPr>
        <w:spacing w:after="160" w:line="259" w:lineRule="auto"/>
        <w:rPr>
          <w:color w:val="000000"/>
        </w:rPr>
      </w:pPr>
      <w:r w:rsidRPr="003416F1">
        <w:rPr>
          <w:b/>
          <w:bCs/>
          <w:color w:val="000000"/>
        </w:rPr>
        <w:t xml:space="preserve">Otros Variables: </w:t>
      </w:r>
      <w:r w:rsidRPr="003416F1">
        <w:rPr>
          <w:color w:val="000000"/>
        </w:rPr>
        <w:t>Corresponde a otros conceptos variables entregados a los colaboradores no  descrito anteriormente.</w:t>
      </w:r>
    </w:p>
    <w:p w14:paraId="0DE6B619" w14:textId="77777777" w:rsidR="003416F1" w:rsidRPr="003416F1" w:rsidRDefault="003416F1" w:rsidP="003416F1">
      <w:pPr>
        <w:pStyle w:val="Ttulo5"/>
      </w:pPr>
      <w:r w:rsidRPr="003416F1">
        <w:t>Obligaciones Legales</w:t>
      </w:r>
    </w:p>
    <w:p w14:paraId="66E492CE" w14:textId="77777777" w:rsidR="003416F1" w:rsidRPr="003416F1" w:rsidRDefault="003416F1" w:rsidP="003416F1">
      <w:r w:rsidRPr="003416F1">
        <w:t xml:space="preserve">Corresponden a obligaciones contempladas en la legislación chilena: seguro de cesantía, seguro de accidentes del trabajo y seguro de invalidez y sobrevivencia: </w:t>
      </w:r>
    </w:p>
    <w:p w14:paraId="69E0CBBD" w14:textId="77777777" w:rsidR="003416F1" w:rsidRPr="003416F1" w:rsidRDefault="003416F1" w:rsidP="003416F1">
      <w:pPr>
        <w:ind w:left="360"/>
        <w:rPr>
          <w:color w:val="000000"/>
        </w:rPr>
      </w:pPr>
      <w:r w:rsidRPr="003416F1">
        <w:rPr>
          <w:b/>
          <w:color w:val="000000"/>
          <w:u w:val="single"/>
        </w:rPr>
        <w:t>Seguro de cesantía:</w:t>
      </w:r>
      <w:r w:rsidRPr="003416F1">
        <w:rPr>
          <w:b/>
          <w:color w:val="000000"/>
        </w:rPr>
        <w:t xml:space="preserve"> </w:t>
      </w:r>
      <w:r w:rsidRPr="003416F1">
        <w:rPr>
          <w:color w:val="000000"/>
        </w:rPr>
        <w:t>Corresponde al 2.4% de la remuneración bruta imponible mensual con tope de 120.3 UF, y que complementa el 0.6% que paga el trabajador (cotización total para el seguro de cesantía: 3.0%).</w:t>
      </w:r>
    </w:p>
    <w:p w14:paraId="6FF508DE" w14:textId="77777777" w:rsidR="003416F1" w:rsidRPr="003416F1" w:rsidRDefault="003416F1" w:rsidP="003416F1">
      <w:pPr>
        <w:ind w:left="360"/>
        <w:rPr>
          <w:color w:val="000000"/>
        </w:rPr>
      </w:pPr>
      <w:r w:rsidRPr="003416F1">
        <w:rPr>
          <w:b/>
          <w:color w:val="000000"/>
          <w:u w:val="single"/>
        </w:rPr>
        <w:t>Seguro contra accidentes del trabajo:</w:t>
      </w:r>
      <w:r w:rsidRPr="003416F1">
        <w:rPr>
          <w:color w:val="000000"/>
        </w:rPr>
        <w:t xml:space="preserve"> Corresponde al 0.95% de la remuneración bruta imponible mensual con tope de 80.2 UF.</w:t>
      </w:r>
    </w:p>
    <w:p w14:paraId="26622C7A" w14:textId="77777777" w:rsidR="003416F1" w:rsidRPr="003416F1" w:rsidRDefault="003416F1" w:rsidP="003416F1">
      <w:pPr>
        <w:ind w:left="360"/>
        <w:rPr>
          <w:color w:val="000000"/>
        </w:rPr>
      </w:pPr>
      <w:r w:rsidRPr="003416F1">
        <w:rPr>
          <w:b/>
          <w:color w:val="000000"/>
          <w:u w:val="single"/>
        </w:rPr>
        <w:t>Seguro de invalidez y sobrevivencia:</w:t>
      </w:r>
      <w:r w:rsidRPr="003416F1">
        <w:rPr>
          <w:color w:val="000000"/>
        </w:rPr>
        <w:t xml:space="preserve"> Corresponde al 1.53% de la remuneración bruta imponible mensual con tope de 80.2 UF.</w:t>
      </w:r>
    </w:p>
    <w:p w14:paraId="1F5119AA" w14:textId="77777777" w:rsidR="003416F1" w:rsidRPr="003416F1" w:rsidRDefault="003416F1" w:rsidP="003416F1">
      <w:pPr>
        <w:rPr>
          <w:color w:val="000000"/>
        </w:rPr>
      </w:pPr>
      <w:r w:rsidRPr="003416F1">
        <w:rPr>
          <w:color w:val="000000"/>
        </w:rPr>
        <w:t xml:space="preserve">Salvo el 0.6% que paga el trabajador por concepto de seguro de cesantía, estos componentes no están considerados en la remuneración bruta, pero forman parte del costo laboral en que debe incurrir la empresa modelo. </w:t>
      </w:r>
    </w:p>
    <w:p w14:paraId="05526454" w14:textId="77777777" w:rsidR="003416F1" w:rsidRPr="003416F1" w:rsidRDefault="003416F1" w:rsidP="003416F1">
      <w:pPr>
        <w:pStyle w:val="Ttulo5"/>
      </w:pPr>
      <w:r w:rsidRPr="003416F1">
        <w:t>Beneficios Adicionales</w:t>
      </w:r>
    </w:p>
    <w:p w14:paraId="44DFAEA0" w14:textId="77777777" w:rsidR="003416F1" w:rsidRPr="003416F1" w:rsidRDefault="003416F1" w:rsidP="003416F1">
      <w:r w:rsidRPr="003416F1">
        <w:t>Los beneficios adicionales corresponden a componentes no incluidos en la remuneración bruta y que pueden ser valorizados como costo empresa. Los beneficios adicionales considerados en la encuesta Price son los siguientes:</w:t>
      </w:r>
    </w:p>
    <w:p w14:paraId="543B0E3C" w14:textId="77777777" w:rsidR="003416F1" w:rsidRPr="003416F1" w:rsidRDefault="003416F1" w:rsidP="002E20CA">
      <w:pPr>
        <w:pStyle w:val="Prrafodelista"/>
        <w:numPr>
          <w:ilvl w:val="0"/>
          <w:numId w:val="67"/>
        </w:numPr>
      </w:pPr>
      <w:r w:rsidRPr="003416F1">
        <w:t>Asignación de celular</w:t>
      </w:r>
    </w:p>
    <w:p w14:paraId="789DF307" w14:textId="77777777" w:rsidR="003416F1" w:rsidRPr="003416F1" w:rsidRDefault="003416F1" w:rsidP="002E20CA">
      <w:pPr>
        <w:pStyle w:val="Prrafodelista"/>
        <w:numPr>
          <w:ilvl w:val="0"/>
          <w:numId w:val="67"/>
        </w:numPr>
      </w:pPr>
      <w:r w:rsidRPr="003416F1">
        <w:t>Bono/Regalo por Años de Servicios</w:t>
      </w:r>
    </w:p>
    <w:p w14:paraId="5E814E93" w14:textId="77777777" w:rsidR="003416F1" w:rsidRPr="003416F1" w:rsidRDefault="003416F1" w:rsidP="002E20CA">
      <w:pPr>
        <w:pStyle w:val="Prrafodelista"/>
        <w:numPr>
          <w:ilvl w:val="0"/>
          <w:numId w:val="67"/>
        </w:numPr>
      </w:pPr>
      <w:r w:rsidRPr="003416F1">
        <w:t>Plan complementario de salud</w:t>
      </w:r>
    </w:p>
    <w:p w14:paraId="21B04122" w14:textId="77777777" w:rsidR="003416F1" w:rsidRPr="003416F1" w:rsidRDefault="003416F1" w:rsidP="002E20CA">
      <w:pPr>
        <w:pStyle w:val="Prrafodelista"/>
        <w:numPr>
          <w:ilvl w:val="0"/>
          <w:numId w:val="67"/>
        </w:numPr>
      </w:pPr>
      <w:r w:rsidRPr="003416F1">
        <w:t>Licencias médicas</w:t>
      </w:r>
    </w:p>
    <w:p w14:paraId="01BF8621" w14:textId="77777777" w:rsidR="003416F1" w:rsidRPr="003416F1" w:rsidRDefault="003416F1" w:rsidP="002E20CA">
      <w:pPr>
        <w:pStyle w:val="Prrafodelista"/>
        <w:numPr>
          <w:ilvl w:val="0"/>
          <w:numId w:val="67"/>
        </w:numPr>
      </w:pPr>
      <w:r w:rsidRPr="003416F1">
        <w:t>Seguro de Vida</w:t>
      </w:r>
    </w:p>
    <w:p w14:paraId="2B894C1F" w14:textId="77777777" w:rsidR="003416F1" w:rsidRPr="003416F1" w:rsidRDefault="003416F1" w:rsidP="002E20CA">
      <w:pPr>
        <w:pStyle w:val="Prrafodelista"/>
        <w:numPr>
          <w:ilvl w:val="0"/>
          <w:numId w:val="67"/>
        </w:numPr>
      </w:pPr>
      <w:r w:rsidRPr="003416F1">
        <w:t>Bono por nacimiento de un hijo</w:t>
      </w:r>
    </w:p>
    <w:p w14:paraId="4D3A1A94" w14:textId="77777777" w:rsidR="003416F1" w:rsidRPr="003416F1" w:rsidRDefault="003416F1" w:rsidP="002E20CA">
      <w:pPr>
        <w:pStyle w:val="Prrafodelista"/>
        <w:numPr>
          <w:ilvl w:val="0"/>
          <w:numId w:val="67"/>
        </w:numPr>
      </w:pPr>
      <w:r w:rsidRPr="003416F1">
        <w:t>Vale colación</w:t>
      </w:r>
    </w:p>
    <w:p w14:paraId="491A7E06" w14:textId="77777777" w:rsidR="003416F1" w:rsidRPr="003416F1" w:rsidRDefault="003416F1" w:rsidP="002E20CA">
      <w:pPr>
        <w:pStyle w:val="Prrafodelista"/>
        <w:numPr>
          <w:ilvl w:val="0"/>
          <w:numId w:val="67"/>
        </w:numPr>
      </w:pPr>
      <w:r w:rsidRPr="003416F1">
        <w:t>Sala cuna</w:t>
      </w:r>
    </w:p>
    <w:p w14:paraId="1861995A" w14:textId="77777777" w:rsidR="003416F1" w:rsidRPr="003416F1" w:rsidRDefault="003416F1" w:rsidP="002E20CA">
      <w:pPr>
        <w:pStyle w:val="Prrafodelista"/>
        <w:numPr>
          <w:ilvl w:val="0"/>
          <w:numId w:val="67"/>
        </w:numPr>
      </w:pPr>
      <w:r w:rsidRPr="003416F1">
        <w:t>Bono escolar</w:t>
      </w:r>
    </w:p>
    <w:p w14:paraId="7344DE1F" w14:textId="77777777" w:rsidR="003416F1" w:rsidRPr="003416F1" w:rsidRDefault="003416F1" w:rsidP="002E20CA">
      <w:pPr>
        <w:pStyle w:val="Prrafodelista"/>
        <w:numPr>
          <w:ilvl w:val="0"/>
          <w:numId w:val="67"/>
        </w:numPr>
      </w:pPr>
      <w:r w:rsidRPr="003416F1">
        <w:t xml:space="preserve">Matrimonio </w:t>
      </w:r>
    </w:p>
    <w:p w14:paraId="340A2F97" w14:textId="77777777" w:rsidR="003416F1" w:rsidRPr="003416F1" w:rsidRDefault="003416F1" w:rsidP="003416F1">
      <w:r w:rsidRPr="003416F1">
        <w:t xml:space="preserve">A los efectos de determinar el costo total empresa por concepto de compensaciones del personal de la empresa modelo, el consultor ha considerado toda la información disponible en el estudio de compensaciones eSIREM, referente tanto a los componentes de la remuneración bruta como a los beneficios adicionales a la misma. Como criterio general de inclusión de cada uno de estos componentes en la compensación del personal, se consideraron aquellos que son entregados por al menos un 50% de las empresas de la encuesta Price. </w:t>
      </w:r>
    </w:p>
    <w:p w14:paraId="05D09617" w14:textId="77777777" w:rsidR="003416F1" w:rsidRPr="003416F1" w:rsidRDefault="003416F1" w:rsidP="003416F1">
      <w:r w:rsidRPr="003416F1">
        <w:t>De esta manera, del total de componentes de la remuneración bruta y de los beneficios adicionales mencionados más arriba, la empresa modelo no considera los siguientes, por no cumplir con el criterio establecido:</w:t>
      </w:r>
    </w:p>
    <w:p w14:paraId="2E1AA8DA" w14:textId="77777777" w:rsidR="003416F1" w:rsidRPr="003416F1" w:rsidRDefault="003416F1" w:rsidP="002E20CA">
      <w:pPr>
        <w:pStyle w:val="Prrafodelista"/>
        <w:numPr>
          <w:ilvl w:val="0"/>
          <w:numId w:val="68"/>
        </w:numPr>
      </w:pPr>
      <w:r w:rsidRPr="003416F1">
        <w:t>Gratificación convencional garantizada</w:t>
      </w:r>
    </w:p>
    <w:p w14:paraId="4FCC8B63" w14:textId="77777777" w:rsidR="003416F1" w:rsidRPr="003416F1" w:rsidRDefault="003416F1" w:rsidP="002E20CA">
      <w:pPr>
        <w:pStyle w:val="Prrafodelista"/>
        <w:numPr>
          <w:ilvl w:val="0"/>
          <w:numId w:val="68"/>
        </w:numPr>
      </w:pPr>
      <w:r w:rsidRPr="003416F1">
        <w:t>Gratificación convencional no garantizada</w:t>
      </w:r>
    </w:p>
    <w:p w14:paraId="750C26C9" w14:textId="77777777" w:rsidR="003416F1" w:rsidRPr="003416F1" w:rsidRDefault="003416F1" w:rsidP="002E20CA">
      <w:pPr>
        <w:pStyle w:val="Prrafodelista"/>
        <w:numPr>
          <w:ilvl w:val="0"/>
          <w:numId w:val="68"/>
        </w:numPr>
      </w:pPr>
      <w:r w:rsidRPr="003416F1">
        <w:t>Bono de vacaciones</w:t>
      </w:r>
    </w:p>
    <w:p w14:paraId="6E38D458" w14:textId="77777777" w:rsidR="003416F1" w:rsidRPr="003416F1" w:rsidRDefault="003416F1" w:rsidP="002E20CA">
      <w:pPr>
        <w:pStyle w:val="Prrafodelista"/>
        <w:numPr>
          <w:ilvl w:val="0"/>
          <w:numId w:val="68"/>
        </w:numPr>
      </w:pPr>
      <w:r w:rsidRPr="003416F1">
        <w:t>Asignación de zona</w:t>
      </w:r>
    </w:p>
    <w:p w14:paraId="15372065" w14:textId="77777777" w:rsidR="003416F1" w:rsidRPr="003416F1" w:rsidRDefault="003416F1" w:rsidP="002E20CA">
      <w:pPr>
        <w:pStyle w:val="Prrafodelista"/>
        <w:numPr>
          <w:ilvl w:val="0"/>
          <w:numId w:val="68"/>
        </w:numPr>
      </w:pPr>
      <w:r w:rsidRPr="003416F1">
        <w:t>Vale colación</w:t>
      </w:r>
    </w:p>
    <w:p w14:paraId="7EE26FDF" w14:textId="77777777" w:rsidR="003416F1" w:rsidRPr="003416F1" w:rsidRDefault="003416F1" w:rsidP="002E20CA">
      <w:pPr>
        <w:pStyle w:val="Prrafodelista"/>
        <w:numPr>
          <w:ilvl w:val="0"/>
          <w:numId w:val="68"/>
        </w:numPr>
      </w:pPr>
      <w:r w:rsidRPr="003416F1">
        <w:t>Sala cuna</w:t>
      </w:r>
    </w:p>
    <w:p w14:paraId="4FEAAC28" w14:textId="77777777" w:rsidR="003416F1" w:rsidRPr="003416F1" w:rsidRDefault="003416F1" w:rsidP="002E20CA">
      <w:pPr>
        <w:pStyle w:val="Prrafodelista"/>
        <w:numPr>
          <w:ilvl w:val="0"/>
          <w:numId w:val="68"/>
        </w:numPr>
      </w:pPr>
      <w:r w:rsidRPr="003416F1">
        <w:t>Bono escolar</w:t>
      </w:r>
    </w:p>
    <w:p w14:paraId="78DB54F7" w14:textId="77777777" w:rsidR="003416F1" w:rsidRPr="003416F1" w:rsidRDefault="003416F1" w:rsidP="002E20CA">
      <w:pPr>
        <w:pStyle w:val="Prrafodelista"/>
        <w:numPr>
          <w:ilvl w:val="0"/>
          <w:numId w:val="68"/>
        </w:numPr>
      </w:pPr>
      <w:r w:rsidRPr="003416F1">
        <w:t>Matrimonio</w:t>
      </w:r>
    </w:p>
    <w:p w14:paraId="11579127" w14:textId="77777777" w:rsidR="0079428C" w:rsidRPr="00B06D23" w:rsidRDefault="0079428C" w:rsidP="0079428C">
      <w:pPr>
        <w:rPr>
          <w:lang w:val="es-ES"/>
        </w:rPr>
      </w:pPr>
      <w:r w:rsidRPr="00B06D23">
        <w:rPr>
          <w:lang w:val="es-ES"/>
        </w:rPr>
        <w:t>En el Anex</w:t>
      </w:r>
      <w:r w:rsidR="00750A0D">
        <w:rPr>
          <w:lang w:val="es-ES"/>
        </w:rPr>
        <w:t xml:space="preserve">o COMA_3/Datos/ ModeloSTN2019, </w:t>
      </w:r>
      <w:r w:rsidRPr="00B06D23">
        <w:rPr>
          <w:lang w:val="es-ES"/>
        </w:rPr>
        <w:t>se presenta</w:t>
      </w:r>
      <w:r w:rsidR="00750A0D">
        <w:rPr>
          <w:lang w:val="es-ES"/>
        </w:rPr>
        <w:t xml:space="preserve"> el modelo de cálculo del costo de remuneraciones de la empresa modelo</w:t>
      </w:r>
      <w:r w:rsidRPr="00B06D23">
        <w:rPr>
          <w:lang w:val="es-ES"/>
        </w:rPr>
        <w:t>.</w:t>
      </w:r>
    </w:p>
    <w:p w14:paraId="67683DBD" w14:textId="77777777" w:rsidR="0079428C" w:rsidRPr="006D750B" w:rsidRDefault="0079428C" w:rsidP="0079428C">
      <w:pPr>
        <w:pStyle w:val="Ttulo4"/>
      </w:pPr>
      <w:bookmarkStart w:id="115" w:name="_Toc32392165"/>
      <w:bookmarkStart w:id="116" w:name="_Toc34398107"/>
      <w:bookmarkStart w:id="117" w:name="_Toc34687201"/>
      <w:r w:rsidRPr="006D750B">
        <w:t>Homologación de cargos</w:t>
      </w:r>
      <w:bookmarkEnd w:id="115"/>
      <w:bookmarkEnd w:id="116"/>
      <w:bookmarkEnd w:id="117"/>
    </w:p>
    <w:p w14:paraId="25155AD2" w14:textId="77777777" w:rsidR="0079428C" w:rsidRPr="00B06D23" w:rsidRDefault="0079428C" w:rsidP="0079428C">
      <w:pPr>
        <w:rPr>
          <w:lang w:val="es-ES"/>
        </w:rPr>
      </w:pPr>
      <w:r w:rsidRPr="00B06D23">
        <w:rPr>
          <w:lang w:val="es-ES"/>
        </w:rPr>
        <w:t>La homologación tiene por objetivo identificar para cada cargo de la EM el cargo de la encuesta de remuneraciones.</w:t>
      </w:r>
    </w:p>
    <w:p w14:paraId="3F49F7FD" w14:textId="77777777" w:rsidR="0079428C" w:rsidRPr="00B06D23" w:rsidRDefault="0079428C" w:rsidP="0079428C">
      <w:pPr>
        <w:rPr>
          <w:lang w:val="es-ES"/>
        </w:rPr>
      </w:pPr>
      <w:r w:rsidRPr="00B06D23">
        <w:rPr>
          <w:lang w:val="es-ES"/>
        </w:rPr>
        <w:t>La homologación de cargos se define luego del diseño de la estructura organizacional de la EM, las áreas funcionales y áreas de trabajo, los cargos para cada una de las áreas y la definición de las tareas y responsabilidades de cada puesto de dicha organización de la EM.</w:t>
      </w:r>
    </w:p>
    <w:p w14:paraId="13BB8C9D" w14:textId="77777777" w:rsidR="0079428C" w:rsidRPr="00B06D23" w:rsidRDefault="0079428C" w:rsidP="0079428C">
      <w:pPr>
        <w:rPr>
          <w:lang w:val="es-ES"/>
        </w:rPr>
      </w:pPr>
      <w:r w:rsidRPr="00B06D23">
        <w:rPr>
          <w:lang w:val="es-ES"/>
        </w:rPr>
        <w:t>Luego se definen los cargos del Estudio de Remuneraciones que se ajustan a los cargos definidos para la EM.</w:t>
      </w:r>
    </w:p>
    <w:p w14:paraId="1D0E2580" w14:textId="77777777" w:rsidR="0079428C" w:rsidRPr="00B06D23" w:rsidRDefault="0079428C" w:rsidP="0079428C">
      <w:pPr>
        <w:rPr>
          <w:lang w:val="es-ES"/>
        </w:rPr>
      </w:pPr>
      <w:r w:rsidRPr="00B06D23">
        <w:rPr>
          <w:lang w:val="es-ES"/>
        </w:rPr>
        <w:t xml:space="preserve">El cargo de la encuesta PWC se determina a partir del perfil del cargo factible de realizar las actividades definidas para el cargo en la EM, analizando los cargos homólogos existentes en las empresas reales de la Muestra seleccionada. </w:t>
      </w:r>
    </w:p>
    <w:p w14:paraId="42C15766" w14:textId="77777777" w:rsidR="0079428C" w:rsidRPr="00B06D23" w:rsidRDefault="0079428C" w:rsidP="0079428C">
      <w:pPr>
        <w:rPr>
          <w:lang w:val="es-ES"/>
        </w:rPr>
      </w:pPr>
      <w:r w:rsidRPr="00B06D23">
        <w:rPr>
          <w:lang w:val="es-ES"/>
        </w:rPr>
        <w:t>Para la homologación de cada cargo se consideran los siguientes criterios:</w:t>
      </w:r>
    </w:p>
    <w:p w14:paraId="0E42AADE" w14:textId="77777777" w:rsidR="0079428C" w:rsidRPr="00B06D23" w:rsidRDefault="0079428C" w:rsidP="002E20CA">
      <w:pPr>
        <w:numPr>
          <w:ilvl w:val="0"/>
          <w:numId w:val="44"/>
        </w:numPr>
        <w:ind w:left="567" w:hanging="567"/>
        <w:rPr>
          <w:lang w:val="es-ES"/>
        </w:rPr>
      </w:pPr>
      <w:r w:rsidRPr="00B06D23">
        <w:rPr>
          <w:lang w:val="es-ES"/>
        </w:rPr>
        <w:t>el organigrama de la EM y su estructura jerárquica, para verificar la razonabilidad del posicionamiento del cargo seleccionado en la estructura organizacional de la EM.</w:t>
      </w:r>
    </w:p>
    <w:p w14:paraId="2EA1ACB7" w14:textId="77777777" w:rsidR="0079428C" w:rsidRPr="00B06D23" w:rsidRDefault="0079428C" w:rsidP="002E20CA">
      <w:pPr>
        <w:numPr>
          <w:ilvl w:val="0"/>
          <w:numId w:val="44"/>
        </w:numPr>
        <w:ind w:left="567" w:hanging="567"/>
        <w:rPr>
          <w:lang w:val="es-ES"/>
        </w:rPr>
      </w:pPr>
      <w:r w:rsidRPr="00B06D23">
        <w:rPr>
          <w:lang w:val="es-ES"/>
        </w:rPr>
        <w:t>las funciones de cada área de la EM y la correspondencia con las funciones del cargo de la encuesta.</w:t>
      </w:r>
    </w:p>
    <w:p w14:paraId="0B6BA673" w14:textId="77777777" w:rsidR="0079428C" w:rsidRPr="00B06D23" w:rsidRDefault="0079428C" w:rsidP="002E20CA">
      <w:pPr>
        <w:numPr>
          <w:ilvl w:val="0"/>
          <w:numId w:val="44"/>
        </w:numPr>
        <w:ind w:left="567" w:hanging="567"/>
        <w:rPr>
          <w:lang w:val="es-ES"/>
        </w:rPr>
      </w:pPr>
      <w:r w:rsidRPr="00B06D23">
        <w:rPr>
          <w:lang w:val="es-ES"/>
        </w:rPr>
        <w:t>la posición del cargo respecto de sus jefes directos y sus subordinados para verificar que no haya solapamiento salarial entre el subordinado y su jefe inmediato.</w:t>
      </w:r>
    </w:p>
    <w:p w14:paraId="3BDD4592" w14:textId="77777777" w:rsidR="0079428C" w:rsidRPr="00B06D23" w:rsidRDefault="0079428C" w:rsidP="002E20CA">
      <w:pPr>
        <w:numPr>
          <w:ilvl w:val="0"/>
          <w:numId w:val="44"/>
        </w:numPr>
        <w:ind w:left="567" w:hanging="567"/>
        <w:rPr>
          <w:lang w:val="es-ES"/>
        </w:rPr>
      </w:pPr>
      <w:r w:rsidRPr="00B06D23">
        <w:rPr>
          <w:lang w:val="es-ES"/>
        </w:rPr>
        <w:t xml:space="preserve">el nivel de capacitación, la experiencia requeridos para cada cargo y su grado de responsabilidad. </w:t>
      </w:r>
    </w:p>
    <w:p w14:paraId="32C2C9EE" w14:textId="77777777" w:rsidR="0079428C" w:rsidRPr="00B06D23" w:rsidRDefault="0079428C" w:rsidP="0079428C">
      <w:pPr>
        <w:rPr>
          <w:lang w:val="es-ES"/>
        </w:rPr>
      </w:pPr>
      <w:r w:rsidRPr="00B06D23">
        <w:rPr>
          <w:lang w:val="es-ES"/>
        </w:rPr>
        <w:t>Los cargos escogidos y sus correspondientes remuneraciones deben otorgar diferenciaciones de jerarquía o niveles, acorde a las realidades de los cargos de la empresa y también deben ofrecer coherencia entre posiciones semejantes, aunque de diferentes áreas funcionales. Es decir, se debe conformar una empresa modelo con coherencia de remuneraciones tanto en el plano vertical de la organización como en los planos transversales.</w:t>
      </w:r>
    </w:p>
    <w:p w14:paraId="75C98BC5" w14:textId="77777777" w:rsidR="0079428C" w:rsidRPr="00B06D23" w:rsidRDefault="0079428C" w:rsidP="0079428C">
      <w:pPr>
        <w:rPr>
          <w:lang w:val="es-ES"/>
        </w:rPr>
      </w:pPr>
      <w:r w:rsidRPr="00B06D23">
        <w:rPr>
          <w:lang w:val="es-ES"/>
        </w:rPr>
        <w:t>A partir de los criterios señalados se realiza la homologación de cargos mediante los siguientes pasos:</w:t>
      </w:r>
    </w:p>
    <w:p w14:paraId="5003FC60" w14:textId="77777777" w:rsidR="0079428C" w:rsidRPr="00B06D23" w:rsidRDefault="0079428C" w:rsidP="002E20CA">
      <w:pPr>
        <w:numPr>
          <w:ilvl w:val="0"/>
          <w:numId w:val="43"/>
        </w:numPr>
        <w:tabs>
          <w:tab w:val="clear" w:pos="360"/>
        </w:tabs>
        <w:spacing w:after="120"/>
        <w:ind w:left="567" w:hanging="567"/>
        <w:rPr>
          <w:lang w:val="es-ES"/>
        </w:rPr>
      </w:pPr>
      <w:r w:rsidRPr="00B06D23">
        <w:rPr>
          <w:lang w:val="es-ES"/>
        </w:rPr>
        <w:t>Identificación de las funciones y responsabilidades asociadas a cada cargo de la EM.</w:t>
      </w:r>
    </w:p>
    <w:p w14:paraId="43F5D9CC" w14:textId="77777777" w:rsidR="0079428C" w:rsidRPr="00B06D23" w:rsidRDefault="0079428C" w:rsidP="002E20CA">
      <w:pPr>
        <w:numPr>
          <w:ilvl w:val="0"/>
          <w:numId w:val="43"/>
        </w:numPr>
        <w:tabs>
          <w:tab w:val="clear" w:pos="360"/>
        </w:tabs>
        <w:spacing w:after="120"/>
        <w:ind w:left="567" w:hanging="567"/>
        <w:rPr>
          <w:lang w:val="es-ES"/>
        </w:rPr>
      </w:pPr>
      <w:r w:rsidRPr="00B06D23">
        <w:rPr>
          <w:lang w:val="es-ES"/>
        </w:rPr>
        <w:t>Identificación del cargo representativo en la encuesta considerando la definición del punto anterior.</w:t>
      </w:r>
    </w:p>
    <w:p w14:paraId="49B148AA" w14:textId="77777777" w:rsidR="0079428C" w:rsidRPr="00B06D23" w:rsidRDefault="0079428C" w:rsidP="002E20CA">
      <w:pPr>
        <w:numPr>
          <w:ilvl w:val="0"/>
          <w:numId w:val="43"/>
        </w:numPr>
        <w:tabs>
          <w:tab w:val="clear" w:pos="360"/>
        </w:tabs>
        <w:ind w:left="567" w:hanging="567"/>
        <w:rPr>
          <w:lang w:val="es-ES"/>
        </w:rPr>
      </w:pPr>
      <w:r w:rsidRPr="00B06D23">
        <w:rPr>
          <w:lang w:val="es-ES"/>
        </w:rPr>
        <w:t>Determinación de la remuneración asignada al cargo.</w:t>
      </w:r>
    </w:p>
    <w:p w14:paraId="313D8EA1" w14:textId="77777777" w:rsidR="0079428C" w:rsidRPr="006D750B" w:rsidRDefault="0079428C" w:rsidP="0079428C">
      <w:pPr>
        <w:pStyle w:val="Ttulo4"/>
      </w:pPr>
      <w:bookmarkStart w:id="118" w:name="_Toc34398108"/>
      <w:bookmarkStart w:id="119" w:name="_Toc34687202"/>
      <w:r w:rsidRPr="006D750B">
        <w:t>Régimen de horas extras y guardias pasiva</w:t>
      </w:r>
      <w:bookmarkEnd w:id="118"/>
      <w:bookmarkEnd w:id="119"/>
    </w:p>
    <w:p w14:paraId="21958D68" w14:textId="0C844507" w:rsidR="0079428C" w:rsidRPr="00B06D23" w:rsidRDefault="0079428C" w:rsidP="0079428C">
      <w:pPr>
        <w:rPr>
          <w:rFonts w:cs="Arial"/>
          <w:szCs w:val="22"/>
          <w:lang w:val="es-ES"/>
        </w:rPr>
      </w:pPr>
      <w:r w:rsidRPr="00B06D23">
        <w:rPr>
          <w:rFonts w:cs="Arial"/>
          <w:szCs w:val="22"/>
          <w:lang w:val="es-ES"/>
        </w:rPr>
        <w:t xml:space="preserve">En una empresa de servicios como la EM de transmisión </w:t>
      </w:r>
      <w:r w:rsidR="00787145">
        <w:rPr>
          <w:rFonts w:cs="Arial"/>
          <w:szCs w:val="22"/>
          <w:lang w:val="es-ES"/>
        </w:rPr>
        <w:t>nacional</w:t>
      </w:r>
      <w:r w:rsidRPr="00B06D23">
        <w:rPr>
          <w:rFonts w:cs="Arial"/>
          <w:szCs w:val="22"/>
          <w:lang w:val="es-ES"/>
        </w:rPr>
        <w:t>, existen eventos imprevistos tales como la atención de emergencias por fallas que requieren tareas de mantenimiento y operación para lo cual se requiere una mayor carga de trabajo que excede el horario habitual del personal de plantilla.</w:t>
      </w:r>
    </w:p>
    <w:p w14:paraId="015E9D3C" w14:textId="77777777" w:rsidR="0079428C" w:rsidRPr="00B06D23" w:rsidRDefault="0079428C" w:rsidP="0079428C">
      <w:pPr>
        <w:rPr>
          <w:rFonts w:cs="Arial"/>
          <w:szCs w:val="22"/>
          <w:lang w:val="es-ES"/>
        </w:rPr>
      </w:pPr>
      <w:r w:rsidRPr="00B06D23">
        <w:rPr>
          <w:rFonts w:cs="Arial"/>
          <w:szCs w:val="22"/>
          <w:lang w:val="es-ES"/>
        </w:rPr>
        <w:t>Dado que no resulta conveniente dimensionar la plantilla de la empresa modelo para situaciones de emergencia, porque implicaría tener una estructura sobredimensionada, es que se prevé para los puestos operativos que intervienen en dichos eventos la posibilidad de reforzar las tareas mediante la realización de horas extras.</w:t>
      </w:r>
    </w:p>
    <w:p w14:paraId="25C2C118" w14:textId="77777777" w:rsidR="0079428C" w:rsidRPr="00B06D23" w:rsidRDefault="0079428C" w:rsidP="0079428C">
      <w:pPr>
        <w:rPr>
          <w:rFonts w:cs="Arial"/>
          <w:szCs w:val="22"/>
          <w:lang w:val="es-ES"/>
        </w:rPr>
      </w:pPr>
      <w:r w:rsidRPr="00B06D23">
        <w:rPr>
          <w:rFonts w:cs="Arial"/>
          <w:szCs w:val="22"/>
          <w:lang w:val="es-ES"/>
        </w:rPr>
        <w:t xml:space="preserve">Por otra parte en una empresa de servicios se requiere que ciertos puestos operativos que cumplen horario de oficina realicen un sistema de guardias pasivas, para atender  emergencias y/o situaciones especiales los días de semana o fines de semana. </w:t>
      </w:r>
    </w:p>
    <w:p w14:paraId="3B767556" w14:textId="77777777" w:rsidR="0079428C" w:rsidRPr="00B06D23" w:rsidRDefault="0079428C" w:rsidP="0079428C">
      <w:pPr>
        <w:rPr>
          <w:rFonts w:cs="Arial"/>
          <w:szCs w:val="22"/>
          <w:lang w:val="es-ES"/>
        </w:rPr>
      </w:pPr>
      <w:r w:rsidRPr="00B06D23">
        <w:rPr>
          <w:rFonts w:cs="Arial"/>
          <w:szCs w:val="22"/>
          <w:lang w:val="es-ES"/>
        </w:rPr>
        <w:t>Mediante este sistema el personal cumple su horario de oficina y se retira del lugar de trabajo pero queda a disposición de la empresa en caso que se requiera su presencia física o mediante comunicaciones.</w:t>
      </w:r>
    </w:p>
    <w:p w14:paraId="4A802B63" w14:textId="77777777" w:rsidR="0079428C" w:rsidRPr="00B06D23" w:rsidRDefault="0079428C" w:rsidP="0079428C">
      <w:pPr>
        <w:rPr>
          <w:rFonts w:cs="Arial"/>
          <w:szCs w:val="22"/>
          <w:lang w:val="es-ES"/>
        </w:rPr>
      </w:pPr>
      <w:r w:rsidRPr="00B06D23">
        <w:rPr>
          <w:rFonts w:cs="Arial"/>
          <w:szCs w:val="22"/>
          <w:lang w:val="es-ES"/>
        </w:rPr>
        <w:t>Este servicio de guardia pasiva debe ser remunerados como “bonificación por guardia” tal como se describe a continuación.</w:t>
      </w:r>
    </w:p>
    <w:p w14:paraId="320D4D88" w14:textId="77777777" w:rsidR="0079428C" w:rsidRPr="00B06D23" w:rsidRDefault="0079428C" w:rsidP="0079428C">
      <w:pPr>
        <w:rPr>
          <w:lang w:val="es-ES"/>
        </w:rPr>
      </w:pPr>
      <w:r w:rsidRPr="00B06D23">
        <w:rPr>
          <w:rFonts w:cs="Arial"/>
          <w:szCs w:val="22"/>
          <w:lang w:val="es-ES"/>
        </w:rPr>
        <w:t xml:space="preserve">Bonificación por guardia: este cargo tiene en cuenta que </w:t>
      </w:r>
      <w:r w:rsidRPr="00B06D23">
        <w:rPr>
          <w:lang w:val="es-ES"/>
        </w:rPr>
        <w:t>un sistema de guardias llamados “Turnos de Permanencia”, que son realizados por mandos medios y técnicos de mantenimiento (Inspectores, Ingenieros con funciones de supervisión de cuadrillas de terreno, técnicos de mantenimiento de protecciones y control) y puestos de operación clave (Jefe de Centrol de Control y asistente, Supervisores de operación, operadores)  quienes tienen la responsabilidad de atender las diversas situaciones que se puedan presentar, tanto de emergencia como de la rutina diaria, durante cada fin de semana o días festivo.</w:t>
      </w:r>
    </w:p>
    <w:p w14:paraId="436428B5" w14:textId="77777777" w:rsidR="0079428C" w:rsidRPr="00B06D23" w:rsidRDefault="0079428C" w:rsidP="0079428C">
      <w:pPr>
        <w:rPr>
          <w:lang w:val="es-ES"/>
        </w:rPr>
      </w:pPr>
      <w:r w:rsidRPr="00B06D23">
        <w:rPr>
          <w:lang w:val="es-ES"/>
        </w:rPr>
        <w:t>Por este servicio se le solicita al personal estar disponible en caso de que se presente una situación operativa que requiera una decisión que por la responsabilidad no pueda ser tomada por el contratista o personal de guardia que se encuentra activa en ese momento.</w:t>
      </w:r>
    </w:p>
    <w:p w14:paraId="747A7A79" w14:textId="77777777" w:rsidR="0079428C" w:rsidRPr="00B06D23" w:rsidRDefault="0079428C" w:rsidP="0079428C">
      <w:pPr>
        <w:rPr>
          <w:lang w:val="es-ES"/>
        </w:rPr>
      </w:pPr>
      <w:r w:rsidRPr="00B06D23">
        <w:rPr>
          <w:lang w:val="es-ES"/>
        </w:rPr>
        <w:t>Este tipo de servicio también se requiere a los operadores y técnicos del personal de plantilla, que cumplen horario de oficina o turnos rotativos para que en casos de emergencia y fuera de su horario de trabajo tengan la disponibilidad para trabajar y reforzar el plantilla activa.</w:t>
      </w:r>
    </w:p>
    <w:p w14:paraId="19B9622E" w14:textId="77777777" w:rsidR="0079428C" w:rsidRPr="00B06D23" w:rsidRDefault="0079428C" w:rsidP="0079428C">
      <w:pPr>
        <w:rPr>
          <w:lang w:val="es-ES"/>
        </w:rPr>
      </w:pPr>
      <w:r w:rsidRPr="00B06D23">
        <w:rPr>
          <w:lang w:val="es-ES"/>
        </w:rPr>
        <w:t>De esta manera el personal de  mandos medios (del centro de control o jefaturas regionales) , y los operadores y técnicos del personal de plantilla en forma rotativa se turnan con sus colegas de nivel jerárquico similar para cumplir este régimen de guardias. Cuando son convocados en su guardia pueden tomar la decisión mediante una comunicación telefónica (caso de los mandos medios)  o bien tener que desplazarse  hasta el lugar  donde sea requerido (caso de operadores y técnicos).</w:t>
      </w:r>
    </w:p>
    <w:p w14:paraId="77F839AD" w14:textId="77777777" w:rsidR="0079428C" w:rsidRPr="00B06D23" w:rsidRDefault="0079428C" w:rsidP="0079428C">
      <w:pPr>
        <w:rPr>
          <w:lang w:val="es-ES"/>
        </w:rPr>
      </w:pPr>
      <w:r w:rsidRPr="00B06D23">
        <w:rPr>
          <w:lang w:val="es-ES"/>
        </w:rPr>
        <w:t>El costo total de estas “guardias”  y las horas “extras” se calculó como un porcentaje sobre costo laboral de la remuneración base, tal como se muestra en Anexo COMA_3 Modelo/Datos/ Horas Extras y Guardia Pasiva”, parte integrante de la documentación digital adjunta a este informe.</w:t>
      </w:r>
    </w:p>
    <w:p w14:paraId="08C9A02E" w14:textId="77777777" w:rsidR="0079428C" w:rsidRPr="00B06D23" w:rsidRDefault="0079428C" w:rsidP="0079428C">
      <w:pPr>
        <w:rPr>
          <w:lang w:val="es-ES"/>
        </w:rPr>
      </w:pPr>
      <w:r w:rsidRPr="00B06D23">
        <w:rPr>
          <w:lang w:val="es-ES"/>
        </w:rPr>
        <w:t>Este sobre costo laboral impacta en el costo empresario de los cargos señalados de la EM en un porcentaje  como se puede ver en Anexo COMA_3 Modelo/Datos/ModeloSTN2019/ 2.- Estudio de Compensaciones_Resumen_Ejer Extras</w:t>
      </w:r>
    </w:p>
    <w:p w14:paraId="3A12C1C7" w14:textId="77777777" w:rsidR="0079428C" w:rsidRPr="00B06D23" w:rsidRDefault="0079428C" w:rsidP="0079428C">
      <w:pPr>
        <w:rPr>
          <w:rFonts w:cs="Arial"/>
          <w:szCs w:val="22"/>
          <w:lang w:val="es-ES"/>
        </w:rPr>
      </w:pPr>
      <w:r w:rsidRPr="00B06D23">
        <w:rPr>
          <w:rFonts w:cs="Arial"/>
          <w:szCs w:val="22"/>
          <w:lang w:val="es-ES"/>
        </w:rPr>
        <w:t xml:space="preserve">De esta forma, habiéndose realizado la homologación de cargos de la empresa modelo a partir de la Encuesta PWC, y asignado costos a cada cargo de la organización que resultan de esa homologación, se ha obtenido el costo de Remuneraciones Brutas de la empresa modelo a la que se suma el costo por las horas extras y la Bonificación por guardia descrita para los puestos operativos descriptos. </w:t>
      </w:r>
    </w:p>
    <w:p w14:paraId="7CA0CA8D" w14:textId="77777777" w:rsidR="0079428C" w:rsidRPr="00F465C5" w:rsidRDefault="0079428C" w:rsidP="0079428C">
      <w:pPr>
        <w:pStyle w:val="Ttulo3"/>
      </w:pPr>
      <w:bookmarkStart w:id="120" w:name="_Toc34398109"/>
      <w:bookmarkStart w:id="121" w:name="_Toc34687203"/>
      <w:r w:rsidRPr="00F465C5">
        <w:t>Costos de rotación del personal</w:t>
      </w:r>
      <w:bookmarkEnd w:id="120"/>
      <w:bookmarkEnd w:id="121"/>
    </w:p>
    <w:p w14:paraId="3F878C91" w14:textId="77777777" w:rsidR="0079428C" w:rsidRPr="00B06D23" w:rsidRDefault="0079428C" w:rsidP="0079428C">
      <w:pPr>
        <w:rPr>
          <w:lang w:val="es-ES"/>
        </w:rPr>
      </w:pPr>
      <w:r w:rsidRPr="00B06D23">
        <w:rPr>
          <w:lang w:val="es-ES"/>
        </w:rPr>
        <w:t>En todas las empresas existe un porcentaje de la plantilla que está sometido a rotación natural debido a migraciones del personal a otras empresas y/o desvinculaciones que requieren indeminización.</w:t>
      </w:r>
    </w:p>
    <w:p w14:paraId="4E286E91" w14:textId="77777777" w:rsidR="0079428C" w:rsidRPr="00B06D23" w:rsidRDefault="0079428C" w:rsidP="0079428C">
      <w:pPr>
        <w:rPr>
          <w:lang w:val="es-ES"/>
        </w:rPr>
      </w:pPr>
      <w:r w:rsidRPr="00B06D23">
        <w:rPr>
          <w:lang w:val="es-ES"/>
        </w:rPr>
        <w:t>Se ha considerado un costo asociado a la rotación del personal que se estima del 2% del total de la plantilla, y de la cual se requiere indemnización al 50% del personal desvinculado.</w:t>
      </w:r>
    </w:p>
    <w:p w14:paraId="00268CFE" w14:textId="77777777" w:rsidR="0079428C" w:rsidRPr="00B06D23" w:rsidRDefault="0079428C" w:rsidP="0079428C">
      <w:pPr>
        <w:rPr>
          <w:lang w:val="es-ES"/>
        </w:rPr>
      </w:pPr>
      <w:r w:rsidRPr="00B06D23">
        <w:rPr>
          <w:lang w:val="es-ES"/>
        </w:rPr>
        <w:t>El costo de las indemnizaciones se ha considerado calculando una antigüedad promedio de 5 años y un tope de salario de 90 UF/mes.</w:t>
      </w:r>
    </w:p>
    <w:p w14:paraId="61FB975B" w14:textId="777BCA6D" w:rsidR="0079428C" w:rsidRDefault="0079428C" w:rsidP="0079428C">
      <w:pPr>
        <w:rPr>
          <w:lang w:val="es-ES"/>
        </w:rPr>
      </w:pPr>
      <w:r w:rsidRPr="00B06D23">
        <w:rPr>
          <w:lang w:val="es-ES"/>
        </w:rPr>
        <w:t>Adicionalmente se ha considerado un costo de incoporación de personal equivalente al 2% de la plantilla con un costo unitario de incorporación igual a una remuneración mensual sin considerar los beneficios.</w:t>
      </w:r>
    </w:p>
    <w:p w14:paraId="624BE283" w14:textId="77777777" w:rsidR="0060133B" w:rsidRPr="00B06D23" w:rsidRDefault="0060133B" w:rsidP="0079428C">
      <w:pPr>
        <w:rPr>
          <w:lang w:val="es-ES"/>
        </w:rPr>
      </w:pPr>
    </w:p>
    <w:p w14:paraId="0BEA68E9" w14:textId="77777777" w:rsidR="0079428C" w:rsidRPr="00F465C5" w:rsidRDefault="0079428C" w:rsidP="0079428C">
      <w:pPr>
        <w:pStyle w:val="Ttulo3"/>
      </w:pPr>
      <w:bookmarkStart w:id="122" w:name="_Toc34398110"/>
      <w:bookmarkStart w:id="123" w:name="_Toc34687204"/>
      <w:r w:rsidRPr="00F465C5">
        <w:t>Análisis de tercerización de actividades</w:t>
      </w:r>
      <w:bookmarkEnd w:id="122"/>
      <w:bookmarkEnd w:id="123"/>
    </w:p>
    <w:p w14:paraId="3AC77542" w14:textId="77777777" w:rsidR="0079428C" w:rsidRPr="00B06D23" w:rsidRDefault="0079428C" w:rsidP="0079428C">
      <w:pPr>
        <w:rPr>
          <w:lang w:val="es-ES"/>
        </w:rPr>
      </w:pPr>
      <w:r w:rsidRPr="00B06D23">
        <w:rPr>
          <w:lang w:val="es-ES"/>
        </w:rPr>
        <w:t xml:space="preserve">Se realiza un análisis sobre la conveniencia de tercerizar algunas de las actividades operativas de la EM, contemplando las mejores prácticas de empresas de transmisión en la región. </w:t>
      </w:r>
    </w:p>
    <w:p w14:paraId="10EA2AD0" w14:textId="77777777" w:rsidR="0079428C" w:rsidRPr="00B06D23" w:rsidRDefault="0079428C" w:rsidP="0079428C">
      <w:pPr>
        <w:rPr>
          <w:lang w:val="es-ES"/>
        </w:rPr>
      </w:pPr>
      <w:r w:rsidRPr="00B06D23">
        <w:rPr>
          <w:lang w:val="es-ES"/>
        </w:rPr>
        <w:t>Este análisis se realiza sobre aquellas actividades de operación y mantenimiento que son susceptibles de tercerizar en base al análisis de la importancia estratégica de las tareas. Para definir la importancia estratégica se tienen en cuenta aspectos tales como la confiabilidad operativa, la seguridad de los trabajadores, el control y supervisión del sistema, el nivel de calidad y especialización de los contratistas presentes en el mercado.</w:t>
      </w:r>
    </w:p>
    <w:p w14:paraId="02792C22" w14:textId="77777777" w:rsidR="0079428C" w:rsidRPr="00B06D23" w:rsidRDefault="0079428C" w:rsidP="0079428C">
      <w:pPr>
        <w:rPr>
          <w:lang w:val="es-ES"/>
        </w:rPr>
      </w:pPr>
      <w:r w:rsidRPr="00B06D23">
        <w:rPr>
          <w:lang w:val="es-ES"/>
        </w:rPr>
        <w:t>Para definir los aspectos mencionados se tendrán en cuenta las prácticas usuales en materia de tercerización de las empresas contratistas y los antecedentes regulatorios en la materia.</w:t>
      </w:r>
    </w:p>
    <w:p w14:paraId="7D9EBB29" w14:textId="77777777" w:rsidR="0079428C" w:rsidRPr="00B06D23" w:rsidRDefault="0079428C" w:rsidP="0079428C">
      <w:pPr>
        <w:rPr>
          <w:lang w:val="es-ES"/>
        </w:rPr>
      </w:pPr>
      <w:r w:rsidRPr="00B06D23">
        <w:rPr>
          <w:lang w:val="es-ES"/>
        </w:rPr>
        <w:t>En particular se consideraron los siguientes criterios para identificar las actividades sujetas a tercerización: niveles de especialización requeridos y la posibilidad de conseguirlos en el mercado de contratistas, el volumen de las tareas a realizar considerando que en caso de tareas que se realizan en forma esporádica no conviene tener sobredimensionado la estructura de la empresa sino contratar cuando sea necesario, la confidencialidad de la información que se maneja que puede requerir no sea accesible a personal de terceros de la empresa, la criticidad de los equipos que son objeto de operación y mantenimiento y que por razones de confiabilidad operativa resulta conveniente que sean desarrollados por personal propio y conocido de la propia empresa.</w:t>
      </w:r>
    </w:p>
    <w:p w14:paraId="4D7F178C" w14:textId="77777777" w:rsidR="0079428C" w:rsidRPr="00B06D23" w:rsidRDefault="0079428C" w:rsidP="0079428C">
      <w:pPr>
        <w:rPr>
          <w:lang w:val="es-ES"/>
        </w:rPr>
      </w:pPr>
      <w:r w:rsidRPr="00B06D23">
        <w:rPr>
          <w:lang w:val="es-ES"/>
        </w:rPr>
        <w:t>Sobre la base de los criterios anteriores se identifican las áreas operativas de la empresa y los cargos que son posibles de tercerizar y se analiza la factibilidad de la tercerización teniendo en cuenta la experiencia de la industria y de las empresas especializadas de outsourcing de manera de minimizar los costos operativos en que debe incurrir la EM.</w:t>
      </w:r>
    </w:p>
    <w:p w14:paraId="1FB725CF" w14:textId="77777777" w:rsidR="0079428C" w:rsidRPr="00FD055F" w:rsidRDefault="0079428C" w:rsidP="0079428C">
      <w:pPr>
        <w:pStyle w:val="Ttulo4"/>
      </w:pPr>
      <w:bookmarkStart w:id="124" w:name="_Toc34398111"/>
      <w:bookmarkStart w:id="125" w:name="_Toc34687205"/>
      <w:r w:rsidRPr="00FD055F">
        <w:t>Análisis de la importancia estratégica</w:t>
      </w:r>
      <w:bookmarkEnd w:id="124"/>
      <w:bookmarkEnd w:id="125"/>
    </w:p>
    <w:p w14:paraId="503248C5" w14:textId="77777777" w:rsidR="0079428C" w:rsidRPr="00B06D23" w:rsidRDefault="0079428C" w:rsidP="0079428C">
      <w:pPr>
        <w:rPr>
          <w:lang w:val="es-ES"/>
        </w:rPr>
      </w:pPr>
      <w:r w:rsidRPr="00B06D23">
        <w:rPr>
          <w:lang w:val="es-ES"/>
        </w:rPr>
        <w:t>Antes de valorizar la estructura de una organización eficiente se requiere definir las políticas de tercerización óptimas ya que el personal tercerizado no forma parte de la estructura de personal propia de la empresa y solamente se debe incluir en esa estructura propia el personal para realizar las especificaciones técnicas, la coordinación y el control de los contratistas. En efecto, una empresa eficiente que realice la tercerización de actividades debe contar con las especificaciones técnicas para exigir al contratista una calidad de ejecución de los trabajos acorde a los niveles de confiabilidad requeridos, y disponer de una contraparte en el personal propio para coordinar y controlar adecuadamente la ejecución de esos trabajos.</w:t>
      </w:r>
    </w:p>
    <w:p w14:paraId="341E8DDA" w14:textId="77777777" w:rsidR="0079428C" w:rsidRPr="00B06D23" w:rsidRDefault="0079428C" w:rsidP="0079428C">
      <w:pPr>
        <w:rPr>
          <w:lang w:val="es-ES"/>
        </w:rPr>
      </w:pPr>
      <w:r w:rsidRPr="00B06D23">
        <w:rPr>
          <w:lang w:val="es-ES"/>
        </w:rPr>
        <w:t>Las tareas factibles de tercerizar son aquellas vinculadas con los  trabajos de terreno relacionados a las tareas de mantenimiento excepto las tareas de supervisión, análisis y evaluación para la toma de decisiones que son estratégicas para la calidad y confiabilidad del sistema, y para las cual se requieren perfiles de formación y experiencia específicos que es posible lograr con el personal de plantilla debido a su permanencia y capacitación continua.</w:t>
      </w:r>
    </w:p>
    <w:p w14:paraId="1334A756" w14:textId="77777777" w:rsidR="0079428C" w:rsidRPr="00B06D23" w:rsidRDefault="0079428C" w:rsidP="0079428C">
      <w:pPr>
        <w:rPr>
          <w:lang w:val="es-ES"/>
        </w:rPr>
      </w:pPr>
      <w:r w:rsidRPr="00B06D23">
        <w:rPr>
          <w:lang w:val="es-ES"/>
        </w:rPr>
        <w:t>Por lo señalado no se consideran tercerizadas las áreas de operación centralizada, operación  y coordinación regional, debido a que son trabajos de una alta especialización y una pieza vital para el servicio por lo que la empresa modelo está en la obligación de dirigir el trabajo y emitir órdenes directas y precisas para la ejecución de estas labores.</w:t>
      </w:r>
    </w:p>
    <w:p w14:paraId="66043820" w14:textId="77777777" w:rsidR="0079428C" w:rsidRPr="00B06D23" w:rsidRDefault="0079428C" w:rsidP="0079428C">
      <w:pPr>
        <w:rPr>
          <w:lang w:val="es-ES"/>
        </w:rPr>
      </w:pPr>
      <w:r w:rsidRPr="00B06D23">
        <w:rPr>
          <w:lang w:val="es-ES"/>
        </w:rPr>
        <w:t>Tampoco se consideran tercerizadas las tareas de mantenimiento de sistemas de comunicaciones, protecciones y control dado su importancia estratégica, el impacto  en el sistema en caso de fallas y un alto nivel de formación y capacitación específica.</w:t>
      </w:r>
    </w:p>
    <w:p w14:paraId="4AEA1212" w14:textId="77777777" w:rsidR="0079428C" w:rsidRPr="00B06D23" w:rsidRDefault="0079428C" w:rsidP="0079428C">
      <w:pPr>
        <w:rPr>
          <w:lang w:val="es-ES"/>
        </w:rPr>
      </w:pPr>
      <w:r w:rsidRPr="00B06D23">
        <w:rPr>
          <w:lang w:val="es-ES"/>
        </w:rPr>
        <w:t>Los motivos específicos para la no tercerización de las tareas antes indicadas se presentan a continuación:</w:t>
      </w:r>
    </w:p>
    <w:p w14:paraId="10C40C57" w14:textId="77777777" w:rsidR="0079428C" w:rsidRPr="00B06D23" w:rsidRDefault="0079428C" w:rsidP="0079428C">
      <w:pPr>
        <w:rPr>
          <w:b/>
          <w:lang w:val="es-ES"/>
        </w:rPr>
      </w:pPr>
      <w:r w:rsidRPr="00B06D23">
        <w:rPr>
          <w:b/>
          <w:lang w:val="es-ES"/>
        </w:rPr>
        <w:t>Operación Centralizada y Coordinación Regional.</w:t>
      </w:r>
    </w:p>
    <w:p w14:paraId="4C1A2A3D" w14:textId="77777777" w:rsidR="0079428C" w:rsidRPr="00B06D23" w:rsidRDefault="0079428C" w:rsidP="0079428C">
      <w:pPr>
        <w:rPr>
          <w:lang w:val="es-ES"/>
        </w:rPr>
      </w:pPr>
      <w:r w:rsidRPr="00B06D23">
        <w:rPr>
          <w:lang w:val="es-ES"/>
        </w:rPr>
        <w:t>Para mantener la seguridad de los trabajadores y que sus operaciones garanticen la seguridad de terceros, así como un nivel de calidad de servicio adecuado, la empresa debe contar con personal propio para cumplir con esta parte del proceso.</w:t>
      </w:r>
    </w:p>
    <w:p w14:paraId="22D34EB0" w14:textId="77777777" w:rsidR="0079428C" w:rsidRPr="00B06D23" w:rsidRDefault="0079428C" w:rsidP="0079428C">
      <w:pPr>
        <w:rPr>
          <w:lang w:val="es-ES"/>
        </w:rPr>
      </w:pPr>
      <w:r w:rsidRPr="00B06D23">
        <w:rPr>
          <w:lang w:val="es-ES"/>
        </w:rPr>
        <w:t>Se debe considerar además que al ser un proceso crítico en la empresa, es necesario garantizar la seguridad de los trabajadores mediante la formación (capacitación) del personal que realiza las maniobras desde el Centro de Control.</w:t>
      </w:r>
    </w:p>
    <w:p w14:paraId="1F7E7854" w14:textId="77777777" w:rsidR="0079428C" w:rsidRPr="00B06D23" w:rsidRDefault="0079428C" w:rsidP="0079428C">
      <w:pPr>
        <w:rPr>
          <w:lang w:val="es-ES"/>
        </w:rPr>
      </w:pPr>
      <w:r w:rsidRPr="00B06D23">
        <w:rPr>
          <w:lang w:val="es-ES"/>
        </w:rPr>
        <w:t>Solo las tareas de terreno vinculadas a la operación se han considerado tercerizadas dado las ventajas que presentan los contratistas especialmente en situaciones de emergencia debido a que pueden ser convocadas a demanda, y a su despliegue territorial. Dentro de este tipo se consideran por ejemplo la confirmación visual en caso de apertura de seccionadores desde el centro de control o la apertura manual cuando no está motorizado o el relevamiento de algún tipo de información en situaciones de emergencia en combinación con las cuadrillas de mantenimiento. No obstante lo anterior estas tareas son coordinadas y supervisadas por el personal propio del centro de control principal y regional y apoyadas por el personal operativo y de supervisión de las unidades regionales.</w:t>
      </w:r>
    </w:p>
    <w:p w14:paraId="51DADF71" w14:textId="77777777" w:rsidR="0079428C" w:rsidRPr="00B06D23" w:rsidRDefault="0079428C" w:rsidP="0079428C">
      <w:pPr>
        <w:rPr>
          <w:b/>
          <w:lang w:val="es-ES"/>
        </w:rPr>
      </w:pPr>
      <w:r w:rsidRPr="00B06D23">
        <w:rPr>
          <w:b/>
          <w:lang w:val="es-ES"/>
        </w:rPr>
        <w:t xml:space="preserve">Mantenimiento de protecciones, comunicaciones y control. </w:t>
      </w:r>
    </w:p>
    <w:p w14:paraId="54BAE357" w14:textId="77777777" w:rsidR="0079428C" w:rsidRPr="00B06D23" w:rsidRDefault="0079428C" w:rsidP="0079428C">
      <w:pPr>
        <w:rPr>
          <w:lang w:val="es-ES"/>
        </w:rPr>
      </w:pPr>
      <w:r w:rsidRPr="00B06D23">
        <w:rPr>
          <w:lang w:val="es-ES"/>
        </w:rPr>
        <w:t>Dentro de este rubro se consideran la Inspección y reparación de protecciones, telecomunicaciones y SCADA.</w:t>
      </w:r>
    </w:p>
    <w:p w14:paraId="20B07306" w14:textId="77777777" w:rsidR="0079428C" w:rsidRPr="00B06D23" w:rsidRDefault="0079428C" w:rsidP="0079428C">
      <w:pPr>
        <w:rPr>
          <w:lang w:val="es-ES"/>
        </w:rPr>
      </w:pPr>
      <w:r w:rsidRPr="00B06D23">
        <w:rPr>
          <w:lang w:val="es-ES"/>
        </w:rPr>
        <w:t>Este tipo de tareas que exige una alta especialización y actualización de conocimiento tiene un amplio espectro de marcas de equipamiento por lo cual resultaría complejo atomizar el universo de contratistas razón por la cual se decide realizar  con personal propio.</w:t>
      </w:r>
    </w:p>
    <w:p w14:paraId="2C396EAB" w14:textId="77777777" w:rsidR="0079428C" w:rsidRPr="00B06D23" w:rsidRDefault="0079428C" w:rsidP="0079428C">
      <w:pPr>
        <w:rPr>
          <w:lang w:val="es-ES"/>
        </w:rPr>
      </w:pPr>
      <w:r w:rsidRPr="00B06D23">
        <w:rPr>
          <w:lang w:val="es-ES"/>
        </w:rPr>
        <w:t xml:space="preserve">Estas labores realizadas por personal propio permite asegurar y monitorear que su capacitación esté acorde con los últimos adelantos tecnológicos y medidas de seguridad necesarias, logrando la disminución de tiempos y evitando posibles accidentes </w:t>
      </w:r>
    </w:p>
    <w:p w14:paraId="32576685" w14:textId="77777777" w:rsidR="0079428C" w:rsidRPr="00B06D23" w:rsidRDefault="0079428C" w:rsidP="0079428C">
      <w:pPr>
        <w:rPr>
          <w:lang w:val="es-ES"/>
        </w:rPr>
      </w:pPr>
      <w:r w:rsidRPr="00B06D23">
        <w:rPr>
          <w:lang w:val="es-ES"/>
        </w:rPr>
        <w:t>De otro lado, el contar con personal propio para estas labores hace que se cohesione la lealtad del trabajador hacia la empresa logrando de esta formas una correcta gestión empresarial, al coincidir y alinearse los trabajadores  a la cultura, valores y objetivos lo que permite obtener los estándares de confiabilidad y calidad requeridos.</w:t>
      </w:r>
    </w:p>
    <w:p w14:paraId="5E04D255" w14:textId="77777777" w:rsidR="0079428C" w:rsidRPr="00FD055F" w:rsidRDefault="0079428C" w:rsidP="0079428C">
      <w:pPr>
        <w:pStyle w:val="Ttulo4"/>
      </w:pPr>
      <w:bookmarkStart w:id="126" w:name="_Toc34398112"/>
      <w:bookmarkStart w:id="127" w:name="_Toc34687206"/>
      <w:r w:rsidRPr="00FD055F">
        <w:t>Análisis de la conveniencia económica</w:t>
      </w:r>
      <w:bookmarkEnd w:id="126"/>
      <w:bookmarkEnd w:id="127"/>
    </w:p>
    <w:p w14:paraId="7A05F4CC" w14:textId="77777777" w:rsidR="0079428C" w:rsidRPr="00B06D23" w:rsidRDefault="0079428C" w:rsidP="0079428C">
      <w:pPr>
        <w:rPr>
          <w:lang w:val="es-ES"/>
        </w:rPr>
      </w:pPr>
      <w:r w:rsidRPr="00B06D23">
        <w:rPr>
          <w:lang w:val="es-ES"/>
        </w:rPr>
        <w:t>Este análisis se realiza sobre aquellas actividades de operación y mantenimiento que son susceptibles de tercerizar en base al análisis de importancia estratégica.</w:t>
      </w:r>
    </w:p>
    <w:p w14:paraId="518D21DB" w14:textId="77777777" w:rsidR="0079428C" w:rsidRPr="00B06D23" w:rsidRDefault="0079428C" w:rsidP="0079428C">
      <w:pPr>
        <w:rPr>
          <w:lang w:val="es-ES"/>
        </w:rPr>
      </w:pPr>
      <w:r w:rsidRPr="00B06D23">
        <w:rPr>
          <w:lang w:val="es-ES"/>
        </w:rPr>
        <w:t>Para realizar el análisis de conveniencia económica se deben comparar los costos operacionales de mano de obra de los cargos que integran las cuadrillas de actividades de terreno que podrían realizar las tareas tercerizadas versus los costos para dichos cargos conformadas por personal propio.</w:t>
      </w:r>
    </w:p>
    <w:p w14:paraId="2E58B031" w14:textId="77777777" w:rsidR="0079428C" w:rsidRPr="00B06D23" w:rsidRDefault="0079428C" w:rsidP="0079428C">
      <w:pPr>
        <w:rPr>
          <w:lang w:val="es-ES"/>
        </w:rPr>
      </w:pPr>
      <w:r w:rsidRPr="00B06D23">
        <w:rPr>
          <w:lang w:val="es-ES"/>
        </w:rPr>
        <w:t>Para este análisis se siguen las siguientes etapas:</w:t>
      </w:r>
    </w:p>
    <w:p w14:paraId="1B6C1547" w14:textId="77777777" w:rsidR="0079428C" w:rsidRPr="00B06D23" w:rsidRDefault="0079428C" w:rsidP="002E20CA">
      <w:pPr>
        <w:numPr>
          <w:ilvl w:val="0"/>
          <w:numId w:val="18"/>
        </w:numPr>
        <w:spacing w:after="160" w:line="259" w:lineRule="auto"/>
        <w:ind w:left="567" w:hanging="567"/>
        <w:rPr>
          <w:lang w:val="es-ES"/>
        </w:rPr>
      </w:pPr>
      <w:r w:rsidRPr="00B06D23">
        <w:rPr>
          <w:lang w:val="es-ES"/>
        </w:rPr>
        <w:t>Definición de los tipos de contratistas que utilizará la empresa modelo</w:t>
      </w:r>
    </w:p>
    <w:p w14:paraId="1C791797" w14:textId="77777777" w:rsidR="0079428C" w:rsidRPr="00B06D23" w:rsidRDefault="0079428C" w:rsidP="002E20CA">
      <w:pPr>
        <w:numPr>
          <w:ilvl w:val="0"/>
          <w:numId w:val="18"/>
        </w:numPr>
        <w:spacing w:after="160" w:line="259" w:lineRule="auto"/>
        <w:ind w:left="567" w:hanging="567"/>
        <w:rPr>
          <w:lang w:val="es-ES"/>
        </w:rPr>
      </w:pPr>
      <w:r w:rsidRPr="00B06D23">
        <w:rPr>
          <w:lang w:val="es-ES"/>
        </w:rPr>
        <w:t>Homologación de los puestos de terreno susceptibles de tercerizar en los puestos disponibles en la encuesta.</w:t>
      </w:r>
    </w:p>
    <w:p w14:paraId="6C8ACAAD" w14:textId="77777777" w:rsidR="0079428C" w:rsidRPr="00B06D23" w:rsidRDefault="0079428C" w:rsidP="002E20CA">
      <w:pPr>
        <w:numPr>
          <w:ilvl w:val="0"/>
          <w:numId w:val="18"/>
        </w:numPr>
        <w:spacing w:after="160" w:line="259" w:lineRule="auto"/>
        <w:ind w:left="567" w:hanging="567"/>
        <w:rPr>
          <w:lang w:val="es-ES"/>
        </w:rPr>
      </w:pPr>
      <w:r w:rsidRPr="00B06D23">
        <w:rPr>
          <w:lang w:val="es-ES"/>
        </w:rPr>
        <w:t>Comparar el costo laboral de la mano de obra propia versus la tercerizadas. En ambos casos se debe considerar las rentas de mercado de la encuesta y las obligaciones legales y adicionalmente incluir el costo de administración y utilidades eficientes del contratista para el caso de las tercerizadas.</w:t>
      </w:r>
    </w:p>
    <w:p w14:paraId="238E5259" w14:textId="77777777" w:rsidR="0079428C" w:rsidRPr="00B06D23" w:rsidRDefault="0079428C" w:rsidP="0079428C">
      <w:pPr>
        <w:rPr>
          <w:lang w:val="es-ES"/>
        </w:rPr>
      </w:pPr>
      <w:r w:rsidRPr="00B06D23">
        <w:rPr>
          <w:lang w:val="es-ES"/>
        </w:rPr>
        <w:t>Las tareas realizadas por este personal están relacionadas al mantenimiento de líneas y subestaciones algunas de ellas realizadas con tensión que requiere personal de alta calificación y experiencia dado los riesgos involucrados y el impacto que podrían tener en el sistema eléctrico eventuales errores de ejecución por este motivo se considera el Electricista II con el apoyo del Técnico de Mantención I y II que colaboran y apoyan al primero. La supervisión y coordinación del trabajo de la cuadrilla con la empresa principal y la interlocución con la contraparte está a cargo del Jefe de la cuadrilla.</w:t>
      </w:r>
    </w:p>
    <w:p w14:paraId="25F9F1C8" w14:textId="77777777" w:rsidR="0079428C" w:rsidRPr="00B06D23" w:rsidRDefault="0079428C" w:rsidP="0079428C">
      <w:pPr>
        <w:rPr>
          <w:lang w:val="es-ES"/>
        </w:rPr>
      </w:pPr>
      <w:r w:rsidRPr="00B06D23">
        <w:rPr>
          <w:lang w:val="es-ES"/>
        </w:rPr>
        <w:t>Para Contratista  se seleccionaron los siguientes cargos para las cuadrillas de contratista:</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70"/>
        <w:gridCol w:w="3407"/>
        <w:gridCol w:w="2398"/>
      </w:tblGrid>
      <w:tr w:rsidR="0079428C" w:rsidRPr="0060133B" w14:paraId="4A3312D5" w14:textId="77777777" w:rsidTr="0060133B">
        <w:trPr>
          <w:trHeight w:val="300"/>
          <w:jc w:val="center"/>
        </w:trPr>
        <w:tc>
          <w:tcPr>
            <w:tcW w:w="2770" w:type="dxa"/>
            <w:shd w:val="clear" w:color="auto" w:fill="auto"/>
            <w:noWrap/>
            <w:vAlign w:val="center"/>
          </w:tcPr>
          <w:p w14:paraId="00BD4A25" w14:textId="77777777" w:rsidR="0079428C" w:rsidRPr="0060133B" w:rsidRDefault="0079428C" w:rsidP="00C276D3">
            <w:pPr>
              <w:spacing w:after="0"/>
              <w:jc w:val="left"/>
              <w:rPr>
                <w:rFonts w:cs="Calibri"/>
                <w:b/>
                <w:sz w:val="20"/>
                <w:szCs w:val="20"/>
                <w:lang w:val="es-ES" w:eastAsia="es-AR"/>
              </w:rPr>
            </w:pPr>
            <w:r w:rsidRPr="0060133B">
              <w:rPr>
                <w:rFonts w:cs="Calibri"/>
                <w:b/>
                <w:sz w:val="20"/>
                <w:szCs w:val="20"/>
                <w:lang w:val="es-ES" w:eastAsia="es-AR"/>
              </w:rPr>
              <w:t>Puesto EM - Líneas</w:t>
            </w:r>
          </w:p>
        </w:tc>
        <w:tc>
          <w:tcPr>
            <w:tcW w:w="3407" w:type="dxa"/>
            <w:shd w:val="clear" w:color="auto" w:fill="auto"/>
            <w:noWrap/>
            <w:vAlign w:val="center"/>
          </w:tcPr>
          <w:p w14:paraId="78D221AA" w14:textId="77777777" w:rsidR="0079428C" w:rsidRPr="0060133B" w:rsidRDefault="0079428C" w:rsidP="00C276D3">
            <w:pPr>
              <w:spacing w:after="0"/>
              <w:jc w:val="left"/>
              <w:rPr>
                <w:rFonts w:cs="Calibri"/>
                <w:b/>
                <w:sz w:val="20"/>
                <w:szCs w:val="20"/>
                <w:lang w:val="es-ES" w:eastAsia="es-AR"/>
              </w:rPr>
            </w:pPr>
            <w:r w:rsidRPr="0060133B">
              <w:rPr>
                <w:rFonts w:cs="Calibri"/>
                <w:b/>
                <w:sz w:val="20"/>
                <w:szCs w:val="20"/>
                <w:lang w:val="es-ES" w:eastAsia="es-AR"/>
              </w:rPr>
              <w:t>Puesto EM – Estaciones</w:t>
            </w:r>
          </w:p>
        </w:tc>
        <w:tc>
          <w:tcPr>
            <w:tcW w:w="2398" w:type="dxa"/>
            <w:shd w:val="clear" w:color="auto" w:fill="auto"/>
            <w:noWrap/>
            <w:vAlign w:val="center"/>
          </w:tcPr>
          <w:p w14:paraId="306267C1" w14:textId="77777777" w:rsidR="0079428C" w:rsidRPr="0060133B" w:rsidRDefault="0079428C" w:rsidP="00C276D3">
            <w:pPr>
              <w:spacing w:after="0"/>
              <w:jc w:val="left"/>
              <w:rPr>
                <w:rFonts w:cs="Calibri"/>
                <w:b/>
                <w:sz w:val="20"/>
                <w:szCs w:val="20"/>
                <w:lang w:val="es-ES" w:eastAsia="es-AR"/>
              </w:rPr>
            </w:pPr>
            <w:r w:rsidRPr="0060133B">
              <w:rPr>
                <w:rFonts w:cs="Calibri"/>
                <w:b/>
                <w:sz w:val="20"/>
                <w:szCs w:val="20"/>
                <w:lang w:val="es-ES" w:eastAsia="es-AR"/>
              </w:rPr>
              <w:t>Cargo PWC</w:t>
            </w:r>
          </w:p>
        </w:tc>
      </w:tr>
      <w:tr w:rsidR="0079428C" w:rsidRPr="0060133B" w14:paraId="5CBF3F91" w14:textId="77777777" w:rsidTr="0060133B">
        <w:trPr>
          <w:trHeight w:val="300"/>
          <w:jc w:val="center"/>
        </w:trPr>
        <w:tc>
          <w:tcPr>
            <w:tcW w:w="2770" w:type="dxa"/>
            <w:shd w:val="clear" w:color="auto" w:fill="auto"/>
            <w:noWrap/>
            <w:vAlign w:val="center"/>
            <w:hideMark/>
          </w:tcPr>
          <w:p w14:paraId="2466464E"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Jefe de Cuadrilla Líneas</w:t>
            </w:r>
          </w:p>
        </w:tc>
        <w:tc>
          <w:tcPr>
            <w:tcW w:w="3407" w:type="dxa"/>
            <w:shd w:val="clear" w:color="auto" w:fill="auto"/>
            <w:noWrap/>
            <w:vAlign w:val="center"/>
            <w:hideMark/>
          </w:tcPr>
          <w:p w14:paraId="02A3D869"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Jefe de Cuadrilla Estaciones</w:t>
            </w:r>
          </w:p>
        </w:tc>
        <w:tc>
          <w:tcPr>
            <w:tcW w:w="2398" w:type="dxa"/>
            <w:shd w:val="clear" w:color="auto" w:fill="auto"/>
            <w:noWrap/>
            <w:vAlign w:val="center"/>
            <w:hideMark/>
          </w:tcPr>
          <w:p w14:paraId="62B1DEDA"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Supervisor de Mantención Terreno</w:t>
            </w:r>
          </w:p>
        </w:tc>
      </w:tr>
      <w:tr w:rsidR="0079428C" w:rsidRPr="0060133B" w14:paraId="0D01C167" w14:textId="77777777" w:rsidTr="0060133B">
        <w:trPr>
          <w:trHeight w:val="300"/>
          <w:jc w:val="center"/>
        </w:trPr>
        <w:tc>
          <w:tcPr>
            <w:tcW w:w="2770" w:type="dxa"/>
            <w:shd w:val="clear" w:color="auto" w:fill="auto"/>
            <w:noWrap/>
            <w:vAlign w:val="center"/>
            <w:hideMark/>
          </w:tcPr>
          <w:p w14:paraId="2FF67D83"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Liniero principal</w:t>
            </w:r>
          </w:p>
        </w:tc>
        <w:tc>
          <w:tcPr>
            <w:tcW w:w="3407" w:type="dxa"/>
            <w:shd w:val="clear" w:color="auto" w:fill="auto"/>
            <w:noWrap/>
            <w:vAlign w:val="center"/>
            <w:hideMark/>
          </w:tcPr>
          <w:p w14:paraId="1E39CA48"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 xml:space="preserve">Técnico principal de subestación </w:t>
            </w:r>
          </w:p>
        </w:tc>
        <w:tc>
          <w:tcPr>
            <w:tcW w:w="2398" w:type="dxa"/>
            <w:shd w:val="clear" w:color="auto" w:fill="auto"/>
            <w:noWrap/>
            <w:vAlign w:val="center"/>
            <w:hideMark/>
          </w:tcPr>
          <w:p w14:paraId="2A11EEC5"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Electricista II</w:t>
            </w:r>
          </w:p>
        </w:tc>
      </w:tr>
      <w:tr w:rsidR="0079428C" w:rsidRPr="0060133B" w14:paraId="32EFC115" w14:textId="77777777" w:rsidTr="0060133B">
        <w:trPr>
          <w:trHeight w:val="300"/>
          <w:jc w:val="center"/>
        </w:trPr>
        <w:tc>
          <w:tcPr>
            <w:tcW w:w="2770" w:type="dxa"/>
            <w:shd w:val="clear" w:color="auto" w:fill="auto"/>
            <w:noWrap/>
            <w:vAlign w:val="center"/>
            <w:hideMark/>
          </w:tcPr>
          <w:p w14:paraId="17654AFC"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Liniero Auxiliar</w:t>
            </w:r>
          </w:p>
        </w:tc>
        <w:tc>
          <w:tcPr>
            <w:tcW w:w="3407" w:type="dxa"/>
            <w:shd w:val="clear" w:color="auto" w:fill="auto"/>
            <w:noWrap/>
            <w:vAlign w:val="center"/>
            <w:hideMark/>
          </w:tcPr>
          <w:p w14:paraId="23FA72BA"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Técnico auxiliar de subestación</w:t>
            </w:r>
          </w:p>
        </w:tc>
        <w:tc>
          <w:tcPr>
            <w:tcW w:w="2398" w:type="dxa"/>
            <w:shd w:val="clear" w:color="auto" w:fill="auto"/>
            <w:noWrap/>
            <w:vAlign w:val="center"/>
            <w:hideMark/>
          </w:tcPr>
          <w:p w14:paraId="5A10007E"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Técnico Mantención I</w:t>
            </w:r>
          </w:p>
        </w:tc>
      </w:tr>
      <w:tr w:rsidR="0079428C" w:rsidRPr="0060133B" w14:paraId="08860ED0" w14:textId="77777777" w:rsidTr="0060133B">
        <w:trPr>
          <w:trHeight w:val="300"/>
          <w:jc w:val="center"/>
        </w:trPr>
        <w:tc>
          <w:tcPr>
            <w:tcW w:w="2770" w:type="dxa"/>
            <w:shd w:val="clear" w:color="auto" w:fill="auto"/>
            <w:noWrap/>
            <w:vAlign w:val="center"/>
            <w:hideMark/>
          </w:tcPr>
          <w:p w14:paraId="32CF1E44"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Ayudante Líneas</w:t>
            </w:r>
          </w:p>
        </w:tc>
        <w:tc>
          <w:tcPr>
            <w:tcW w:w="3407" w:type="dxa"/>
            <w:shd w:val="clear" w:color="auto" w:fill="auto"/>
            <w:noWrap/>
            <w:vAlign w:val="center"/>
            <w:hideMark/>
          </w:tcPr>
          <w:p w14:paraId="4EC8F629"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Ayudante Estaciones</w:t>
            </w:r>
          </w:p>
        </w:tc>
        <w:tc>
          <w:tcPr>
            <w:tcW w:w="2398" w:type="dxa"/>
            <w:shd w:val="clear" w:color="auto" w:fill="auto"/>
            <w:noWrap/>
            <w:vAlign w:val="center"/>
            <w:hideMark/>
          </w:tcPr>
          <w:p w14:paraId="0E986C79"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Técnico Mantención Terreno II</w:t>
            </w:r>
          </w:p>
        </w:tc>
      </w:tr>
      <w:tr w:rsidR="0079428C" w:rsidRPr="0060133B" w14:paraId="6C2EC167" w14:textId="77777777" w:rsidTr="0060133B">
        <w:trPr>
          <w:trHeight w:val="300"/>
          <w:jc w:val="center"/>
        </w:trPr>
        <w:tc>
          <w:tcPr>
            <w:tcW w:w="2770" w:type="dxa"/>
            <w:shd w:val="clear" w:color="auto" w:fill="auto"/>
            <w:noWrap/>
            <w:vAlign w:val="center"/>
            <w:hideMark/>
          </w:tcPr>
          <w:p w14:paraId="19F30586"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Operador de vehículos especiales Lineas</w:t>
            </w:r>
          </w:p>
        </w:tc>
        <w:tc>
          <w:tcPr>
            <w:tcW w:w="3407" w:type="dxa"/>
            <w:shd w:val="clear" w:color="auto" w:fill="auto"/>
            <w:noWrap/>
            <w:vAlign w:val="center"/>
            <w:hideMark/>
          </w:tcPr>
          <w:p w14:paraId="1B27B5DB"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Operador de vehículos especiales Estaciones</w:t>
            </w:r>
          </w:p>
        </w:tc>
        <w:tc>
          <w:tcPr>
            <w:tcW w:w="2398" w:type="dxa"/>
            <w:shd w:val="clear" w:color="auto" w:fill="auto"/>
            <w:noWrap/>
            <w:vAlign w:val="center"/>
            <w:hideMark/>
          </w:tcPr>
          <w:p w14:paraId="5D7853AB"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Operador II</w:t>
            </w:r>
          </w:p>
        </w:tc>
      </w:tr>
      <w:tr w:rsidR="0079428C" w:rsidRPr="0060133B" w14:paraId="18331B71" w14:textId="77777777" w:rsidTr="0060133B">
        <w:trPr>
          <w:trHeight w:val="300"/>
          <w:jc w:val="center"/>
        </w:trPr>
        <w:tc>
          <w:tcPr>
            <w:tcW w:w="2770" w:type="dxa"/>
            <w:shd w:val="clear" w:color="auto" w:fill="auto"/>
            <w:noWrap/>
            <w:vAlign w:val="center"/>
            <w:hideMark/>
          </w:tcPr>
          <w:p w14:paraId="58BE770A"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 </w:t>
            </w:r>
          </w:p>
        </w:tc>
        <w:tc>
          <w:tcPr>
            <w:tcW w:w="3407" w:type="dxa"/>
            <w:shd w:val="clear" w:color="auto" w:fill="auto"/>
            <w:noWrap/>
            <w:vAlign w:val="center"/>
            <w:hideMark/>
          </w:tcPr>
          <w:p w14:paraId="1DE9A6C2"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Técnico de comunicaciones, control y protecciones</w:t>
            </w:r>
          </w:p>
        </w:tc>
        <w:tc>
          <w:tcPr>
            <w:tcW w:w="2398" w:type="dxa"/>
            <w:shd w:val="clear" w:color="auto" w:fill="auto"/>
            <w:noWrap/>
            <w:vAlign w:val="center"/>
            <w:hideMark/>
          </w:tcPr>
          <w:p w14:paraId="27AF1813"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Instrumentista I</w:t>
            </w:r>
          </w:p>
          <w:p w14:paraId="033B6234" w14:textId="77777777" w:rsidR="0079428C" w:rsidRPr="0060133B" w:rsidRDefault="0079428C" w:rsidP="00C276D3">
            <w:pPr>
              <w:spacing w:after="0"/>
              <w:jc w:val="left"/>
              <w:rPr>
                <w:rFonts w:cs="Calibri"/>
                <w:sz w:val="20"/>
                <w:szCs w:val="20"/>
                <w:lang w:val="es-ES" w:eastAsia="es-AR"/>
              </w:rPr>
            </w:pPr>
          </w:p>
        </w:tc>
      </w:tr>
    </w:tbl>
    <w:p w14:paraId="7BB07A84" w14:textId="77777777" w:rsidR="0079428C" w:rsidRPr="00B06D23" w:rsidRDefault="0079428C" w:rsidP="0079428C">
      <w:pPr>
        <w:rPr>
          <w:rFonts w:cs="Arial"/>
          <w:lang w:val="es-ES"/>
        </w:rPr>
      </w:pPr>
    </w:p>
    <w:p w14:paraId="3C592133" w14:textId="77777777" w:rsidR="0079428C" w:rsidRPr="00B06D23" w:rsidRDefault="0079428C" w:rsidP="0079428C">
      <w:pPr>
        <w:rPr>
          <w:rFonts w:cs="Calibri"/>
          <w:szCs w:val="22"/>
          <w:lang w:val="es-ES" w:eastAsia="es-AR"/>
        </w:rPr>
      </w:pPr>
      <w:r w:rsidRPr="00B06D23">
        <w:rPr>
          <w:rFonts w:cs="Calibri"/>
          <w:szCs w:val="22"/>
          <w:lang w:val="es-ES" w:eastAsia="es-AR"/>
        </w:rPr>
        <w:t>En el Anexo COMA_1_Organización empresaria, se encuentran descriptas las funciones y responsabilidades de los puestos de cuadrillas de terreno de la empresa modelo.</w:t>
      </w:r>
    </w:p>
    <w:p w14:paraId="425B761F" w14:textId="77777777" w:rsidR="0079428C" w:rsidRPr="00B06D23" w:rsidRDefault="0079428C" w:rsidP="0079428C">
      <w:pPr>
        <w:rPr>
          <w:rFonts w:cs="Calibri"/>
          <w:szCs w:val="22"/>
          <w:lang w:val="es-ES" w:eastAsia="es-AR"/>
        </w:rPr>
      </w:pPr>
      <w:r w:rsidRPr="00B06D23">
        <w:rPr>
          <w:rFonts w:cs="Calibri"/>
          <w:szCs w:val="22"/>
          <w:lang w:val="es-ES" w:eastAsia="es-AR"/>
        </w:rPr>
        <w:t>A continuación se describen las funciones y responsabilidades de los puestos homologados de la encuesta PWC para cada uno de los cargos de cuadrillas de terreno de la EM:</w:t>
      </w:r>
    </w:p>
    <w:p w14:paraId="49CF5FDF" w14:textId="77777777" w:rsidR="0079428C" w:rsidRPr="00B06D23" w:rsidRDefault="0079428C" w:rsidP="0079428C">
      <w:pPr>
        <w:rPr>
          <w:rFonts w:cs="Calibri"/>
          <w:szCs w:val="22"/>
          <w:lang w:val="es-ES" w:eastAsia="es-AR"/>
        </w:rPr>
      </w:pPr>
      <w:r w:rsidRPr="00B06D23">
        <w:rPr>
          <w:rFonts w:cs="Calibri"/>
          <w:szCs w:val="22"/>
          <w:lang w:val="es-ES" w:eastAsia="es-AR"/>
        </w:rPr>
        <w:t>Supervisor de Mantención Terreno: Encargado de supervisar a los trabajadores asignados para la mantención y reparación de equipos controlando el cumplimiento de las tareas asignadas y las normas de calidad establecidas.</w:t>
      </w:r>
    </w:p>
    <w:p w14:paraId="339DDB55" w14:textId="77777777" w:rsidR="0079428C" w:rsidRPr="00B06D23" w:rsidRDefault="0079428C" w:rsidP="0079428C">
      <w:pPr>
        <w:rPr>
          <w:rFonts w:cs="Calibri"/>
          <w:szCs w:val="22"/>
          <w:lang w:val="es-ES" w:eastAsia="es-AR"/>
        </w:rPr>
      </w:pPr>
      <w:r w:rsidRPr="00B06D23">
        <w:rPr>
          <w:rFonts w:cs="Calibri"/>
          <w:szCs w:val="22"/>
          <w:lang w:val="es-ES" w:eastAsia="es-AR"/>
        </w:rPr>
        <w:t>Electricista II: Desmonta, repara y monta diferentes tipos de equipos eléctricos. Instala y conecta conductores, descubre los desperfectos con ayuda de instrumentos y repara o reemplaza las piezas rotas o gastadas. Interpreta diagramas, catálogos y planos. Posee una alta calificación técnica. Se diferencia del Electricista I por realizar funciones de naturaleza menos compleja, pero colaborando con él en trabajos de mayor envergadura.</w:t>
      </w:r>
    </w:p>
    <w:p w14:paraId="49F4263E" w14:textId="77777777" w:rsidR="0079428C" w:rsidRPr="00B06D23" w:rsidRDefault="0079428C" w:rsidP="0079428C">
      <w:pPr>
        <w:rPr>
          <w:rFonts w:cs="Calibri"/>
          <w:szCs w:val="22"/>
          <w:lang w:val="es-ES" w:eastAsia="es-AR"/>
        </w:rPr>
      </w:pPr>
      <w:r w:rsidRPr="00B06D23">
        <w:rPr>
          <w:rFonts w:cs="Calibri"/>
          <w:szCs w:val="22"/>
          <w:lang w:val="es-ES" w:eastAsia="es-AR"/>
        </w:rPr>
        <w:t>Técnico Mantención I: Realiza el montaje y mantenimiento de instalaciones mecánicas y equipos accesorios. Interpreta diagramas, catálogos y planos. Maneja los materiales, herramientas y equipos relacionados con su área de trabajo. Ejecuta servicios generales de mecánica de mantenimiento industrial y reparaciones.</w:t>
      </w:r>
    </w:p>
    <w:p w14:paraId="366BF49C" w14:textId="77777777" w:rsidR="0079428C" w:rsidRPr="00B06D23" w:rsidRDefault="0079428C" w:rsidP="0079428C">
      <w:pPr>
        <w:rPr>
          <w:rFonts w:cs="Calibri"/>
          <w:szCs w:val="22"/>
          <w:lang w:val="es-ES" w:eastAsia="es-AR"/>
        </w:rPr>
      </w:pPr>
      <w:r w:rsidRPr="00B06D23">
        <w:rPr>
          <w:rFonts w:cs="Calibri"/>
          <w:szCs w:val="22"/>
          <w:lang w:val="es-ES" w:eastAsia="es-AR"/>
        </w:rPr>
        <w:t>Técnico Mantención Terreno II: Realiza trabajos de mantención y reparación de equipos complejos y otros. Investiga y detecta fallas solucionando, en general, problemas de menor complejidad que aquellos que enfrentan los cargos de ingeniería de mantención. Se diferencia del Técnico de Mantención Terreno I, por tener menor experiencia, desarrollar trabajos más simples y rutinarios y por tener una supervisión frecuente en el desarrollo de su trabajo.</w:t>
      </w:r>
    </w:p>
    <w:p w14:paraId="6693E793" w14:textId="77777777" w:rsidR="0079428C" w:rsidRPr="00B06D23" w:rsidRDefault="0079428C" w:rsidP="0079428C">
      <w:pPr>
        <w:rPr>
          <w:rFonts w:cs="Calibri"/>
          <w:szCs w:val="22"/>
          <w:lang w:val="es-ES" w:eastAsia="es-AR"/>
        </w:rPr>
      </w:pPr>
      <w:r w:rsidRPr="00B06D23">
        <w:rPr>
          <w:rFonts w:cs="Calibri"/>
          <w:szCs w:val="22"/>
          <w:lang w:val="es-ES" w:eastAsia="es-AR"/>
        </w:rPr>
        <w:t>Operador II: Trabajador altamente especializado en la operación de maquinarias, equipos o sistemas secundarios del área productiva. Se diferencia del Operador I por poseer menos experiencia y conocimientos de los equipos que opera. Generalmente debe recibir capacitación específica para la realización de sus funciones.</w:t>
      </w:r>
    </w:p>
    <w:p w14:paraId="5327E99D" w14:textId="77777777" w:rsidR="0079428C" w:rsidRPr="00B06D23" w:rsidRDefault="0079428C" w:rsidP="0079428C">
      <w:pPr>
        <w:rPr>
          <w:rFonts w:cs="Calibri"/>
          <w:szCs w:val="22"/>
          <w:lang w:val="es-ES" w:eastAsia="es-AR"/>
        </w:rPr>
      </w:pPr>
      <w:r w:rsidRPr="00B06D23">
        <w:rPr>
          <w:rFonts w:cs="Calibri"/>
          <w:szCs w:val="22"/>
          <w:lang w:val="es-ES" w:eastAsia="es-AR"/>
        </w:rPr>
        <w:t>Instrumentista I: Realiza rutinas de mantención preventiva de equipos atendiendo urgencias. Calibra instrumentos y mantiene registros. Lee e interpreta planos para la mantención y reparación de sistemas, instrumentos y equipos electrónicos</w:t>
      </w:r>
    </w:p>
    <w:p w14:paraId="3D3A0580" w14:textId="77777777" w:rsidR="0079428C" w:rsidRPr="00B06D23" w:rsidRDefault="0079428C" w:rsidP="0079428C">
      <w:pPr>
        <w:rPr>
          <w:rFonts w:cs="Arial"/>
          <w:lang w:val="es-ES"/>
        </w:rPr>
      </w:pPr>
      <w:r w:rsidRPr="00B06D23">
        <w:rPr>
          <w:rFonts w:cs="Arial"/>
          <w:lang w:val="es-ES"/>
        </w:rPr>
        <w:t>Finalmente para obtener el costo del personal tercerizado a los costos de remuneraciones determinados se les incluyen los costos asociados directamente a la mano de obra en los que incurre el contratista (obligaciones legales y beneficios usualmente pagados por el mercado) más un costo administrativo y utilidades eficientes representativas del mercado de personal tercerizado.</w:t>
      </w:r>
    </w:p>
    <w:p w14:paraId="75F1D4B1" w14:textId="77777777" w:rsidR="0079428C" w:rsidRPr="00B06D23" w:rsidRDefault="0079428C" w:rsidP="0079428C">
      <w:pPr>
        <w:rPr>
          <w:rFonts w:cs="Arial"/>
          <w:lang w:val="es-ES"/>
        </w:rPr>
      </w:pPr>
      <w:r w:rsidRPr="00B06D23">
        <w:rPr>
          <w:rFonts w:cs="Arial"/>
          <w:lang w:val="es-ES"/>
        </w:rPr>
        <w:t>El costo de administración y utilidades se determinan como el fijado por la CNE  en el estudio troncal del año 2013 y que fuera homologado por el Panel de Expertos:</w:t>
      </w:r>
    </w:p>
    <w:p w14:paraId="5979784B" w14:textId="77777777" w:rsidR="0079428C" w:rsidRPr="00B06D23" w:rsidRDefault="0079428C" w:rsidP="002E20CA">
      <w:pPr>
        <w:pStyle w:val="Prrafodelista"/>
        <w:numPr>
          <w:ilvl w:val="0"/>
          <w:numId w:val="48"/>
        </w:numPr>
        <w:rPr>
          <w:rFonts w:asciiTheme="minorHAnsi" w:hAnsiTheme="minorHAnsi" w:cstheme="minorHAnsi"/>
          <w:lang w:val="es-ES"/>
        </w:rPr>
      </w:pPr>
      <w:r w:rsidRPr="00B06D23">
        <w:rPr>
          <w:rFonts w:asciiTheme="minorHAnsi" w:hAnsiTheme="minorHAnsi" w:cstheme="minorHAnsi"/>
          <w:lang w:val="es-ES"/>
        </w:rPr>
        <w:t>Costos de administración: 9,35% del costo laboral</w:t>
      </w:r>
    </w:p>
    <w:p w14:paraId="2408C7F7" w14:textId="77777777" w:rsidR="0079428C" w:rsidRPr="00B06D23" w:rsidRDefault="0079428C" w:rsidP="002E20CA">
      <w:pPr>
        <w:pStyle w:val="Prrafodelista"/>
        <w:numPr>
          <w:ilvl w:val="0"/>
          <w:numId w:val="48"/>
        </w:numPr>
        <w:rPr>
          <w:rFonts w:asciiTheme="minorHAnsi" w:hAnsiTheme="minorHAnsi" w:cstheme="minorHAnsi"/>
          <w:lang w:val="es-ES"/>
        </w:rPr>
      </w:pPr>
      <w:r w:rsidRPr="00B06D23">
        <w:rPr>
          <w:rFonts w:asciiTheme="minorHAnsi" w:hAnsiTheme="minorHAnsi" w:cstheme="minorHAnsi"/>
          <w:lang w:val="es-ES"/>
        </w:rPr>
        <w:t>Utilidad: 4,4% sobre la suma del costo laboral más costo de administración.</w:t>
      </w:r>
    </w:p>
    <w:p w14:paraId="7FEC05B9" w14:textId="77777777" w:rsidR="0079428C" w:rsidRPr="00B06D23" w:rsidRDefault="0079428C" w:rsidP="0079428C">
      <w:pPr>
        <w:rPr>
          <w:rFonts w:cs="Arial"/>
          <w:lang w:val="es-ES"/>
        </w:rPr>
      </w:pPr>
      <w:r w:rsidRPr="00B06D23">
        <w:rPr>
          <w:rFonts w:cs="Arial"/>
          <w:lang w:val="es-ES"/>
        </w:rPr>
        <w:t>En el cuadro siguiente se presenta la comparación de los costos de las remuneraciones de los cargos de terreno para las alternativas de personal propio y tercerizado.</w:t>
      </w:r>
    </w:p>
    <w:p w14:paraId="1CA496DA" w14:textId="77777777" w:rsidR="0079428C" w:rsidRPr="00B06D23" w:rsidRDefault="0079428C" w:rsidP="0079428C">
      <w:pPr>
        <w:rPr>
          <w:rFonts w:cs="Arial"/>
          <w:lang w:val="es-ES"/>
        </w:rPr>
      </w:pPr>
      <w:r w:rsidRPr="00B06D23">
        <w:rPr>
          <w:rFonts w:cs="Arial"/>
          <w:lang w:val="es-ES"/>
        </w:rPr>
        <w:t>De acuerdo a las bases técnicas se ha considerado P25 y P50 para personal tercerizado y personal propio respectivamente, ambos tomados de la encuesta especial.</w:t>
      </w:r>
    </w:p>
    <w:p w14:paraId="2037480A" w14:textId="77777777" w:rsidR="0079428C" w:rsidRPr="00B06D23" w:rsidRDefault="0079428C" w:rsidP="0079428C">
      <w:pPr>
        <w:rPr>
          <w:rFonts w:cs="Arial"/>
          <w:lang w:val="es-ES"/>
        </w:rPr>
      </w:pPr>
    </w:p>
    <w:tbl>
      <w:tblPr>
        <w:tblW w:w="8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5"/>
        <w:gridCol w:w="1843"/>
        <w:gridCol w:w="1984"/>
        <w:gridCol w:w="1360"/>
      </w:tblGrid>
      <w:tr w:rsidR="0079428C" w:rsidRPr="0060133B" w14:paraId="26E4D069" w14:textId="77777777" w:rsidTr="00C276D3">
        <w:trPr>
          <w:trHeight w:val="300"/>
          <w:jc w:val="center"/>
        </w:trPr>
        <w:tc>
          <w:tcPr>
            <w:tcW w:w="3365" w:type="dxa"/>
            <w:shd w:val="clear" w:color="auto" w:fill="auto"/>
            <w:noWrap/>
            <w:vAlign w:val="center"/>
            <w:hideMark/>
          </w:tcPr>
          <w:p w14:paraId="03D36334" w14:textId="77777777" w:rsidR="0079428C" w:rsidRPr="0060133B" w:rsidRDefault="0079428C" w:rsidP="00C276D3">
            <w:pPr>
              <w:spacing w:after="0"/>
              <w:jc w:val="center"/>
              <w:rPr>
                <w:rFonts w:cs="Calibri"/>
                <w:b/>
                <w:bCs/>
                <w:sz w:val="20"/>
                <w:szCs w:val="20"/>
                <w:lang w:val="es-ES" w:eastAsia="es-AR"/>
              </w:rPr>
            </w:pPr>
            <w:r w:rsidRPr="0060133B">
              <w:rPr>
                <w:rFonts w:cs="Calibri"/>
                <w:b/>
                <w:bCs/>
                <w:sz w:val="20"/>
                <w:szCs w:val="20"/>
                <w:lang w:val="es-ES" w:eastAsia="es-AR"/>
              </w:rPr>
              <w:t>Puesto PWC</w:t>
            </w:r>
          </w:p>
        </w:tc>
        <w:tc>
          <w:tcPr>
            <w:tcW w:w="1843" w:type="dxa"/>
            <w:shd w:val="clear" w:color="auto" w:fill="auto"/>
            <w:noWrap/>
            <w:vAlign w:val="center"/>
            <w:hideMark/>
          </w:tcPr>
          <w:p w14:paraId="5F9184E0" w14:textId="77777777" w:rsidR="0079428C" w:rsidRPr="0060133B" w:rsidRDefault="0079428C" w:rsidP="00C276D3">
            <w:pPr>
              <w:spacing w:after="0"/>
              <w:jc w:val="center"/>
              <w:rPr>
                <w:rFonts w:cs="Calibri"/>
                <w:b/>
                <w:bCs/>
                <w:sz w:val="20"/>
                <w:szCs w:val="20"/>
                <w:lang w:val="es-ES" w:eastAsia="es-AR"/>
              </w:rPr>
            </w:pPr>
            <w:r w:rsidRPr="0060133B">
              <w:rPr>
                <w:rFonts w:cs="Calibri"/>
                <w:b/>
                <w:bCs/>
                <w:sz w:val="20"/>
                <w:szCs w:val="20"/>
                <w:lang w:val="es-ES" w:eastAsia="es-AR"/>
              </w:rPr>
              <w:t>Costo Tercerizado (USD/año)</w:t>
            </w:r>
          </w:p>
        </w:tc>
        <w:tc>
          <w:tcPr>
            <w:tcW w:w="1984" w:type="dxa"/>
            <w:shd w:val="clear" w:color="auto" w:fill="auto"/>
            <w:noWrap/>
            <w:vAlign w:val="center"/>
            <w:hideMark/>
          </w:tcPr>
          <w:p w14:paraId="6CA36E0C" w14:textId="77777777" w:rsidR="0079428C" w:rsidRPr="0060133B" w:rsidRDefault="0079428C" w:rsidP="00C276D3">
            <w:pPr>
              <w:spacing w:after="0"/>
              <w:jc w:val="center"/>
              <w:rPr>
                <w:rFonts w:cs="Calibri"/>
                <w:b/>
                <w:bCs/>
                <w:sz w:val="20"/>
                <w:szCs w:val="20"/>
                <w:lang w:val="es-ES" w:eastAsia="es-AR"/>
              </w:rPr>
            </w:pPr>
            <w:r w:rsidRPr="0060133B">
              <w:rPr>
                <w:rFonts w:cs="Calibri"/>
                <w:b/>
                <w:bCs/>
                <w:sz w:val="20"/>
                <w:szCs w:val="20"/>
                <w:lang w:val="es-ES" w:eastAsia="es-AR"/>
              </w:rPr>
              <w:t>Costo Personal Ppio (USD/año)</w:t>
            </w:r>
          </w:p>
        </w:tc>
        <w:tc>
          <w:tcPr>
            <w:tcW w:w="1360" w:type="dxa"/>
            <w:shd w:val="clear" w:color="auto" w:fill="auto"/>
            <w:noWrap/>
            <w:vAlign w:val="center"/>
            <w:hideMark/>
          </w:tcPr>
          <w:p w14:paraId="54C1B90B" w14:textId="77777777" w:rsidR="0079428C" w:rsidRPr="0060133B" w:rsidRDefault="0079428C" w:rsidP="00C276D3">
            <w:pPr>
              <w:spacing w:after="0"/>
              <w:jc w:val="center"/>
              <w:rPr>
                <w:rFonts w:cs="Calibri"/>
                <w:b/>
                <w:bCs/>
                <w:sz w:val="20"/>
                <w:szCs w:val="20"/>
                <w:lang w:val="es-ES" w:eastAsia="es-AR"/>
              </w:rPr>
            </w:pPr>
            <w:r w:rsidRPr="0060133B">
              <w:rPr>
                <w:rFonts w:cs="Calibri"/>
                <w:b/>
                <w:bCs/>
                <w:sz w:val="20"/>
                <w:szCs w:val="20"/>
                <w:lang w:val="es-ES" w:eastAsia="es-AR"/>
              </w:rPr>
              <w:t>Dif Ter/Ppio</w:t>
            </w:r>
          </w:p>
        </w:tc>
      </w:tr>
      <w:tr w:rsidR="0079428C" w:rsidRPr="0060133B" w14:paraId="2658B4B2" w14:textId="77777777" w:rsidTr="00C276D3">
        <w:trPr>
          <w:trHeight w:val="300"/>
          <w:jc w:val="center"/>
        </w:trPr>
        <w:tc>
          <w:tcPr>
            <w:tcW w:w="3365" w:type="dxa"/>
            <w:shd w:val="clear" w:color="auto" w:fill="auto"/>
            <w:noWrap/>
            <w:vAlign w:val="center"/>
            <w:hideMark/>
          </w:tcPr>
          <w:p w14:paraId="331C17D3"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Supervisor de Mantención Terreno</w:t>
            </w:r>
          </w:p>
        </w:tc>
        <w:tc>
          <w:tcPr>
            <w:tcW w:w="1843" w:type="dxa"/>
            <w:shd w:val="clear" w:color="auto" w:fill="auto"/>
            <w:noWrap/>
            <w:hideMark/>
          </w:tcPr>
          <w:p w14:paraId="57CABEA9"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25.916 </w:t>
            </w:r>
          </w:p>
        </w:tc>
        <w:tc>
          <w:tcPr>
            <w:tcW w:w="1984" w:type="dxa"/>
            <w:shd w:val="clear" w:color="auto" w:fill="auto"/>
            <w:noWrap/>
            <w:hideMark/>
          </w:tcPr>
          <w:p w14:paraId="18013E67"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26.670 </w:t>
            </w:r>
          </w:p>
        </w:tc>
        <w:tc>
          <w:tcPr>
            <w:tcW w:w="1360" w:type="dxa"/>
            <w:shd w:val="clear" w:color="auto" w:fill="auto"/>
            <w:noWrap/>
            <w:hideMark/>
          </w:tcPr>
          <w:p w14:paraId="02C3A334" w14:textId="77777777" w:rsidR="0079428C" w:rsidRPr="0060133B" w:rsidRDefault="0079428C" w:rsidP="00C276D3">
            <w:pPr>
              <w:spacing w:after="0"/>
              <w:jc w:val="center"/>
              <w:rPr>
                <w:rFonts w:cs="Calibri"/>
                <w:sz w:val="20"/>
                <w:szCs w:val="20"/>
                <w:lang w:val="es-ES" w:eastAsia="es-AR"/>
              </w:rPr>
            </w:pPr>
            <w:r w:rsidRPr="0060133B">
              <w:rPr>
                <w:sz w:val="20"/>
                <w:szCs w:val="20"/>
              </w:rPr>
              <w:t>-3%</w:t>
            </w:r>
          </w:p>
        </w:tc>
      </w:tr>
      <w:tr w:rsidR="0079428C" w:rsidRPr="0060133B" w14:paraId="0F7CB91F" w14:textId="77777777" w:rsidTr="00C276D3">
        <w:trPr>
          <w:trHeight w:val="300"/>
          <w:jc w:val="center"/>
        </w:trPr>
        <w:tc>
          <w:tcPr>
            <w:tcW w:w="3365" w:type="dxa"/>
            <w:shd w:val="clear" w:color="auto" w:fill="auto"/>
            <w:noWrap/>
            <w:vAlign w:val="center"/>
            <w:hideMark/>
          </w:tcPr>
          <w:p w14:paraId="3418C9FD"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Electricista II</w:t>
            </w:r>
          </w:p>
        </w:tc>
        <w:tc>
          <w:tcPr>
            <w:tcW w:w="1843" w:type="dxa"/>
            <w:shd w:val="clear" w:color="auto" w:fill="auto"/>
            <w:noWrap/>
            <w:hideMark/>
          </w:tcPr>
          <w:p w14:paraId="3609B7AB"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15.670 </w:t>
            </w:r>
          </w:p>
        </w:tc>
        <w:tc>
          <w:tcPr>
            <w:tcW w:w="1984" w:type="dxa"/>
            <w:shd w:val="clear" w:color="auto" w:fill="auto"/>
            <w:noWrap/>
            <w:hideMark/>
          </w:tcPr>
          <w:p w14:paraId="2DD7DCE9"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14.913 </w:t>
            </w:r>
          </w:p>
        </w:tc>
        <w:tc>
          <w:tcPr>
            <w:tcW w:w="1360" w:type="dxa"/>
            <w:shd w:val="clear" w:color="auto" w:fill="auto"/>
            <w:noWrap/>
            <w:hideMark/>
          </w:tcPr>
          <w:p w14:paraId="4D429C8D" w14:textId="77777777" w:rsidR="0079428C" w:rsidRPr="0060133B" w:rsidRDefault="0079428C" w:rsidP="00C276D3">
            <w:pPr>
              <w:spacing w:after="0"/>
              <w:jc w:val="center"/>
              <w:rPr>
                <w:rFonts w:cs="Calibri"/>
                <w:sz w:val="20"/>
                <w:szCs w:val="20"/>
                <w:lang w:val="es-ES" w:eastAsia="es-AR"/>
              </w:rPr>
            </w:pPr>
            <w:r w:rsidRPr="0060133B">
              <w:rPr>
                <w:sz w:val="20"/>
                <w:szCs w:val="20"/>
              </w:rPr>
              <w:t>5%</w:t>
            </w:r>
          </w:p>
        </w:tc>
      </w:tr>
      <w:tr w:rsidR="0079428C" w:rsidRPr="0060133B" w14:paraId="03975B46" w14:textId="77777777" w:rsidTr="00C276D3">
        <w:trPr>
          <w:trHeight w:val="300"/>
          <w:jc w:val="center"/>
        </w:trPr>
        <w:tc>
          <w:tcPr>
            <w:tcW w:w="3365" w:type="dxa"/>
            <w:shd w:val="clear" w:color="auto" w:fill="auto"/>
            <w:noWrap/>
            <w:vAlign w:val="center"/>
            <w:hideMark/>
          </w:tcPr>
          <w:p w14:paraId="3ED6A351"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Técnico Mantención I</w:t>
            </w:r>
          </w:p>
        </w:tc>
        <w:tc>
          <w:tcPr>
            <w:tcW w:w="1843" w:type="dxa"/>
            <w:shd w:val="clear" w:color="auto" w:fill="auto"/>
            <w:noWrap/>
            <w:hideMark/>
          </w:tcPr>
          <w:p w14:paraId="4B443816"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15.048 </w:t>
            </w:r>
          </w:p>
        </w:tc>
        <w:tc>
          <w:tcPr>
            <w:tcW w:w="1984" w:type="dxa"/>
            <w:shd w:val="clear" w:color="auto" w:fill="auto"/>
            <w:noWrap/>
            <w:hideMark/>
          </w:tcPr>
          <w:p w14:paraId="13287FC8"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18.588 </w:t>
            </w:r>
          </w:p>
        </w:tc>
        <w:tc>
          <w:tcPr>
            <w:tcW w:w="1360" w:type="dxa"/>
            <w:shd w:val="clear" w:color="auto" w:fill="auto"/>
            <w:noWrap/>
            <w:hideMark/>
          </w:tcPr>
          <w:p w14:paraId="13BAE2B1" w14:textId="77777777" w:rsidR="0079428C" w:rsidRPr="0060133B" w:rsidRDefault="0079428C" w:rsidP="00C276D3">
            <w:pPr>
              <w:spacing w:after="0"/>
              <w:jc w:val="center"/>
              <w:rPr>
                <w:rFonts w:cs="Calibri"/>
                <w:sz w:val="20"/>
                <w:szCs w:val="20"/>
                <w:lang w:val="es-ES" w:eastAsia="es-AR"/>
              </w:rPr>
            </w:pPr>
            <w:r w:rsidRPr="0060133B">
              <w:rPr>
                <w:sz w:val="20"/>
                <w:szCs w:val="20"/>
              </w:rPr>
              <w:t>-19%</w:t>
            </w:r>
          </w:p>
        </w:tc>
      </w:tr>
      <w:tr w:rsidR="0079428C" w:rsidRPr="0060133B" w14:paraId="122ECAE2" w14:textId="77777777" w:rsidTr="00C276D3">
        <w:trPr>
          <w:trHeight w:val="300"/>
          <w:jc w:val="center"/>
        </w:trPr>
        <w:tc>
          <w:tcPr>
            <w:tcW w:w="3365" w:type="dxa"/>
            <w:shd w:val="clear" w:color="auto" w:fill="auto"/>
            <w:noWrap/>
            <w:vAlign w:val="center"/>
            <w:hideMark/>
          </w:tcPr>
          <w:p w14:paraId="60953E08"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Técnico Mantención Terreno II</w:t>
            </w:r>
          </w:p>
        </w:tc>
        <w:tc>
          <w:tcPr>
            <w:tcW w:w="1843" w:type="dxa"/>
            <w:shd w:val="clear" w:color="auto" w:fill="auto"/>
            <w:noWrap/>
            <w:hideMark/>
          </w:tcPr>
          <w:p w14:paraId="58799C2F"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12.505 </w:t>
            </w:r>
          </w:p>
        </w:tc>
        <w:tc>
          <w:tcPr>
            <w:tcW w:w="1984" w:type="dxa"/>
            <w:shd w:val="clear" w:color="auto" w:fill="auto"/>
            <w:noWrap/>
            <w:hideMark/>
          </w:tcPr>
          <w:p w14:paraId="4C69AAC3"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14.160 </w:t>
            </w:r>
          </w:p>
        </w:tc>
        <w:tc>
          <w:tcPr>
            <w:tcW w:w="1360" w:type="dxa"/>
            <w:shd w:val="clear" w:color="auto" w:fill="auto"/>
            <w:noWrap/>
            <w:hideMark/>
          </w:tcPr>
          <w:p w14:paraId="0CC8E611" w14:textId="77777777" w:rsidR="0079428C" w:rsidRPr="0060133B" w:rsidRDefault="0079428C" w:rsidP="00C276D3">
            <w:pPr>
              <w:spacing w:after="0"/>
              <w:jc w:val="center"/>
              <w:rPr>
                <w:rFonts w:cs="Calibri"/>
                <w:sz w:val="20"/>
                <w:szCs w:val="20"/>
                <w:lang w:val="es-ES" w:eastAsia="es-AR"/>
              </w:rPr>
            </w:pPr>
            <w:r w:rsidRPr="0060133B">
              <w:rPr>
                <w:sz w:val="20"/>
                <w:szCs w:val="20"/>
              </w:rPr>
              <w:t>-12%</w:t>
            </w:r>
          </w:p>
        </w:tc>
      </w:tr>
      <w:tr w:rsidR="0079428C" w:rsidRPr="0060133B" w14:paraId="497430F1" w14:textId="77777777" w:rsidTr="00C276D3">
        <w:trPr>
          <w:trHeight w:val="300"/>
          <w:jc w:val="center"/>
        </w:trPr>
        <w:tc>
          <w:tcPr>
            <w:tcW w:w="3365" w:type="dxa"/>
            <w:shd w:val="clear" w:color="auto" w:fill="auto"/>
            <w:noWrap/>
            <w:vAlign w:val="center"/>
            <w:hideMark/>
          </w:tcPr>
          <w:p w14:paraId="2829F620"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Operador II</w:t>
            </w:r>
          </w:p>
        </w:tc>
        <w:tc>
          <w:tcPr>
            <w:tcW w:w="1843" w:type="dxa"/>
            <w:shd w:val="clear" w:color="auto" w:fill="auto"/>
            <w:noWrap/>
            <w:hideMark/>
          </w:tcPr>
          <w:p w14:paraId="6CD4020A"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15.515 </w:t>
            </w:r>
          </w:p>
        </w:tc>
        <w:tc>
          <w:tcPr>
            <w:tcW w:w="1984" w:type="dxa"/>
            <w:shd w:val="clear" w:color="auto" w:fill="auto"/>
            <w:noWrap/>
            <w:hideMark/>
          </w:tcPr>
          <w:p w14:paraId="1C5F205D"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19.718 </w:t>
            </w:r>
          </w:p>
        </w:tc>
        <w:tc>
          <w:tcPr>
            <w:tcW w:w="1360" w:type="dxa"/>
            <w:shd w:val="clear" w:color="auto" w:fill="auto"/>
            <w:noWrap/>
            <w:hideMark/>
          </w:tcPr>
          <w:p w14:paraId="08694477" w14:textId="77777777" w:rsidR="0079428C" w:rsidRPr="0060133B" w:rsidRDefault="0079428C" w:rsidP="00C276D3">
            <w:pPr>
              <w:spacing w:after="0"/>
              <w:jc w:val="center"/>
              <w:rPr>
                <w:rFonts w:cs="Calibri"/>
                <w:sz w:val="20"/>
                <w:szCs w:val="20"/>
                <w:lang w:val="es-ES" w:eastAsia="es-AR"/>
              </w:rPr>
            </w:pPr>
            <w:r w:rsidRPr="0060133B">
              <w:rPr>
                <w:sz w:val="20"/>
                <w:szCs w:val="20"/>
              </w:rPr>
              <w:t>-21%</w:t>
            </w:r>
          </w:p>
        </w:tc>
      </w:tr>
      <w:tr w:rsidR="0079428C" w:rsidRPr="0060133B" w14:paraId="0BDC0C43" w14:textId="77777777" w:rsidTr="00C276D3">
        <w:trPr>
          <w:trHeight w:val="300"/>
          <w:jc w:val="center"/>
        </w:trPr>
        <w:tc>
          <w:tcPr>
            <w:tcW w:w="3365" w:type="dxa"/>
            <w:shd w:val="clear" w:color="auto" w:fill="auto"/>
            <w:noWrap/>
            <w:vAlign w:val="center"/>
            <w:hideMark/>
          </w:tcPr>
          <w:p w14:paraId="098671BC" w14:textId="77777777" w:rsidR="0079428C" w:rsidRPr="0060133B" w:rsidRDefault="0079428C" w:rsidP="00C276D3">
            <w:pPr>
              <w:spacing w:after="0"/>
              <w:jc w:val="left"/>
              <w:rPr>
                <w:rFonts w:cs="Calibri"/>
                <w:sz w:val="20"/>
                <w:szCs w:val="20"/>
                <w:lang w:val="es-ES" w:eastAsia="es-AR"/>
              </w:rPr>
            </w:pPr>
            <w:r w:rsidRPr="0060133B">
              <w:rPr>
                <w:rFonts w:cs="Calibri"/>
                <w:sz w:val="20"/>
                <w:szCs w:val="20"/>
                <w:lang w:val="es-ES" w:eastAsia="es-AR"/>
              </w:rPr>
              <w:t>Instrumentista I</w:t>
            </w:r>
          </w:p>
        </w:tc>
        <w:tc>
          <w:tcPr>
            <w:tcW w:w="1843" w:type="dxa"/>
            <w:shd w:val="clear" w:color="auto" w:fill="auto"/>
            <w:noWrap/>
            <w:hideMark/>
          </w:tcPr>
          <w:p w14:paraId="05C5E728"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   </w:t>
            </w:r>
          </w:p>
        </w:tc>
        <w:tc>
          <w:tcPr>
            <w:tcW w:w="1984" w:type="dxa"/>
            <w:shd w:val="clear" w:color="auto" w:fill="auto"/>
            <w:noWrap/>
            <w:hideMark/>
          </w:tcPr>
          <w:p w14:paraId="1441A34E" w14:textId="77777777" w:rsidR="0079428C" w:rsidRPr="0060133B" w:rsidRDefault="0079428C" w:rsidP="00C276D3">
            <w:pPr>
              <w:spacing w:after="0"/>
              <w:jc w:val="center"/>
              <w:rPr>
                <w:rFonts w:cs="Calibri"/>
                <w:sz w:val="20"/>
                <w:szCs w:val="20"/>
                <w:lang w:val="es-ES" w:eastAsia="es-AR"/>
              </w:rPr>
            </w:pPr>
            <w:r w:rsidRPr="0060133B">
              <w:rPr>
                <w:sz w:val="20"/>
                <w:szCs w:val="20"/>
              </w:rPr>
              <w:t xml:space="preserve"> 25.135 </w:t>
            </w:r>
          </w:p>
        </w:tc>
        <w:tc>
          <w:tcPr>
            <w:tcW w:w="1360" w:type="dxa"/>
            <w:shd w:val="clear" w:color="auto" w:fill="auto"/>
            <w:noWrap/>
            <w:hideMark/>
          </w:tcPr>
          <w:p w14:paraId="35229C89" w14:textId="77777777" w:rsidR="0079428C" w:rsidRPr="0060133B" w:rsidRDefault="0079428C" w:rsidP="00C276D3">
            <w:pPr>
              <w:spacing w:after="0"/>
              <w:jc w:val="center"/>
              <w:rPr>
                <w:rFonts w:cs="Calibri"/>
                <w:sz w:val="20"/>
                <w:szCs w:val="20"/>
                <w:lang w:val="es-ES" w:eastAsia="es-AR"/>
              </w:rPr>
            </w:pPr>
          </w:p>
        </w:tc>
      </w:tr>
    </w:tbl>
    <w:p w14:paraId="13CF2DAD" w14:textId="77777777" w:rsidR="0079428C" w:rsidRPr="00B06D23" w:rsidRDefault="0079428C" w:rsidP="0079428C">
      <w:pPr>
        <w:rPr>
          <w:lang w:val="es-ES"/>
        </w:rPr>
      </w:pPr>
    </w:p>
    <w:p w14:paraId="0E17F654" w14:textId="77777777" w:rsidR="0079428C" w:rsidRPr="00B06D23" w:rsidRDefault="0079428C" w:rsidP="0079428C">
      <w:pPr>
        <w:rPr>
          <w:lang w:val="es-ES"/>
        </w:rPr>
      </w:pPr>
      <w:r w:rsidRPr="00B06D23">
        <w:rPr>
          <w:lang w:val="es-ES"/>
        </w:rPr>
        <w:t>No se compara el instrumentista dado que estas  tareas que son realizadas por personal propio como se explicó en análisis estratégico de tercerización y requieren un gran nivel de especialización debido a su complejidad, cantidad de marcas y tipos de equipos involucrados y la permanente evolución de las tecnología.</w:t>
      </w:r>
    </w:p>
    <w:p w14:paraId="4851BBFF" w14:textId="77777777" w:rsidR="0079428C" w:rsidRPr="00B06D23" w:rsidRDefault="0079428C" w:rsidP="0079428C">
      <w:pPr>
        <w:rPr>
          <w:lang w:val="es-ES"/>
        </w:rPr>
      </w:pPr>
      <w:r w:rsidRPr="00B06D23">
        <w:rPr>
          <w:lang w:val="es-ES"/>
        </w:rPr>
        <w:t>Es evidente que los cargos en los cuales el valor de la mano de obra tercerizada es inferior al costo del mismo cargo en la empresa, son directamente contratados con terceros. Sin embargo, existen cargos en los cuales el costo de tercerización puede ser superior al costo empresa, pero las empresas igualmente optan por tercerizar, aun cuando la diferencia de costos se ubique en un rango entre 5% y 10%.</w:t>
      </w:r>
    </w:p>
    <w:p w14:paraId="02A60A6B" w14:textId="77777777" w:rsidR="0079428C" w:rsidRPr="00B06D23" w:rsidRDefault="0079428C" w:rsidP="0079428C">
      <w:pPr>
        <w:rPr>
          <w:lang w:val="es-ES"/>
        </w:rPr>
      </w:pPr>
      <w:r w:rsidRPr="00B06D23">
        <w:rPr>
          <w:lang w:val="es-ES"/>
        </w:rPr>
        <w:t>Las empresas tercerizan su mano de obra aún con estos porcentajes, debido a que evalúan que existen beneficios asociados, que compensan los mayores costos. Estos beneficios incluyen elementos cuantitativos y cualitativos tales como: i) se eliminan los costos laborales asociados a las ausencias y se cuenta con un reemplazo ágil del trabajador en caso de ausencias o enfermedad; ii) se reducen los gastos en áreas de apoyo y gastos generales.; iii) se eliminan las ineficiencias de las holguras dado que se paga solo la mano de obra demandada lo que evita tener personal ocioso cuando el mismo no es requerido especialmente en las tareas con picos de trabajo iv) se ha constatado en la práctica de las empresas que es más fácil supervisar y controlar un cargo de outsourcing que un empleado propio; v) se disminuyen considerablemente los costos de supervisión y esta se hace más eficiente.</w:t>
      </w:r>
    </w:p>
    <w:p w14:paraId="36EA6A1D" w14:textId="77777777" w:rsidR="0079428C" w:rsidRPr="00F465C5" w:rsidRDefault="0079428C" w:rsidP="0079428C">
      <w:pPr>
        <w:pStyle w:val="Ttulo3"/>
      </w:pPr>
      <w:bookmarkStart w:id="128" w:name="_Toc32389956"/>
      <w:bookmarkStart w:id="129" w:name="_Toc34398113"/>
      <w:bookmarkStart w:id="130" w:name="_Toc34687207"/>
      <w:r w:rsidRPr="00F465C5">
        <w:t>Valorización de los recursos a precios de mercado</w:t>
      </w:r>
      <w:bookmarkEnd w:id="128"/>
      <w:bookmarkEnd w:id="129"/>
      <w:bookmarkEnd w:id="130"/>
    </w:p>
    <w:p w14:paraId="59F599B3" w14:textId="77777777" w:rsidR="0079428C" w:rsidRPr="00B06D23" w:rsidRDefault="0079428C" w:rsidP="0079428C">
      <w:pPr>
        <w:rPr>
          <w:lang w:val="es-ES"/>
        </w:rPr>
      </w:pPr>
      <w:r w:rsidRPr="00B06D23">
        <w:rPr>
          <w:lang w:val="es-ES"/>
        </w:rPr>
        <w:t>Los recursos físicos de mano de obra, materiales, insumos y servicios calculados en la etapa anterior se valorizan a precios de mercado.</w:t>
      </w:r>
    </w:p>
    <w:p w14:paraId="3E165D97" w14:textId="77777777" w:rsidR="0079428C" w:rsidRPr="00B06D23" w:rsidRDefault="0079428C" w:rsidP="0079428C">
      <w:pPr>
        <w:rPr>
          <w:lang w:val="es-ES"/>
        </w:rPr>
      </w:pPr>
      <w:bookmarkStart w:id="131" w:name="_Toc149716234"/>
      <w:r w:rsidRPr="00B06D23">
        <w:rPr>
          <w:lang w:val="es-ES"/>
        </w:rPr>
        <w:t xml:space="preserve">Los costos unitarios utilizados para la valorización </w:t>
      </w:r>
      <w:bookmarkEnd w:id="131"/>
      <w:r w:rsidRPr="00B06D23">
        <w:rPr>
          <w:lang w:val="es-ES"/>
        </w:rPr>
        <w:t>fueron:</w:t>
      </w:r>
    </w:p>
    <w:p w14:paraId="7B114377" w14:textId="77777777" w:rsidR="0079428C" w:rsidRPr="00B06D23" w:rsidRDefault="0079428C" w:rsidP="002E20CA">
      <w:pPr>
        <w:numPr>
          <w:ilvl w:val="0"/>
          <w:numId w:val="25"/>
        </w:numPr>
        <w:spacing w:after="120" w:line="259" w:lineRule="auto"/>
        <w:ind w:left="360"/>
        <w:jc w:val="left"/>
        <w:rPr>
          <w:lang w:val="es-ES"/>
        </w:rPr>
      </w:pPr>
      <w:r w:rsidRPr="00B06D23">
        <w:rPr>
          <w:lang w:val="es-ES"/>
        </w:rPr>
        <w:t>Mano de obra: según resultados de la encuesta remuneraciones y análisis de tercerización que se desarrollo en el informe.</w:t>
      </w:r>
    </w:p>
    <w:p w14:paraId="605635B9" w14:textId="77777777" w:rsidR="0079428C" w:rsidRPr="00B06D23" w:rsidRDefault="0079428C" w:rsidP="002E20CA">
      <w:pPr>
        <w:numPr>
          <w:ilvl w:val="0"/>
          <w:numId w:val="25"/>
        </w:numPr>
        <w:spacing w:after="120" w:line="259" w:lineRule="auto"/>
        <w:ind w:left="360"/>
        <w:rPr>
          <w:lang w:val="es-ES"/>
        </w:rPr>
      </w:pPr>
      <w:r w:rsidRPr="00B06D23">
        <w:rPr>
          <w:lang w:val="es-ES"/>
        </w:rPr>
        <w:t>Equipos y herramientas de trabajo, y vehículos: según cotizaciones  que surgen de relevamiento de mercado y antecedentes regulatorios.</w:t>
      </w:r>
    </w:p>
    <w:p w14:paraId="6657E008" w14:textId="77777777" w:rsidR="0079428C" w:rsidRPr="00B06D23" w:rsidRDefault="0079428C" w:rsidP="002E20CA">
      <w:pPr>
        <w:numPr>
          <w:ilvl w:val="0"/>
          <w:numId w:val="25"/>
        </w:numPr>
        <w:spacing w:line="259" w:lineRule="auto"/>
        <w:ind w:left="360"/>
        <w:jc w:val="left"/>
        <w:rPr>
          <w:lang w:val="es-ES"/>
        </w:rPr>
      </w:pPr>
      <w:r w:rsidRPr="00B06D23">
        <w:rPr>
          <w:lang w:val="es-ES"/>
        </w:rPr>
        <w:t>Repuestos: costos unitarios consistentes con los costos de los componentes utilizados en el VI y relevamiento de mercado para materiales menores.</w:t>
      </w:r>
    </w:p>
    <w:p w14:paraId="543A8D57" w14:textId="77777777" w:rsidR="0079428C" w:rsidRPr="00B06D23" w:rsidRDefault="0079428C" w:rsidP="0079428C">
      <w:pPr>
        <w:rPr>
          <w:lang w:val="es-ES"/>
        </w:rPr>
      </w:pPr>
      <w:r w:rsidRPr="00B06D23">
        <w:rPr>
          <w:lang w:val="es-ES"/>
        </w:rPr>
        <w:t>Los costos de los recursos modelados, se han valorizan según costos de mercado, considerando su valor al 31 de diciembre de 2017 y posteriormente su equivalencia en dólares, utilizando para ello el valor promedio mensual del dólar observado publicado por el Banco Central para el mes de diciembre de 2017.</w:t>
      </w:r>
    </w:p>
    <w:p w14:paraId="654D14CD" w14:textId="77777777" w:rsidR="0079428C" w:rsidRPr="00FD055F" w:rsidRDefault="0079428C" w:rsidP="0079428C">
      <w:pPr>
        <w:pStyle w:val="Ttulo4"/>
      </w:pPr>
      <w:bookmarkStart w:id="132" w:name="_Toc391381236"/>
      <w:bookmarkStart w:id="133" w:name="_Toc392764067"/>
      <w:bookmarkStart w:id="134" w:name="_Toc397926161"/>
      <w:bookmarkStart w:id="135" w:name="_Toc404945295"/>
      <w:bookmarkStart w:id="136" w:name="_Toc34398114"/>
      <w:bookmarkStart w:id="137" w:name="_Toc34687208"/>
      <w:r w:rsidRPr="00FD055F">
        <w:t>Personal propio</w:t>
      </w:r>
      <w:bookmarkEnd w:id="132"/>
      <w:bookmarkEnd w:id="133"/>
      <w:bookmarkEnd w:id="134"/>
      <w:bookmarkEnd w:id="135"/>
      <w:bookmarkEnd w:id="136"/>
      <w:bookmarkEnd w:id="137"/>
    </w:p>
    <w:p w14:paraId="5923E047" w14:textId="77777777" w:rsidR="0079428C" w:rsidRPr="00B06D23" w:rsidRDefault="0079428C" w:rsidP="0079428C">
      <w:pPr>
        <w:rPr>
          <w:lang w:val="es-ES"/>
        </w:rPr>
      </w:pPr>
      <w:r w:rsidRPr="00B06D23">
        <w:rPr>
          <w:lang w:val="es-ES"/>
        </w:rPr>
        <w:t>Los costos unitarios de las remuneraciones del personal de la empresa, se obtienen a partir del procesamiento de una encuesta de remuneraciones, donde se realiza un proceso de homologación de cada uno de los cargos modelados con los cargos encuestados. La metodología específica se desarrolla en el punto respectivo.</w:t>
      </w:r>
    </w:p>
    <w:p w14:paraId="505FDB89" w14:textId="77777777" w:rsidR="0079428C" w:rsidRPr="00FD055F" w:rsidRDefault="0079428C" w:rsidP="0079428C">
      <w:pPr>
        <w:pStyle w:val="Ttulo4"/>
      </w:pPr>
      <w:bookmarkStart w:id="138" w:name="_Toc391381237"/>
      <w:bookmarkStart w:id="139" w:name="_Toc392764068"/>
      <w:bookmarkStart w:id="140" w:name="_Toc397926162"/>
      <w:bookmarkStart w:id="141" w:name="_Toc404945296"/>
      <w:bookmarkStart w:id="142" w:name="_Toc34398115"/>
      <w:bookmarkStart w:id="143" w:name="_Toc34687209"/>
      <w:r w:rsidRPr="00FD055F">
        <w:t>Servicios de operación y mantenimiento tercerizados</w:t>
      </w:r>
      <w:bookmarkEnd w:id="138"/>
      <w:bookmarkEnd w:id="139"/>
      <w:bookmarkEnd w:id="140"/>
      <w:bookmarkEnd w:id="141"/>
      <w:bookmarkEnd w:id="142"/>
      <w:bookmarkEnd w:id="143"/>
    </w:p>
    <w:p w14:paraId="0875E526" w14:textId="77777777" w:rsidR="0079428C" w:rsidRPr="00B06D23" w:rsidRDefault="0079428C" w:rsidP="0079428C">
      <w:pPr>
        <w:rPr>
          <w:lang w:val="es-ES"/>
        </w:rPr>
      </w:pPr>
      <w:r w:rsidRPr="00B06D23">
        <w:rPr>
          <w:lang w:val="es-ES"/>
        </w:rPr>
        <w:t xml:space="preserve">Las tareas susceptibles de tercerizar se valorizan con los costos de un contratista eficiente en la medida que resulte económicamente conveniente la ejecución tercerizada. Este análisis de presentó en el capítulo de “Analisis de tercerizacion de actividades” </w:t>
      </w:r>
    </w:p>
    <w:p w14:paraId="2DE49622" w14:textId="77777777" w:rsidR="0079428C" w:rsidRPr="00B06D23" w:rsidRDefault="0079428C" w:rsidP="0079428C">
      <w:pPr>
        <w:rPr>
          <w:lang w:val="es-ES"/>
        </w:rPr>
      </w:pPr>
      <w:r w:rsidRPr="00B06D23">
        <w:rPr>
          <w:lang w:val="es-ES"/>
        </w:rPr>
        <w:t>Estos servicios vinculados a las tareas de operación y mantenimiento en terreno que se consideran tercerizadas se valorizan considerando el cálculo de un contratista eficiente a partir de los costos de personal obtenidos de la encuesta de remuneraciones con la consideración de un margen para cubrir costos administrativos y utilidades del contratista.</w:t>
      </w:r>
    </w:p>
    <w:p w14:paraId="35605A16" w14:textId="77777777" w:rsidR="0079428C" w:rsidRPr="00B06D23" w:rsidRDefault="0079428C" w:rsidP="0079428C">
      <w:pPr>
        <w:rPr>
          <w:lang w:val="es-ES"/>
        </w:rPr>
      </w:pPr>
      <w:r w:rsidRPr="00B06D23">
        <w:rPr>
          <w:lang w:val="es-ES"/>
        </w:rPr>
        <w:t>Adicionalmente se han considerado como parte del costo del contratista los costos de los vehículos, equipos y herramientas obtenidos de cotizaciones del mercado habitual de proveedores.</w:t>
      </w:r>
    </w:p>
    <w:p w14:paraId="4C6CDFA0" w14:textId="77777777" w:rsidR="0079428C" w:rsidRPr="00B06D23" w:rsidRDefault="0079428C" w:rsidP="0079428C">
      <w:pPr>
        <w:rPr>
          <w:lang w:val="es-ES"/>
        </w:rPr>
      </w:pPr>
      <w:r w:rsidRPr="00B06D23">
        <w:rPr>
          <w:lang w:val="es-ES"/>
        </w:rPr>
        <w:t>Para los vehículos se consideran dos componentes de costo:</w:t>
      </w:r>
    </w:p>
    <w:p w14:paraId="07CBCA9B" w14:textId="77777777" w:rsidR="0079428C" w:rsidRPr="00B06D23" w:rsidRDefault="0079428C" w:rsidP="002E20CA">
      <w:pPr>
        <w:numPr>
          <w:ilvl w:val="0"/>
          <w:numId w:val="27"/>
        </w:numPr>
        <w:spacing w:after="120" w:line="259" w:lineRule="auto"/>
        <w:ind w:left="567" w:hanging="567"/>
        <w:jc w:val="left"/>
        <w:rPr>
          <w:lang w:val="es-ES"/>
        </w:rPr>
      </w:pPr>
      <w:r w:rsidRPr="00B06D23">
        <w:rPr>
          <w:lang w:val="es-ES"/>
        </w:rPr>
        <w:t>Costo fijo: costo de alquiler anual del vehículo o costo de compra en caso de tratarse de un vehiculo propio. En este ultimo caso se valoriza con fines comparativos con la anualidad del costo de capital más los costos fijos (permisos, revisión técnica, gestión del parque de vehículos, mantenimiento, vehiculo sustituto, mantenimiento, etc).</w:t>
      </w:r>
    </w:p>
    <w:p w14:paraId="302848BE" w14:textId="77777777" w:rsidR="0079428C" w:rsidRPr="00B06D23" w:rsidRDefault="0079428C" w:rsidP="002E20CA">
      <w:pPr>
        <w:numPr>
          <w:ilvl w:val="0"/>
          <w:numId w:val="27"/>
        </w:numPr>
        <w:spacing w:line="259" w:lineRule="auto"/>
        <w:ind w:left="567" w:hanging="567"/>
        <w:jc w:val="left"/>
        <w:rPr>
          <w:lang w:val="es-ES"/>
        </w:rPr>
      </w:pPr>
      <w:r w:rsidRPr="00B06D23">
        <w:rPr>
          <w:lang w:val="es-ES"/>
        </w:rPr>
        <w:t>Costo variable: que es el combustible asociado a la cantidad de km recorridos teniendo en cuenta el costo de combustible y el rendimiento de consumo del vehículo, mas los costos de peajes.</w:t>
      </w:r>
    </w:p>
    <w:p w14:paraId="147B6FDA" w14:textId="77777777" w:rsidR="0079428C" w:rsidRPr="00B06D23" w:rsidRDefault="0079428C" w:rsidP="0079428C">
      <w:pPr>
        <w:rPr>
          <w:lang w:val="es-ES"/>
        </w:rPr>
      </w:pPr>
      <w:r w:rsidRPr="00B06D23">
        <w:rPr>
          <w:lang w:val="es-ES"/>
        </w:rPr>
        <w:t>Se efectuó el análisis de la conveniencia entre alquiler vs compra que se presenta en el capítulo de BM&amp;I.</w:t>
      </w:r>
    </w:p>
    <w:p w14:paraId="5E7EB4F7" w14:textId="77777777" w:rsidR="0079428C" w:rsidRPr="00B06D23" w:rsidRDefault="0079428C" w:rsidP="0079428C">
      <w:pPr>
        <w:rPr>
          <w:lang w:val="es-ES"/>
        </w:rPr>
      </w:pPr>
      <w:r w:rsidRPr="00B06D23">
        <w:rPr>
          <w:lang w:val="es-ES"/>
        </w:rPr>
        <w:t xml:space="preserve">Los costos de herramientas y equipos de las cuadrillas tercerizadas se han definido en funcion del tipo de tarea que realiza cada Cuadrilla. </w:t>
      </w:r>
    </w:p>
    <w:p w14:paraId="3DF15F77" w14:textId="77777777" w:rsidR="0079428C" w:rsidRPr="00B06D23" w:rsidRDefault="0079428C" w:rsidP="0079428C">
      <w:pPr>
        <w:rPr>
          <w:lang w:val="es-ES"/>
        </w:rPr>
      </w:pPr>
      <w:r w:rsidRPr="00B06D23">
        <w:rPr>
          <w:lang w:val="es-ES"/>
        </w:rPr>
        <w:t>Adicionalmente se considera los elementos de seguridad personal que debe llevar cada operario que integra la cuadrilla.</w:t>
      </w:r>
    </w:p>
    <w:p w14:paraId="6FE83C1B" w14:textId="77777777" w:rsidR="0079428C" w:rsidRPr="00B06D23" w:rsidRDefault="0079428C" w:rsidP="0079428C">
      <w:pPr>
        <w:rPr>
          <w:lang w:val="es-ES"/>
        </w:rPr>
      </w:pPr>
      <w:r w:rsidRPr="00B06D23">
        <w:rPr>
          <w:lang w:val="es-ES"/>
        </w:rPr>
        <w:t xml:space="preserve">El  KIT </w:t>
      </w:r>
      <w:r w:rsidRPr="00B06D23">
        <w:rPr>
          <w:rStyle w:val="Refdenotaalpie"/>
          <w:lang w:val="es-ES"/>
        </w:rPr>
        <w:footnoteReference w:id="19"/>
      </w:r>
      <w:r w:rsidRPr="00B06D23">
        <w:rPr>
          <w:lang w:val="es-ES"/>
        </w:rPr>
        <w:t xml:space="preserve"> de herramientas (KITH) y elementos de seguridad (KITS)  del operario que integra cada cuadrilla se presenta en el Anexo Anexo COMA_3 Modelo/Datos/Herramientas Cuadrillas</w:t>
      </w:r>
    </w:p>
    <w:p w14:paraId="3B56DCE2" w14:textId="77777777" w:rsidR="0079428C" w:rsidRPr="00B06D23" w:rsidRDefault="0079428C" w:rsidP="0079428C">
      <w:pPr>
        <w:rPr>
          <w:lang w:val="es-ES"/>
        </w:rPr>
      </w:pPr>
      <w:r w:rsidRPr="00B06D23">
        <w:rPr>
          <w:lang w:val="es-ES"/>
        </w:rPr>
        <w:t>Sobre la base de los costos señalados se calcula un costo anual de cuadrilla como la suma de los costos de personal tercerizado, vehículos, y el costo de las herramientas anualizado.</w:t>
      </w:r>
    </w:p>
    <w:p w14:paraId="0E64945C" w14:textId="77777777" w:rsidR="0079428C" w:rsidRPr="00B06D23" w:rsidRDefault="0079428C" w:rsidP="0079428C">
      <w:pPr>
        <w:rPr>
          <w:lang w:val="es-ES"/>
        </w:rPr>
      </w:pPr>
      <w:r w:rsidRPr="00B06D23">
        <w:rPr>
          <w:lang w:val="es-ES"/>
        </w:rPr>
        <w:t>Los costos de las cuadrillas tercerizadas que resultan son:</w:t>
      </w:r>
    </w:p>
    <w:tbl>
      <w:tblPr>
        <w:tblW w:w="9765" w:type="dxa"/>
        <w:tblInd w:w="65" w:type="dxa"/>
        <w:tblCellMar>
          <w:left w:w="70" w:type="dxa"/>
          <w:right w:w="70" w:type="dxa"/>
        </w:tblCellMar>
        <w:tblLook w:val="04A0" w:firstRow="1" w:lastRow="0" w:firstColumn="1" w:lastColumn="0" w:noHBand="0" w:noVBand="1"/>
      </w:tblPr>
      <w:tblGrid>
        <w:gridCol w:w="976"/>
        <w:gridCol w:w="2500"/>
        <w:gridCol w:w="916"/>
        <w:gridCol w:w="960"/>
        <w:gridCol w:w="1135"/>
        <w:gridCol w:w="925"/>
        <w:gridCol w:w="877"/>
        <w:gridCol w:w="1476"/>
      </w:tblGrid>
      <w:tr w:rsidR="0079428C" w:rsidRPr="00B06D23" w14:paraId="03BF2DD7" w14:textId="77777777" w:rsidTr="00C276D3">
        <w:trPr>
          <w:trHeight w:val="290"/>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C411F"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 </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5C7B28D6"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 </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14:paraId="7BDA8D21" w14:textId="77777777" w:rsidR="0079428C" w:rsidRPr="00B06D23" w:rsidRDefault="0079428C" w:rsidP="00C276D3">
            <w:pPr>
              <w:spacing w:after="0" w:line="240" w:lineRule="auto"/>
              <w:jc w:val="center"/>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Costo Personal</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A6520B4" w14:textId="77777777" w:rsidR="0079428C" w:rsidRPr="00B06D23" w:rsidRDefault="0079428C" w:rsidP="00C276D3">
            <w:pPr>
              <w:spacing w:after="0" w:line="240" w:lineRule="auto"/>
              <w:jc w:val="center"/>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Costo Vehiculos</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14:paraId="64A45AA7" w14:textId="77777777" w:rsidR="0079428C" w:rsidRPr="00B06D23" w:rsidRDefault="0079428C" w:rsidP="00C276D3">
            <w:pPr>
              <w:spacing w:after="0" w:line="240" w:lineRule="auto"/>
              <w:jc w:val="center"/>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Costo Herramientas</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14:paraId="10369A87" w14:textId="77777777" w:rsidR="0079428C" w:rsidRPr="00B06D23" w:rsidRDefault="0079428C" w:rsidP="00C276D3">
            <w:pPr>
              <w:spacing w:after="0" w:line="240" w:lineRule="auto"/>
              <w:jc w:val="center"/>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Costo Cuadrilla</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19D2E910" w14:textId="77777777" w:rsidR="0079428C" w:rsidRPr="00B06D23" w:rsidRDefault="0079428C" w:rsidP="00C276D3">
            <w:pPr>
              <w:spacing w:after="0" w:line="240" w:lineRule="auto"/>
              <w:jc w:val="center"/>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Pernocte</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14:paraId="4B43D13F" w14:textId="77777777" w:rsidR="0079428C" w:rsidRPr="00B06D23" w:rsidRDefault="0079428C" w:rsidP="00C276D3">
            <w:pPr>
              <w:spacing w:after="0" w:line="240" w:lineRule="auto"/>
              <w:jc w:val="center"/>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Costo Combustible/Peajes</w:t>
            </w:r>
          </w:p>
        </w:tc>
      </w:tr>
      <w:tr w:rsidR="0079428C" w:rsidRPr="00B06D23" w14:paraId="2F542C26"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584E3D50"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Código Cuadrilla</w:t>
            </w:r>
          </w:p>
        </w:tc>
        <w:tc>
          <w:tcPr>
            <w:tcW w:w="2500" w:type="dxa"/>
            <w:tcBorders>
              <w:top w:val="nil"/>
              <w:left w:val="nil"/>
              <w:bottom w:val="single" w:sz="4" w:space="0" w:color="auto"/>
              <w:right w:val="single" w:sz="4" w:space="0" w:color="auto"/>
            </w:tcBorders>
            <w:shd w:val="clear" w:color="auto" w:fill="auto"/>
            <w:noWrap/>
            <w:vAlign w:val="center"/>
            <w:hideMark/>
          </w:tcPr>
          <w:p w14:paraId="4C930658"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Descripción</w:t>
            </w:r>
          </w:p>
        </w:tc>
        <w:tc>
          <w:tcPr>
            <w:tcW w:w="916" w:type="dxa"/>
            <w:tcBorders>
              <w:top w:val="nil"/>
              <w:left w:val="nil"/>
              <w:bottom w:val="single" w:sz="4" w:space="0" w:color="auto"/>
              <w:right w:val="single" w:sz="4" w:space="0" w:color="auto"/>
            </w:tcBorders>
            <w:shd w:val="clear" w:color="auto" w:fill="auto"/>
            <w:noWrap/>
            <w:vAlign w:val="bottom"/>
            <w:hideMark/>
          </w:tcPr>
          <w:p w14:paraId="3F674778"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USD/año</w:t>
            </w:r>
          </w:p>
        </w:tc>
        <w:tc>
          <w:tcPr>
            <w:tcW w:w="960" w:type="dxa"/>
            <w:tcBorders>
              <w:top w:val="nil"/>
              <w:left w:val="nil"/>
              <w:bottom w:val="single" w:sz="4" w:space="0" w:color="auto"/>
              <w:right w:val="single" w:sz="4" w:space="0" w:color="auto"/>
            </w:tcBorders>
            <w:shd w:val="clear" w:color="auto" w:fill="auto"/>
            <w:noWrap/>
            <w:vAlign w:val="bottom"/>
            <w:hideMark/>
          </w:tcPr>
          <w:p w14:paraId="782D96D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USD/año</w:t>
            </w:r>
          </w:p>
        </w:tc>
        <w:tc>
          <w:tcPr>
            <w:tcW w:w="1135" w:type="dxa"/>
            <w:tcBorders>
              <w:top w:val="nil"/>
              <w:left w:val="nil"/>
              <w:bottom w:val="single" w:sz="4" w:space="0" w:color="auto"/>
              <w:right w:val="single" w:sz="4" w:space="0" w:color="auto"/>
            </w:tcBorders>
            <w:shd w:val="clear" w:color="auto" w:fill="auto"/>
            <w:noWrap/>
            <w:vAlign w:val="bottom"/>
            <w:hideMark/>
          </w:tcPr>
          <w:p w14:paraId="0800A48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USD/año</w:t>
            </w:r>
          </w:p>
        </w:tc>
        <w:tc>
          <w:tcPr>
            <w:tcW w:w="925" w:type="dxa"/>
            <w:tcBorders>
              <w:top w:val="nil"/>
              <w:left w:val="nil"/>
              <w:bottom w:val="single" w:sz="4" w:space="0" w:color="auto"/>
              <w:right w:val="single" w:sz="4" w:space="0" w:color="auto"/>
            </w:tcBorders>
            <w:shd w:val="clear" w:color="auto" w:fill="auto"/>
            <w:noWrap/>
            <w:vAlign w:val="bottom"/>
            <w:hideMark/>
          </w:tcPr>
          <w:p w14:paraId="1BB5852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USD/año</w:t>
            </w:r>
          </w:p>
        </w:tc>
        <w:tc>
          <w:tcPr>
            <w:tcW w:w="877" w:type="dxa"/>
            <w:tcBorders>
              <w:top w:val="nil"/>
              <w:left w:val="nil"/>
              <w:bottom w:val="single" w:sz="4" w:space="0" w:color="auto"/>
              <w:right w:val="single" w:sz="4" w:space="0" w:color="auto"/>
            </w:tcBorders>
            <w:shd w:val="clear" w:color="auto" w:fill="auto"/>
            <w:noWrap/>
            <w:vAlign w:val="bottom"/>
            <w:hideMark/>
          </w:tcPr>
          <w:p w14:paraId="1DC2BB8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USD/noche</w:t>
            </w:r>
          </w:p>
        </w:tc>
        <w:tc>
          <w:tcPr>
            <w:tcW w:w="1476" w:type="dxa"/>
            <w:tcBorders>
              <w:top w:val="nil"/>
              <w:left w:val="nil"/>
              <w:bottom w:val="single" w:sz="4" w:space="0" w:color="auto"/>
              <w:right w:val="single" w:sz="4" w:space="0" w:color="auto"/>
            </w:tcBorders>
            <w:shd w:val="clear" w:color="auto" w:fill="auto"/>
            <w:noWrap/>
            <w:vAlign w:val="bottom"/>
            <w:hideMark/>
          </w:tcPr>
          <w:p w14:paraId="52A216D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USD/km</w:t>
            </w:r>
          </w:p>
        </w:tc>
      </w:tr>
      <w:tr w:rsidR="0079428C" w:rsidRPr="00B06D23" w14:paraId="27ED7C29"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4B2E7E0D"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CMINP</w:t>
            </w:r>
          </w:p>
        </w:tc>
        <w:tc>
          <w:tcPr>
            <w:tcW w:w="2500" w:type="dxa"/>
            <w:tcBorders>
              <w:top w:val="nil"/>
              <w:left w:val="nil"/>
              <w:bottom w:val="single" w:sz="4" w:space="0" w:color="auto"/>
              <w:right w:val="single" w:sz="4" w:space="0" w:color="auto"/>
            </w:tcBorders>
            <w:shd w:val="clear" w:color="000000" w:fill="FFFFFF"/>
            <w:noWrap/>
            <w:vAlign w:val="center"/>
            <w:hideMark/>
          </w:tcPr>
          <w:p w14:paraId="51A6A72B"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Inspección pedestre de Líneas Aéreas</w:t>
            </w:r>
          </w:p>
        </w:tc>
        <w:tc>
          <w:tcPr>
            <w:tcW w:w="916" w:type="dxa"/>
            <w:tcBorders>
              <w:top w:val="nil"/>
              <w:left w:val="nil"/>
              <w:bottom w:val="single" w:sz="4" w:space="0" w:color="auto"/>
              <w:right w:val="single" w:sz="4" w:space="0" w:color="auto"/>
            </w:tcBorders>
            <w:shd w:val="clear" w:color="auto" w:fill="auto"/>
            <w:noWrap/>
            <w:hideMark/>
          </w:tcPr>
          <w:p w14:paraId="0167EC6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56.634</w:t>
            </w:r>
          </w:p>
        </w:tc>
        <w:tc>
          <w:tcPr>
            <w:tcW w:w="960" w:type="dxa"/>
            <w:tcBorders>
              <w:top w:val="nil"/>
              <w:left w:val="nil"/>
              <w:bottom w:val="single" w:sz="4" w:space="0" w:color="auto"/>
              <w:right w:val="single" w:sz="4" w:space="0" w:color="auto"/>
            </w:tcBorders>
            <w:shd w:val="clear" w:color="auto" w:fill="auto"/>
            <w:noWrap/>
            <w:hideMark/>
          </w:tcPr>
          <w:p w14:paraId="0AE5AFD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11.070</w:t>
            </w:r>
          </w:p>
        </w:tc>
        <w:tc>
          <w:tcPr>
            <w:tcW w:w="1135" w:type="dxa"/>
            <w:tcBorders>
              <w:top w:val="nil"/>
              <w:left w:val="nil"/>
              <w:bottom w:val="single" w:sz="4" w:space="0" w:color="auto"/>
              <w:right w:val="single" w:sz="4" w:space="0" w:color="auto"/>
            </w:tcBorders>
            <w:shd w:val="clear" w:color="auto" w:fill="auto"/>
            <w:noWrap/>
            <w:hideMark/>
          </w:tcPr>
          <w:p w14:paraId="2898C02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13.370</w:t>
            </w:r>
          </w:p>
        </w:tc>
        <w:tc>
          <w:tcPr>
            <w:tcW w:w="925" w:type="dxa"/>
            <w:tcBorders>
              <w:top w:val="nil"/>
              <w:left w:val="nil"/>
              <w:bottom w:val="single" w:sz="4" w:space="0" w:color="auto"/>
              <w:right w:val="single" w:sz="4" w:space="0" w:color="auto"/>
            </w:tcBorders>
            <w:shd w:val="clear" w:color="auto" w:fill="auto"/>
            <w:noWrap/>
            <w:hideMark/>
          </w:tcPr>
          <w:p w14:paraId="07114C3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81.073</w:t>
            </w:r>
          </w:p>
        </w:tc>
        <w:tc>
          <w:tcPr>
            <w:tcW w:w="877" w:type="dxa"/>
            <w:tcBorders>
              <w:top w:val="nil"/>
              <w:left w:val="nil"/>
              <w:bottom w:val="single" w:sz="4" w:space="0" w:color="auto"/>
              <w:right w:val="single" w:sz="4" w:space="0" w:color="auto"/>
            </w:tcBorders>
            <w:shd w:val="clear" w:color="auto" w:fill="auto"/>
            <w:noWrap/>
            <w:hideMark/>
          </w:tcPr>
          <w:p w14:paraId="3DA67FB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238</w:t>
            </w:r>
          </w:p>
        </w:tc>
        <w:tc>
          <w:tcPr>
            <w:tcW w:w="1476" w:type="dxa"/>
            <w:tcBorders>
              <w:top w:val="nil"/>
              <w:left w:val="nil"/>
              <w:bottom w:val="single" w:sz="4" w:space="0" w:color="auto"/>
              <w:right w:val="single" w:sz="4" w:space="0" w:color="auto"/>
            </w:tcBorders>
            <w:shd w:val="clear" w:color="auto" w:fill="auto"/>
            <w:noWrap/>
            <w:hideMark/>
          </w:tcPr>
          <w:p w14:paraId="377F4100"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0,15</w:t>
            </w:r>
          </w:p>
        </w:tc>
      </w:tr>
      <w:tr w:rsidR="0079428C" w:rsidRPr="00B06D23" w14:paraId="0179FC52"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5CC0FE98"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CMLVA</w:t>
            </w:r>
          </w:p>
        </w:tc>
        <w:tc>
          <w:tcPr>
            <w:tcW w:w="2500" w:type="dxa"/>
            <w:tcBorders>
              <w:top w:val="nil"/>
              <w:left w:val="nil"/>
              <w:bottom w:val="single" w:sz="4" w:space="0" w:color="auto"/>
              <w:right w:val="single" w:sz="4" w:space="0" w:color="auto"/>
            </w:tcBorders>
            <w:shd w:val="clear" w:color="000000" w:fill="FFFFFF"/>
            <w:noWrap/>
            <w:vAlign w:val="center"/>
            <w:hideMark/>
          </w:tcPr>
          <w:p w14:paraId="72F3F4EB"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Lavado de aisladores con tensión</w:t>
            </w:r>
          </w:p>
        </w:tc>
        <w:tc>
          <w:tcPr>
            <w:tcW w:w="916" w:type="dxa"/>
            <w:tcBorders>
              <w:top w:val="nil"/>
              <w:left w:val="nil"/>
              <w:bottom w:val="single" w:sz="4" w:space="0" w:color="auto"/>
              <w:right w:val="single" w:sz="4" w:space="0" w:color="auto"/>
            </w:tcBorders>
            <w:shd w:val="clear" w:color="auto" w:fill="auto"/>
            <w:noWrap/>
            <w:hideMark/>
          </w:tcPr>
          <w:p w14:paraId="1407C433"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72.149</w:t>
            </w:r>
          </w:p>
        </w:tc>
        <w:tc>
          <w:tcPr>
            <w:tcW w:w="960" w:type="dxa"/>
            <w:tcBorders>
              <w:top w:val="nil"/>
              <w:left w:val="nil"/>
              <w:bottom w:val="single" w:sz="4" w:space="0" w:color="auto"/>
              <w:right w:val="single" w:sz="4" w:space="0" w:color="auto"/>
            </w:tcBorders>
            <w:shd w:val="clear" w:color="auto" w:fill="auto"/>
            <w:noWrap/>
            <w:hideMark/>
          </w:tcPr>
          <w:p w14:paraId="08FE9081"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152.046</w:t>
            </w:r>
          </w:p>
        </w:tc>
        <w:tc>
          <w:tcPr>
            <w:tcW w:w="1135" w:type="dxa"/>
            <w:tcBorders>
              <w:top w:val="nil"/>
              <w:left w:val="nil"/>
              <w:bottom w:val="single" w:sz="4" w:space="0" w:color="auto"/>
              <w:right w:val="single" w:sz="4" w:space="0" w:color="auto"/>
            </w:tcBorders>
            <w:shd w:val="clear" w:color="auto" w:fill="auto"/>
            <w:noWrap/>
            <w:hideMark/>
          </w:tcPr>
          <w:p w14:paraId="28FA4C4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1.219</w:t>
            </w:r>
          </w:p>
        </w:tc>
        <w:tc>
          <w:tcPr>
            <w:tcW w:w="925" w:type="dxa"/>
            <w:tcBorders>
              <w:top w:val="nil"/>
              <w:left w:val="nil"/>
              <w:bottom w:val="single" w:sz="4" w:space="0" w:color="auto"/>
              <w:right w:val="single" w:sz="4" w:space="0" w:color="auto"/>
            </w:tcBorders>
            <w:shd w:val="clear" w:color="auto" w:fill="auto"/>
            <w:noWrap/>
            <w:hideMark/>
          </w:tcPr>
          <w:p w14:paraId="254D081A"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225.413</w:t>
            </w:r>
          </w:p>
        </w:tc>
        <w:tc>
          <w:tcPr>
            <w:tcW w:w="877" w:type="dxa"/>
            <w:tcBorders>
              <w:top w:val="nil"/>
              <w:left w:val="nil"/>
              <w:bottom w:val="single" w:sz="4" w:space="0" w:color="auto"/>
              <w:right w:val="single" w:sz="4" w:space="0" w:color="auto"/>
            </w:tcBorders>
            <w:shd w:val="clear" w:color="auto" w:fill="auto"/>
            <w:noWrap/>
            <w:hideMark/>
          </w:tcPr>
          <w:p w14:paraId="173C8BCA"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317</w:t>
            </w:r>
          </w:p>
        </w:tc>
        <w:tc>
          <w:tcPr>
            <w:tcW w:w="1476" w:type="dxa"/>
            <w:tcBorders>
              <w:top w:val="nil"/>
              <w:left w:val="nil"/>
              <w:bottom w:val="single" w:sz="4" w:space="0" w:color="auto"/>
              <w:right w:val="single" w:sz="4" w:space="0" w:color="auto"/>
            </w:tcBorders>
            <w:shd w:val="clear" w:color="auto" w:fill="auto"/>
            <w:noWrap/>
            <w:hideMark/>
          </w:tcPr>
          <w:p w14:paraId="08CB7CA8"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0,31</w:t>
            </w:r>
          </w:p>
        </w:tc>
      </w:tr>
      <w:tr w:rsidR="0079428C" w:rsidRPr="00B06D23" w14:paraId="65BA602B"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3FD18D9C"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CMTCT</w:t>
            </w:r>
          </w:p>
        </w:tc>
        <w:tc>
          <w:tcPr>
            <w:tcW w:w="2500" w:type="dxa"/>
            <w:tcBorders>
              <w:top w:val="nil"/>
              <w:left w:val="nil"/>
              <w:bottom w:val="single" w:sz="4" w:space="0" w:color="auto"/>
              <w:right w:val="single" w:sz="4" w:space="0" w:color="auto"/>
            </w:tcBorders>
            <w:shd w:val="clear" w:color="000000" w:fill="FFFFFF"/>
            <w:noWrap/>
            <w:vAlign w:val="center"/>
            <w:hideMark/>
          </w:tcPr>
          <w:p w14:paraId="65327FE0"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Trabajos con Tensión</w:t>
            </w:r>
          </w:p>
        </w:tc>
        <w:tc>
          <w:tcPr>
            <w:tcW w:w="916" w:type="dxa"/>
            <w:tcBorders>
              <w:top w:val="nil"/>
              <w:left w:val="nil"/>
              <w:bottom w:val="single" w:sz="4" w:space="0" w:color="auto"/>
              <w:right w:val="single" w:sz="4" w:space="0" w:color="auto"/>
            </w:tcBorders>
            <w:shd w:val="clear" w:color="auto" w:fill="auto"/>
            <w:noWrap/>
            <w:hideMark/>
          </w:tcPr>
          <w:p w14:paraId="5D609063"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102.866</w:t>
            </w:r>
          </w:p>
        </w:tc>
        <w:tc>
          <w:tcPr>
            <w:tcW w:w="960" w:type="dxa"/>
            <w:tcBorders>
              <w:top w:val="nil"/>
              <w:left w:val="nil"/>
              <w:bottom w:val="single" w:sz="4" w:space="0" w:color="auto"/>
              <w:right w:val="single" w:sz="4" w:space="0" w:color="auto"/>
            </w:tcBorders>
            <w:shd w:val="clear" w:color="auto" w:fill="auto"/>
            <w:noWrap/>
            <w:hideMark/>
          </w:tcPr>
          <w:p w14:paraId="5C9001E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47.766</w:t>
            </w:r>
          </w:p>
        </w:tc>
        <w:tc>
          <w:tcPr>
            <w:tcW w:w="1135" w:type="dxa"/>
            <w:tcBorders>
              <w:top w:val="nil"/>
              <w:left w:val="nil"/>
              <w:bottom w:val="single" w:sz="4" w:space="0" w:color="auto"/>
              <w:right w:val="single" w:sz="4" w:space="0" w:color="auto"/>
            </w:tcBorders>
            <w:shd w:val="clear" w:color="auto" w:fill="auto"/>
            <w:noWrap/>
            <w:hideMark/>
          </w:tcPr>
          <w:p w14:paraId="1BA5CFE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11.147</w:t>
            </w:r>
          </w:p>
        </w:tc>
        <w:tc>
          <w:tcPr>
            <w:tcW w:w="925" w:type="dxa"/>
            <w:tcBorders>
              <w:top w:val="nil"/>
              <w:left w:val="nil"/>
              <w:bottom w:val="single" w:sz="4" w:space="0" w:color="auto"/>
              <w:right w:val="single" w:sz="4" w:space="0" w:color="auto"/>
            </w:tcBorders>
            <w:shd w:val="clear" w:color="auto" w:fill="auto"/>
            <w:noWrap/>
            <w:hideMark/>
          </w:tcPr>
          <w:p w14:paraId="4325108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161.779</w:t>
            </w:r>
          </w:p>
        </w:tc>
        <w:tc>
          <w:tcPr>
            <w:tcW w:w="877" w:type="dxa"/>
            <w:tcBorders>
              <w:top w:val="nil"/>
              <w:left w:val="nil"/>
              <w:bottom w:val="single" w:sz="4" w:space="0" w:color="auto"/>
              <w:right w:val="single" w:sz="4" w:space="0" w:color="auto"/>
            </w:tcBorders>
            <w:shd w:val="clear" w:color="auto" w:fill="auto"/>
            <w:noWrap/>
            <w:hideMark/>
          </w:tcPr>
          <w:p w14:paraId="7FF8F04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476</w:t>
            </w:r>
          </w:p>
        </w:tc>
        <w:tc>
          <w:tcPr>
            <w:tcW w:w="1476" w:type="dxa"/>
            <w:tcBorders>
              <w:top w:val="nil"/>
              <w:left w:val="nil"/>
              <w:bottom w:val="single" w:sz="4" w:space="0" w:color="auto"/>
              <w:right w:val="single" w:sz="4" w:space="0" w:color="auto"/>
            </w:tcBorders>
            <w:shd w:val="clear" w:color="auto" w:fill="auto"/>
            <w:noWrap/>
            <w:hideMark/>
          </w:tcPr>
          <w:p w14:paraId="0C27963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0,31</w:t>
            </w:r>
          </w:p>
        </w:tc>
      </w:tr>
      <w:tr w:rsidR="0079428C" w:rsidRPr="00B06D23" w14:paraId="67F447D2"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3A08478F"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CMPOR</w:t>
            </w:r>
          </w:p>
        </w:tc>
        <w:tc>
          <w:tcPr>
            <w:tcW w:w="2500" w:type="dxa"/>
            <w:tcBorders>
              <w:top w:val="nil"/>
              <w:left w:val="nil"/>
              <w:bottom w:val="single" w:sz="4" w:space="0" w:color="auto"/>
              <w:right w:val="single" w:sz="4" w:space="0" w:color="auto"/>
            </w:tcBorders>
            <w:shd w:val="clear" w:color="000000" w:fill="FFFFFF"/>
            <w:noWrap/>
            <w:vAlign w:val="center"/>
            <w:hideMark/>
          </w:tcPr>
          <w:p w14:paraId="6AAE0F0A"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Poda y Roce</w:t>
            </w:r>
          </w:p>
        </w:tc>
        <w:tc>
          <w:tcPr>
            <w:tcW w:w="916" w:type="dxa"/>
            <w:tcBorders>
              <w:top w:val="nil"/>
              <w:left w:val="nil"/>
              <w:bottom w:val="single" w:sz="4" w:space="0" w:color="auto"/>
              <w:right w:val="single" w:sz="4" w:space="0" w:color="auto"/>
            </w:tcBorders>
            <w:shd w:val="clear" w:color="auto" w:fill="auto"/>
            <w:noWrap/>
            <w:hideMark/>
          </w:tcPr>
          <w:p w14:paraId="3283E78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94.461</w:t>
            </w:r>
          </w:p>
        </w:tc>
        <w:tc>
          <w:tcPr>
            <w:tcW w:w="960" w:type="dxa"/>
            <w:tcBorders>
              <w:top w:val="nil"/>
              <w:left w:val="nil"/>
              <w:bottom w:val="single" w:sz="4" w:space="0" w:color="auto"/>
              <w:right w:val="single" w:sz="4" w:space="0" w:color="auto"/>
            </w:tcBorders>
            <w:shd w:val="clear" w:color="auto" w:fill="auto"/>
            <w:noWrap/>
            <w:hideMark/>
          </w:tcPr>
          <w:p w14:paraId="0955C0F2"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77.112</w:t>
            </w:r>
          </w:p>
        </w:tc>
        <w:tc>
          <w:tcPr>
            <w:tcW w:w="1135" w:type="dxa"/>
            <w:tcBorders>
              <w:top w:val="nil"/>
              <w:left w:val="nil"/>
              <w:bottom w:val="single" w:sz="4" w:space="0" w:color="auto"/>
              <w:right w:val="single" w:sz="4" w:space="0" w:color="auto"/>
            </w:tcBorders>
            <w:shd w:val="clear" w:color="auto" w:fill="auto"/>
            <w:noWrap/>
            <w:hideMark/>
          </w:tcPr>
          <w:p w14:paraId="39D7BF68"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2.222</w:t>
            </w:r>
          </w:p>
        </w:tc>
        <w:tc>
          <w:tcPr>
            <w:tcW w:w="925" w:type="dxa"/>
            <w:tcBorders>
              <w:top w:val="nil"/>
              <w:left w:val="nil"/>
              <w:bottom w:val="single" w:sz="4" w:space="0" w:color="auto"/>
              <w:right w:val="single" w:sz="4" w:space="0" w:color="auto"/>
            </w:tcBorders>
            <w:shd w:val="clear" w:color="auto" w:fill="auto"/>
            <w:noWrap/>
            <w:hideMark/>
          </w:tcPr>
          <w:p w14:paraId="24D6DB2A"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173.795</w:t>
            </w:r>
          </w:p>
        </w:tc>
        <w:tc>
          <w:tcPr>
            <w:tcW w:w="877" w:type="dxa"/>
            <w:tcBorders>
              <w:top w:val="nil"/>
              <w:left w:val="nil"/>
              <w:bottom w:val="single" w:sz="4" w:space="0" w:color="auto"/>
              <w:right w:val="single" w:sz="4" w:space="0" w:color="auto"/>
            </w:tcBorders>
            <w:shd w:val="clear" w:color="auto" w:fill="auto"/>
            <w:noWrap/>
            <w:hideMark/>
          </w:tcPr>
          <w:p w14:paraId="61A2A0B0"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476</w:t>
            </w:r>
          </w:p>
        </w:tc>
        <w:tc>
          <w:tcPr>
            <w:tcW w:w="1476" w:type="dxa"/>
            <w:tcBorders>
              <w:top w:val="nil"/>
              <w:left w:val="nil"/>
              <w:bottom w:val="single" w:sz="4" w:space="0" w:color="auto"/>
              <w:right w:val="single" w:sz="4" w:space="0" w:color="auto"/>
            </w:tcBorders>
            <w:shd w:val="clear" w:color="auto" w:fill="auto"/>
            <w:noWrap/>
            <w:hideMark/>
          </w:tcPr>
          <w:p w14:paraId="36FB7640"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0,47</w:t>
            </w:r>
          </w:p>
        </w:tc>
      </w:tr>
      <w:tr w:rsidR="0079428C" w:rsidRPr="00B06D23" w14:paraId="07B963B4"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21742393"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CMELA</w:t>
            </w:r>
          </w:p>
        </w:tc>
        <w:tc>
          <w:tcPr>
            <w:tcW w:w="2500" w:type="dxa"/>
            <w:tcBorders>
              <w:top w:val="nil"/>
              <w:left w:val="nil"/>
              <w:bottom w:val="single" w:sz="4" w:space="0" w:color="auto"/>
              <w:right w:val="single" w:sz="4" w:space="0" w:color="auto"/>
            </w:tcBorders>
            <w:shd w:val="clear" w:color="000000" w:fill="FFFFFF"/>
            <w:noWrap/>
            <w:vAlign w:val="center"/>
            <w:hideMark/>
          </w:tcPr>
          <w:p w14:paraId="7F858189"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Mantenimiento de Estructuras y líneas sin Tensión</w:t>
            </w:r>
          </w:p>
        </w:tc>
        <w:tc>
          <w:tcPr>
            <w:tcW w:w="916" w:type="dxa"/>
            <w:tcBorders>
              <w:top w:val="nil"/>
              <w:left w:val="nil"/>
              <w:bottom w:val="single" w:sz="4" w:space="0" w:color="auto"/>
              <w:right w:val="single" w:sz="4" w:space="0" w:color="auto"/>
            </w:tcBorders>
            <w:shd w:val="clear" w:color="auto" w:fill="auto"/>
            <w:noWrap/>
            <w:hideMark/>
          </w:tcPr>
          <w:p w14:paraId="3FC75B62"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72.149</w:t>
            </w:r>
          </w:p>
        </w:tc>
        <w:tc>
          <w:tcPr>
            <w:tcW w:w="960" w:type="dxa"/>
            <w:tcBorders>
              <w:top w:val="nil"/>
              <w:left w:val="nil"/>
              <w:bottom w:val="single" w:sz="4" w:space="0" w:color="auto"/>
              <w:right w:val="single" w:sz="4" w:space="0" w:color="auto"/>
            </w:tcBorders>
            <w:shd w:val="clear" w:color="auto" w:fill="auto"/>
            <w:noWrap/>
            <w:hideMark/>
          </w:tcPr>
          <w:p w14:paraId="5E0986C2"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47.766</w:t>
            </w:r>
          </w:p>
        </w:tc>
        <w:tc>
          <w:tcPr>
            <w:tcW w:w="1135" w:type="dxa"/>
            <w:tcBorders>
              <w:top w:val="nil"/>
              <w:left w:val="nil"/>
              <w:bottom w:val="single" w:sz="4" w:space="0" w:color="auto"/>
              <w:right w:val="single" w:sz="4" w:space="0" w:color="auto"/>
            </w:tcBorders>
            <w:shd w:val="clear" w:color="auto" w:fill="auto"/>
            <w:noWrap/>
            <w:hideMark/>
          </w:tcPr>
          <w:p w14:paraId="2E83973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10.213</w:t>
            </w:r>
          </w:p>
        </w:tc>
        <w:tc>
          <w:tcPr>
            <w:tcW w:w="925" w:type="dxa"/>
            <w:tcBorders>
              <w:top w:val="nil"/>
              <w:left w:val="nil"/>
              <w:bottom w:val="single" w:sz="4" w:space="0" w:color="auto"/>
              <w:right w:val="single" w:sz="4" w:space="0" w:color="auto"/>
            </w:tcBorders>
            <w:shd w:val="clear" w:color="auto" w:fill="auto"/>
            <w:noWrap/>
            <w:hideMark/>
          </w:tcPr>
          <w:p w14:paraId="094E0C6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130.128</w:t>
            </w:r>
          </w:p>
        </w:tc>
        <w:tc>
          <w:tcPr>
            <w:tcW w:w="877" w:type="dxa"/>
            <w:tcBorders>
              <w:top w:val="nil"/>
              <w:left w:val="nil"/>
              <w:bottom w:val="single" w:sz="4" w:space="0" w:color="auto"/>
              <w:right w:val="single" w:sz="4" w:space="0" w:color="auto"/>
            </w:tcBorders>
            <w:shd w:val="clear" w:color="auto" w:fill="auto"/>
            <w:noWrap/>
            <w:hideMark/>
          </w:tcPr>
          <w:p w14:paraId="123E8DF5"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317</w:t>
            </w:r>
          </w:p>
        </w:tc>
        <w:tc>
          <w:tcPr>
            <w:tcW w:w="1476" w:type="dxa"/>
            <w:tcBorders>
              <w:top w:val="nil"/>
              <w:left w:val="nil"/>
              <w:bottom w:val="single" w:sz="4" w:space="0" w:color="auto"/>
              <w:right w:val="single" w:sz="4" w:space="0" w:color="auto"/>
            </w:tcBorders>
            <w:shd w:val="clear" w:color="auto" w:fill="auto"/>
            <w:noWrap/>
            <w:hideMark/>
          </w:tcPr>
          <w:p w14:paraId="04D8AED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0,31</w:t>
            </w:r>
          </w:p>
        </w:tc>
      </w:tr>
      <w:tr w:rsidR="0079428C" w:rsidRPr="00B06D23" w14:paraId="4130F25F"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6E3296D4"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CMCAM</w:t>
            </w:r>
          </w:p>
        </w:tc>
        <w:tc>
          <w:tcPr>
            <w:tcW w:w="2500" w:type="dxa"/>
            <w:tcBorders>
              <w:top w:val="nil"/>
              <w:left w:val="nil"/>
              <w:bottom w:val="single" w:sz="4" w:space="0" w:color="auto"/>
              <w:right w:val="single" w:sz="4" w:space="0" w:color="auto"/>
            </w:tcBorders>
            <w:shd w:val="clear" w:color="000000" w:fill="FFFFFF"/>
            <w:noWrap/>
            <w:vAlign w:val="center"/>
            <w:hideMark/>
          </w:tcPr>
          <w:p w14:paraId="25D123D3"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Mantenimiento de Caminos de Acceso</w:t>
            </w:r>
          </w:p>
        </w:tc>
        <w:tc>
          <w:tcPr>
            <w:tcW w:w="916" w:type="dxa"/>
            <w:tcBorders>
              <w:top w:val="nil"/>
              <w:left w:val="nil"/>
              <w:bottom w:val="single" w:sz="4" w:space="0" w:color="auto"/>
              <w:right w:val="single" w:sz="4" w:space="0" w:color="auto"/>
            </w:tcBorders>
            <w:shd w:val="clear" w:color="auto" w:fill="auto"/>
            <w:noWrap/>
            <w:hideMark/>
          </w:tcPr>
          <w:p w14:paraId="6358233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31.030</w:t>
            </w:r>
          </w:p>
        </w:tc>
        <w:tc>
          <w:tcPr>
            <w:tcW w:w="960" w:type="dxa"/>
            <w:tcBorders>
              <w:top w:val="nil"/>
              <w:left w:val="nil"/>
              <w:bottom w:val="single" w:sz="4" w:space="0" w:color="auto"/>
              <w:right w:val="single" w:sz="4" w:space="0" w:color="auto"/>
            </w:tcBorders>
            <w:shd w:val="clear" w:color="auto" w:fill="auto"/>
            <w:noWrap/>
            <w:hideMark/>
          </w:tcPr>
          <w:p w14:paraId="474B5BA8"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84.423</w:t>
            </w:r>
          </w:p>
        </w:tc>
        <w:tc>
          <w:tcPr>
            <w:tcW w:w="1135" w:type="dxa"/>
            <w:tcBorders>
              <w:top w:val="nil"/>
              <w:left w:val="nil"/>
              <w:bottom w:val="single" w:sz="4" w:space="0" w:color="auto"/>
              <w:right w:val="single" w:sz="4" w:space="0" w:color="auto"/>
            </w:tcBorders>
            <w:shd w:val="clear" w:color="auto" w:fill="auto"/>
            <w:noWrap/>
            <w:hideMark/>
          </w:tcPr>
          <w:p w14:paraId="310806B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236</w:t>
            </w:r>
          </w:p>
        </w:tc>
        <w:tc>
          <w:tcPr>
            <w:tcW w:w="925" w:type="dxa"/>
            <w:tcBorders>
              <w:top w:val="nil"/>
              <w:left w:val="nil"/>
              <w:bottom w:val="single" w:sz="4" w:space="0" w:color="auto"/>
              <w:right w:val="single" w:sz="4" w:space="0" w:color="auto"/>
            </w:tcBorders>
            <w:shd w:val="clear" w:color="auto" w:fill="auto"/>
            <w:noWrap/>
            <w:hideMark/>
          </w:tcPr>
          <w:p w14:paraId="1BF737C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115.690</w:t>
            </w:r>
          </w:p>
        </w:tc>
        <w:tc>
          <w:tcPr>
            <w:tcW w:w="877" w:type="dxa"/>
            <w:tcBorders>
              <w:top w:val="nil"/>
              <w:left w:val="nil"/>
              <w:bottom w:val="single" w:sz="4" w:space="0" w:color="auto"/>
              <w:right w:val="single" w:sz="4" w:space="0" w:color="auto"/>
            </w:tcBorders>
            <w:shd w:val="clear" w:color="auto" w:fill="auto"/>
            <w:noWrap/>
            <w:hideMark/>
          </w:tcPr>
          <w:p w14:paraId="7624CE0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159</w:t>
            </w:r>
          </w:p>
        </w:tc>
        <w:tc>
          <w:tcPr>
            <w:tcW w:w="1476" w:type="dxa"/>
            <w:tcBorders>
              <w:top w:val="nil"/>
              <w:left w:val="nil"/>
              <w:bottom w:val="single" w:sz="4" w:space="0" w:color="auto"/>
              <w:right w:val="single" w:sz="4" w:space="0" w:color="auto"/>
            </w:tcBorders>
            <w:shd w:val="clear" w:color="auto" w:fill="auto"/>
            <w:noWrap/>
            <w:hideMark/>
          </w:tcPr>
          <w:p w14:paraId="7D0197F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0,33</w:t>
            </w:r>
          </w:p>
        </w:tc>
      </w:tr>
      <w:tr w:rsidR="0079428C" w:rsidRPr="00B06D23" w14:paraId="6DEA20C7"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0DCEED2C"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CMLMA</w:t>
            </w:r>
          </w:p>
        </w:tc>
        <w:tc>
          <w:tcPr>
            <w:tcW w:w="2500" w:type="dxa"/>
            <w:tcBorders>
              <w:top w:val="nil"/>
              <w:left w:val="nil"/>
              <w:bottom w:val="single" w:sz="4" w:space="0" w:color="auto"/>
              <w:right w:val="single" w:sz="4" w:space="0" w:color="auto"/>
            </w:tcBorders>
            <w:shd w:val="clear" w:color="000000" w:fill="FFFFFF"/>
            <w:noWrap/>
            <w:vAlign w:val="center"/>
            <w:hideMark/>
          </w:tcPr>
          <w:p w14:paraId="566D6F79"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Lavado manual de aisladores</w:t>
            </w:r>
          </w:p>
        </w:tc>
        <w:tc>
          <w:tcPr>
            <w:tcW w:w="916" w:type="dxa"/>
            <w:tcBorders>
              <w:top w:val="nil"/>
              <w:left w:val="nil"/>
              <w:bottom w:val="single" w:sz="4" w:space="0" w:color="auto"/>
              <w:right w:val="single" w:sz="4" w:space="0" w:color="auto"/>
            </w:tcBorders>
            <w:shd w:val="clear" w:color="auto" w:fill="auto"/>
            <w:noWrap/>
            <w:hideMark/>
          </w:tcPr>
          <w:p w14:paraId="3F5A618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72.149</w:t>
            </w:r>
          </w:p>
        </w:tc>
        <w:tc>
          <w:tcPr>
            <w:tcW w:w="960" w:type="dxa"/>
            <w:tcBorders>
              <w:top w:val="nil"/>
              <w:left w:val="nil"/>
              <w:bottom w:val="single" w:sz="4" w:space="0" w:color="auto"/>
              <w:right w:val="single" w:sz="4" w:space="0" w:color="auto"/>
            </w:tcBorders>
            <w:shd w:val="clear" w:color="auto" w:fill="auto"/>
            <w:noWrap/>
            <w:hideMark/>
          </w:tcPr>
          <w:p w14:paraId="095C597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47.766</w:t>
            </w:r>
          </w:p>
        </w:tc>
        <w:tc>
          <w:tcPr>
            <w:tcW w:w="1135" w:type="dxa"/>
            <w:tcBorders>
              <w:top w:val="nil"/>
              <w:left w:val="nil"/>
              <w:bottom w:val="single" w:sz="4" w:space="0" w:color="auto"/>
              <w:right w:val="single" w:sz="4" w:space="0" w:color="auto"/>
            </w:tcBorders>
            <w:shd w:val="clear" w:color="auto" w:fill="auto"/>
            <w:noWrap/>
            <w:hideMark/>
          </w:tcPr>
          <w:p w14:paraId="36E06FB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1.165</w:t>
            </w:r>
          </w:p>
        </w:tc>
        <w:tc>
          <w:tcPr>
            <w:tcW w:w="925" w:type="dxa"/>
            <w:tcBorders>
              <w:top w:val="nil"/>
              <w:left w:val="nil"/>
              <w:bottom w:val="single" w:sz="4" w:space="0" w:color="auto"/>
              <w:right w:val="single" w:sz="4" w:space="0" w:color="auto"/>
            </w:tcBorders>
            <w:shd w:val="clear" w:color="auto" w:fill="auto"/>
            <w:noWrap/>
            <w:hideMark/>
          </w:tcPr>
          <w:p w14:paraId="5B2A784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121.080</w:t>
            </w:r>
          </w:p>
        </w:tc>
        <w:tc>
          <w:tcPr>
            <w:tcW w:w="877" w:type="dxa"/>
            <w:tcBorders>
              <w:top w:val="nil"/>
              <w:left w:val="nil"/>
              <w:bottom w:val="single" w:sz="4" w:space="0" w:color="auto"/>
              <w:right w:val="single" w:sz="4" w:space="0" w:color="auto"/>
            </w:tcBorders>
            <w:shd w:val="clear" w:color="auto" w:fill="auto"/>
            <w:noWrap/>
            <w:hideMark/>
          </w:tcPr>
          <w:p w14:paraId="0755097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317</w:t>
            </w:r>
          </w:p>
        </w:tc>
        <w:tc>
          <w:tcPr>
            <w:tcW w:w="1476" w:type="dxa"/>
            <w:tcBorders>
              <w:top w:val="nil"/>
              <w:left w:val="nil"/>
              <w:bottom w:val="single" w:sz="4" w:space="0" w:color="auto"/>
              <w:right w:val="single" w:sz="4" w:space="0" w:color="auto"/>
            </w:tcBorders>
            <w:shd w:val="clear" w:color="auto" w:fill="auto"/>
            <w:noWrap/>
            <w:hideMark/>
          </w:tcPr>
          <w:p w14:paraId="645A0E79"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0,31</w:t>
            </w:r>
          </w:p>
        </w:tc>
      </w:tr>
      <w:tr w:rsidR="0079428C" w:rsidRPr="00B06D23" w14:paraId="64DBA81A"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49F876EA"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CMIEP</w:t>
            </w:r>
          </w:p>
        </w:tc>
        <w:tc>
          <w:tcPr>
            <w:tcW w:w="2500" w:type="dxa"/>
            <w:tcBorders>
              <w:top w:val="nil"/>
              <w:left w:val="nil"/>
              <w:bottom w:val="single" w:sz="4" w:space="0" w:color="auto"/>
              <w:right w:val="single" w:sz="4" w:space="0" w:color="auto"/>
            </w:tcBorders>
            <w:shd w:val="clear" w:color="000000" w:fill="FFFFFF"/>
            <w:noWrap/>
            <w:vAlign w:val="center"/>
            <w:hideMark/>
          </w:tcPr>
          <w:p w14:paraId="5BF6DC54"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Inspección y revisión de equipos primarios en SE</w:t>
            </w:r>
          </w:p>
        </w:tc>
        <w:tc>
          <w:tcPr>
            <w:tcW w:w="916" w:type="dxa"/>
            <w:tcBorders>
              <w:top w:val="nil"/>
              <w:left w:val="nil"/>
              <w:bottom w:val="single" w:sz="4" w:space="0" w:color="auto"/>
              <w:right w:val="single" w:sz="4" w:space="0" w:color="auto"/>
            </w:tcBorders>
            <w:shd w:val="clear" w:color="auto" w:fill="auto"/>
            <w:noWrap/>
            <w:hideMark/>
          </w:tcPr>
          <w:p w14:paraId="286F5CE2"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72.925</w:t>
            </w:r>
          </w:p>
        </w:tc>
        <w:tc>
          <w:tcPr>
            <w:tcW w:w="960" w:type="dxa"/>
            <w:tcBorders>
              <w:top w:val="nil"/>
              <w:left w:val="nil"/>
              <w:bottom w:val="single" w:sz="4" w:space="0" w:color="auto"/>
              <w:right w:val="single" w:sz="4" w:space="0" w:color="auto"/>
            </w:tcBorders>
            <w:shd w:val="clear" w:color="auto" w:fill="auto"/>
            <w:noWrap/>
            <w:hideMark/>
          </w:tcPr>
          <w:p w14:paraId="534AFFD3"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11.070</w:t>
            </w:r>
          </w:p>
        </w:tc>
        <w:tc>
          <w:tcPr>
            <w:tcW w:w="1135" w:type="dxa"/>
            <w:tcBorders>
              <w:top w:val="nil"/>
              <w:left w:val="nil"/>
              <w:bottom w:val="single" w:sz="4" w:space="0" w:color="auto"/>
              <w:right w:val="single" w:sz="4" w:space="0" w:color="auto"/>
            </w:tcBorders>
            <w:shd w:val="clear" w:color="auto" w:fill="auto"/>
            <w:noWrap/>
            <w:hideMark/>
          </w:tcPr>
          <w:p w14:paraId="7F45248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11.782</w:t>
            </w:r>
          </w:p>
        </w:tc>
        <w:tc>
          <w:tcPr>
            <w:tcW w:w="925" w:type="dxa"/>
            <w:tcBorders>
              <w:top w:val="nil"/>
              <w:left w:val="nil"/>
              <w:bottom w:val="single" w:sz="4" w:space="0" w:color="auto"/>
              <w:right w:val="single" w:sz="4" w:space="0" w:color="auto"/>
            </w:tcBorders>
            <w:shd w:val="clear" w:color="auto" w:fill="auto"/>
            <w:noWrap/>
            <w:hideMark/>
          </w:tcPr>
          <w:p w14:paraId="1A9852C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95.777</w:t>
            </w:r>
          </w:p>
        </w:tc>
        <w:tc>
          <w:tcPr>
            <w:tcW w:w="877" w:type="dxa"/>
            <w:tcBorders>
              <w:top w:val="nil"/>
              <w:left w:val="nil"/>
              <w:bottom w:val="single" w:sz="4" w:space="0" w:color="auto"/>
              <w:right w:val="single" w:sz="4" w:space="0" w:color="auto"/>
            </w:tcBorders>
            <w:shd w:val="clear" w:color="auto" w:fill="auto"/>
            <w:noWrap/>
            <w:hideMark/>
          </w:tcPr>
          <w:p w14:paraId="60AD35A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317</w:t>
            </w:r>
          </w:p>
        </w:tc>
        <w:tc>
          <w:tcPr>
            <w:tcW w:w="1476" w:type="dxa"/>
            <w:tcBorders>
              <w:top w:val="nil"/>
              <w:left w:val="nil"/>
              <w:bottom w:val="single" w:sz="4" w:space="0" w:color="auto"/>
              <w:right w:val="single" w:sz="4" w:space="0" w:color="auto"/>
            </w:tcBorders>
            <w:shd w:val="clear" w:color="auto" w:fill="auto"/>
            <w:noWrap/>
            <w:hideMark/>
          </w:tcPr>
          <w:p w14:paraId="6FEFFD7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0,15</w:t>
            </w:r>
          </w:p>
        </w:tc>
      </w:tr>
      <w:tr w:rsidR="0079428C" w:rsidRPr="00B06D23" w14:paraId="7A04F8DE"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59CCE09C"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CMREL</w:t>
            </w:r>
          </w:p>
        </w:tc>
        <w:tc>
          <w:tcPr>
            <w:tcW w:w="2500" w:type="dxa"/>
            <w:tcBorders>
              <w:top w:val="nil"/>
              <w:left w:val="nil"/>
              <w:bottom w:val="single" w:sz="4" w:space="0" w:color="auto"/>
              <w:right w:val="single" w:sz="4" w:space="0" w:color="auto"/>
            </w:tcBorders>
            <w:shd w:val="clear" w:color="000000" w:fill="FFFFFF"/>
            <w:noWrap/>
            <w:vAlign w:val="center"/>
            <w:hideMark/>
          </w:tcPr>
          <w:p w14:paraId="23D1A17B"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Inspección y Reparación de protecciones, telecom. y SCADA</w:t>
            </w:r>
          </w:p>
        </w:tc>
        <w:tc>
          <w:tcPr>
            <w:tcW w:w="916" w:type="dxa"/>
            <w:tcBorders>
              <w:top w:val="nil"/>
              <w:left w:val="nil"/>
              <w:bottom w:val="single" w:sz="4" w:space="0" w:color="auto"/>
              <w:right w:val="single" w:sz="4" w:space="0" w:color="auto"/>
            </w:tcBorders>
            <w:shd w:val="clear" w:color="auto" w:fill="auto"/>
            <w:noWrap/>
            <w:hideMark/>
          </w:tcPr>
          <w:p w14:paraId="3C2CB93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w:t>
            </w:r>
          </w:p>
        </w:tc>
        <w:tc>
          <w:tcPr>
            <w:tcW w:w="960" w:type="dxa"/>
            <w:tcBorders>
              <w:top w:val="nil"/>
              <w:left w:val="nil"/>
              <w:bottom w:val="single" w:sz="4" w:space="0" w:color="auto"/>
              <w:right w:val="single" w:sz="4" w:space="0" w:color="auto"/>
            </w:tcBorders>
            <w:shd w:val="clear" w:color="auto" w:fill="auto"/>
            <w:noWrap/>
            <w:hideMark/>
          </w:tcPr>
          <w:p w14:paraId="1ACB0C90"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w:t>
            </w:r>
          </w:p>
        </w:tc>
        <w:tc>
          <w:tcPr>
            <w:tcW w:w="1135" w:type="dxa"/>
            <w:tcBorders>
              <w:top w:val="nil"/>
              <w:left w:val="nil"/>
              <w:bottom w:val="single" w:sz="4" w:space="0" w:color="auto"/>
              <w:right w:val="single" w:sz="4" w:space="0" w:color="auto"/>
            </w:tcBorders>
            <w:shd w:val="clear" w:color="auto" w:fill="auto"/>
            <w:noWrap/>
            <w:hideMark/>
          </w:tcPr>
          <w:p w14:paraId="7AADBB03"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w:t>
            </w:r>
          </w:p>
        </w:tc>
        <w:tc>
          <w:tcPr>
            <w:tcW w:w="925" w:type="dxa"/>
            <w:tcBorders>
              <w:top w:val="nil"/>
              <w:left w:val="nil"/>
              <w:bottom w:val="single" w:sz="4" w:space="0" w:color="auto"/>
              <w:right w:val="single" w:sz="4" w:space="0" w:color="auto"/>
            </w:tcBorders>
            <w:shd w:val="clear" w:color="auto" w:fill="auto"/>
            <w:noWrap/>
            <w:hideMark/>
          </w:tcPr>
          <w:p w14:paraId="75EC65F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w:t>
            </w:r>
          </w:p>
        </w:tc>
        <w:tc>
          <w:tcPr>
            <w:tcW w:w="877" w:type="dxa"/>
            <w:tcBorders>
              <w:top w:val="nil"/>
              <w:left w:val="nil"/>
              <w:bottom w:val="single" w:sz="4" w:space="0" w:color="auto"/>
              <w:right w:val="single" w:sz="4" w:space="0" w:color="auto"/>
            </w:tcBorders>
            <w:shd w:val="clear" w:color="auto" w:fill="auto"/>
            <w:noWrap/>
            <w:hideMark/>
          </w:tcPr>
          <w:p w14:paraId="09108296"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w:t>
            </w:r>
          </w:p>
        </w:tc>
        <w:tc>
          <w:tcPr>
            <w:tcW w:w="1476" w:type="dxa"/>
            <w:tcBorders>
              <w:top w:val="nil"/>
              <w:left w:val="nil"/>
              <w:bottom w:val="single" w:sz="4" w:space="0" w:color="auto"/>
              <w:right w:val="single" w:sz="4" w:space="0" w:color="auto"/>
            </w:tcBorders>
            <w:shd w:val="clear" w:color="auto" w:fill="auto"/>
            <w:noWrap/>
            <w:hideMark/>
          </w:tcPr>
          <w:p w14:paraId="596E5D7A"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w:t>
            </w:r>
          </w:p>
        </w:tc>
      </w:tr>
      <w:tr w:rsidR="0079428C" w:rsidRPr="00B06D23" w14:paraId="2420A175"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2BCC5DE7"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CMLIM</w:t>
            </w:r>
          </w:p>
        </w:tc>
        <w:tc>
          <w:tcPr>
            <w:tcW w:w="2500" w:type="dxa"/>
            <w:tcBorders>
              <w:top w:val="nil"/>
              <w:left w:val="nil"/>
              <w:bottom w:val="single" w:sz="4" w:space="0" w:color="auto"/>
              <w:right w:val="single" w:sz="4" w:space="0" w:color="auto"/>
            </w:tcBorders>
            <w:shd w:val="clear" w:color="000000" w:fill="FFFFFF"/>
            <w:noWrap/>
            <w:vAlign w:val="center"/>
            <w:hideMark/>
          </w:tcPr>
          <w:p w14:paraId="5A3B2721"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Limpieza de subestaciones</w:t>
            </w:r>
          </w:p>
        </w:tc>
        <w:tc>
          <w:tcPr>
            <w:tcW w:w="916" w:type="dxa"/>
            <w:tcBorders>
              <w:top w:val="nil"/>
              <w:left w:val="nil"/>
              <w:bottom w:val="single" w:sz="4" w:space="0" w:color="auto"/>
              <w:right w:val="single" w:sz="4" w:space="0" w:color="auto"/>
            </w:tcBorders>
            <w:shd w:val="clear" w:color="auto" w:fill="auto"/>
            <w:noWrap/>
            <w:hideMark/>
          </w:tcPr>
          <w:p w14:paraId="2A591061"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75.936</w:t>
            </w:r>
          </w:p>
        </w:tc>
        <w:tc>
          <w:tcPr>
            <w:tcW w:w="960" w:type="dxa"/>
            <w:tcBorders>
              <w:top w:val="nil"/>
              <w:left w:val="nil"/>
              <w:bottom w:val="single" w:sz="4" w:space="0" w:color="auto"/>
              <w:right w:val="single" w:sz="4" w:space="0" w:color="auto"/>
            </w:tcBorders>
            <w:shd w:val="clear" w:color="auto" w:fill="auto"/>
            <w:noWrap/>
            <w:hideMark/>
          </w:tcPr>
          <w:p w14:paraId="35D6289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11.070</w:t>
            </w:r>
          </w:p>
        </w:tc>
        <w:tc>
          <w:tcPr>
            <w:tcW w:w="1135" w:type="dxa"/>
            <w:tcBorders>
              <w:top w:val="nil"/>
              <w:left w:val="nil"/>
              <w:bottom w:val="single" w:sz="4" w:space="0" w:color="auto"/>
              <w:right w:val="single" w:sz="4" w:space="0" w:color="auto"/>
            </w:tcBorders>
            <w:shd w:val="clear" w:color="auto" w:fill="auto"/>
            <w:noWrap/>
            <w:hideMark/>
          </w:tcPr>
          <w:p w14:paraId="73DFEA0A"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745</w:t>
            </w:r>
          </w:p>
        </w:tc>
        <w:tc>
          <w:tcPr>
            <w:tcW w:w="925" w:type="dxa"/>
            <w:tcBorders>
              <w:top w:val="nil"/>
              <w:left w:val="nil"/>
              <w:bottom w:val="single" w:sz="4" w:space="0" w:color="auto"/>
              <w:right w:val="single" w:sz="4" w:space="0" w:color="auto"/>
            </w:tcBorders>
            <w:shd w:val="clear" w:color="auto" w:fill="auto"/>
            <w:noWrap/>
            <w:hideMark/>
          </w:tcPr>
          <w:p w14:paraId="702282E2"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87.750</w:t>
            </w:r>
          </w:p>
        </w:tc>
        <w:tc>
          <w:tcPr>
            <w:tcW w:w="877" w:type="dxa"/>
            <w:tcBorders>
              <w:top w:val="nil"/>
              <w:left w:val="nil"/>
              <w:bottom w:val="single" w:sz="4" w:space="0" w:color="auto"/>
              <w:right w:val="single" w:sz="4" w:space="0" w:color="auto"/>
            </w:tcBorders>
            <w:shd w:val="clear" w:color="auto" w:fill="auto"/>
            <w:noWrap/>
            <w:hideMark/>
          </w:tcPr>
          <w:p w14:paraId="7703FEA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397</w:t>
            </w:r>
          </w:p>
        </w:tc>
        <w:tc>
          <w:tcPr>
            <w:tcW w:w="1476" w:type="dxa"/>
            <w:tcBorders>
              <w:top w:val="nil"/>
              <w:left w:val="nil"/>
              <w:bottom w:val="single" w:sz="4" w:space="0" w:color="auto"/>
              <w:right w:val="single" w:sz="4" w:space="0" w:color="auto"/>
            </w:tcBorders>
            <w:shd w:val="clear" w:color="auto" w:fill="auto"/>
            <w:noWrap/>
            <w:hideMark/>
          </w:tcPr>
          <w:p w14:paraId="6F4E264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0,15</w:t>
            </w:r>
          </w:p>
        </w:tc>
      </w:tr>
      <w:tr w:rsidR="0079428C" w:rsidRPr="00B06D23" w14:paraId="0D032967"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12DEC99E"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COPER</w:t>
            </w:r>
          </w:p>
        </w:tc>
        <w:tc>
          <w:tcPr>
            <w:tcW w:w="2500" w:type="dxa"/>
            <w:tcBorders>
              <w:top w:val="nil"/>
              <w:left w:val="nil"/>
              <w:bottom w:val="single" w:sz="4" w:space="0" w:color="auto"/>
              <w:right w:val="single" w:sz="4" w:space="0" w:color="auto"/>
            </w:tcBorders>
            <w:shd w:val="clear" w:color="000000" w:fill="FFFFFF"/>
            <w:noWrap/>
            <w:vAlign w:val="center"/>
            <w:hideMark/>
          </w:tcPr>
          <w:p w14:paraId="07E96A26"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Operación en terreno</w:t>
            </w:r>
          </w:p>
        </w:tc>
        <w:tc>
          <w:tcPr>
            <w:tcW w:w="916" w:type="dxa"/>
            <w:tcBorders>
              <w:top w:val="nil"/>
              <w:left w:val="nil"/>
              <w:bottom w:val="single" w:sz="4" w:space="0" w:color="auto"/>
              <w:right w:val="single" w:sz="4" w:space="0" w:color="auto"/>
            </w:tcBorders>
            <w:shd w:val="clear" w:color="auto" w:fill="auto"/>
            <w:noWrap/>
            <w:hideMark/>
          </w:tcPr>
          <w:p w14:paraId="2099ECA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71.681</w:t>
            </w:r>
          </w:p>
        </w:tc>
        <w:tc>
          <w:tcPr>
            <w:tcW w:w="960" w:type="dxa"/>
            <w:tcBorders>
              <w:top w:val="nil"/>
              <w:left w:val="nil"/>
              <w:bottom w:val="single" w:sz="4" w:space="0" w:color="auto"/>
              <w:right w:val="single" w:sz="4" w:space="0" w:color="auto"/>
            </w:tcBorders>
            <w:shd w:val="clear" w:color="auto" w:fill="auto"/>
            <w:noWrap/>
            <w:hideMark/>
          </w:tcPr>
          <w:p w14:paraId="4C197D8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11.070</w:t>
            </w:r>
          </w:p>
        </w:tc>
        <w:tc>
          <w:tcPr>
            <w:tcW w:w="1135" w:type="dxa"/>
            <w:tcBorders>
              <w:top w:val="nil"/>
              <w:left w:val="nil"/>
              <w:bottom w:val="single" w:sz="4" w:space="0" w:color="auto"/>
              <w:right w:val="single" w:sz="4" w:space="0" w:color="auto"/>
            </w:tcBorders>
            <w:shd w:val="clear" w:color="auto" w:fill="auto"/>
            <w:noWrap/>
            <w:hideMark/>
          </w:tcPr>
          <w:p w14:paraId="08F11489"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462</w:t>
            </w:r>
          </w:p>
        </w:tc>
        <w:tc>
          <w:tcPr>
            <w:tcW w:w="925" w:type="dxa"/>
            <w:tcBorders>
              <w:top w:val="nil"/>
              <w:left w:val="nil"/>
              <w:bottom w:val="single" w:sz="4" w:space="0" w:color="auto"/>
              <w:right w:val="single" w:sz="4" w:space="0" w:color="auto"/>
            </w:tcBorders>
            <w:shd w:val="clear" w:color="auto" w:fill="auto"/>
            <w:noWrap/>
            <w:hideMark/>
          </w:tcPr>
          <w:p w14:paraId="23AD8E9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83.213</w:t>
            </w:r>
          </w:p>
        </w:tc>
        <w:tc>
          <w:tcPr>
            <w:tcW w:w="877" w:type="dxa"/>
            <w:tcBorders>
              <w:top w:val="nil"/>
              <w:left w:val="nil"/>
              <w:bottom w:val="single" w:sz="4" w:space="0" w:color="auto"/>
              <w:right w:val="single" w:sz="4" w:space="0" w:color="auto"/>
            </w:tcBorders>
            <w:shd w:val="clear" w:color="auto" w:fill="auto"/>
            <w:noWrap/>
            <w:hideMark/>
          </w:tcPr>
          <w:p w14:paraId="5444AB0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317</w:t>
            </w:r>
          </w:p>
        </w:tc>
        <w:tc>
          <w:tcPr>
            <w:tcW w:w="1476" w:type="dxa"/>
            <w:tcBorders>
              <w:top w:val="nil"/>
              <w:left w:val="nil"/>
              <w:bottom w:val="single" w:sz="4" w:space="0" w:color="auto"/>
              <w:right w:val="single" w:sz="4" w:space="0" w:color="auto"/>
            </w:tcBorders>
            <w:shd w:val="clear" w:color="auto" w:fill="auto"/>
            <w:noWrap/>
            <w:hideMark/>
          </w:tcPr>
          <w:p w14:paraId="6962C3E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0,15</w:t>
            </w:r>
          </w:p>
        </w:tc>
      </w:tr>
      <w:tr w:rsidR="0079428C" w:rsidRPr="00B06D23" w14:paraId="4ED58405"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4D5800C6"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CMLSE</w:t>
            </w:r>
          </w:p>
        </w:tc>
        <w:tc>
          <w:tcPr>
            <w:tcW w:w="2500" w:type="dxa"/>
            <w:tcBorders>
              <w:top w:val="nil"/>
              <w:left w:val="nil"/>
              <w:bottom w:val="single" w:sz="4" w:space="0" w:color="auto"/>
              <w:right w:val="single" w:sz="4" w:space="0" w:color="auto"/>
            </w:tcBorders>
            <w:shd w:val="clear" w:color="000000" w:fill="FFFFFF"/>
            <w:noWrap/>
            <w:vAlign w:val="center"/>
            <w:hideMark/>
          </w:tcPr>
          <w:p w14:paraId="44229A26"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Lavado de Subestaciones</w:t>
            </w:r>
          </w:p>
        </w:tc>
        <w:tc>
          <w:tcPr>
            <w:tcW w:w="916" w:type="dxa"/>
            <w:tcBorders>
              <w:top w:val="nil"/>
              <w:left w:val="nil"/>
              <w:bottom w:val="single" w:sz="4" w:space="0" w:color="auto"/>
              <w:right w:val="single" w:sz="4" w:space="0" w:color="auto"/>
            </w:tcBorders>
            <w:shd w:val="clear" w:color="auto" w:fill="auto"/>
            <w:noWrap/>
            <w:hideMark/>
          </w:tcPr>
          <w:p w14:paraId="7E80850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82.111</w:t>
            </w:r>
          </w:p>
        </w:tc>
        <w:tc>
          <w:tcPr>
            <w:tcW w:w="960" w:type="dxa"/>
            <w:tcBorders>
              <w:top w:val="nil"/>
              <w:left w:val="nil"/>
              <w:bottom w:val="single" w:sz="4" w:space="0" w:color="auto"/>
              <w:right w:val="single" w:sz="4" w:space="0" w:color="auto"/>
            </w:tcBorders>
            <w:shd w:val="clear" w:color="auto" w:fill="auto"/>
            <w:noWrap/>
            <w:hideMark/>
          </w:tcPr>
          <w:p w14:paraId="237D87D0"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185.310</w:t>
            </w:r>
          </w:p>
        </w:tc>
        <w:tc>
          <w:tcPr>
            <w:tcW w:w="1135" w:type="dxa"/>
            <w:tcBorders>
              <w:top w:val="nil"/>
              <w:left w:val="nil"/>
              <w:bottom w:val="single" w:sz="4" w:space="0" w:color="auto"/>
              <w:right w:val="single" w:sz="4" w:space="0" w:color="auto"/>
            </w:tcBorders>
            <w:shd w:val="clear" w:color="auto" w:fill="auto"/>
            <w:noWrap/>
            <w:hideMark/>
          </w:tcPr>
          <w:p w14:paraId="21CFF7A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1.449</w:t>
            </w:r>
          </w:p>
        </w:tc>
        <w:tc>
          <w:tcPr>
            <w:tcW w:w="925" w:type="dxa"/>
            <w:tcBorders>
              <w:top w:val="nil"/>
              <w:left w:val="nil"/>
              <w:bottom w:val="single" w:sz="4" w:space="0" w:color="auto"/>
              <w:right w:val="single" w:sz="4" w:space="0" w:color="auto"/>
            </w:tcBorders>
            <w:shd w:val="clear" w:color="auto" w:fill="auto"/>
            <w:noWrap/>
            <w:hideMark/>
          </w:tcPr>
          <w:p w14:paraId="425D7BC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268.869</w:t>
            </w:r>
          </w:p>
        </w:tc>
        <w:tc>
          <w:tcPr>
            <w:tcW w:w="877" w:type="dxa"/>
            <w:tcBorders>
              <w:top w:val="nil"/>
              <w:left w:val="nil"/>
              <w:bottom w:val="single" w:sz="4" w:space="0" w:color="auto"/>
              <w:right w:val="single" w:sz="4" w:space="0" w:color="auto"/>
            </w:tcBorders>
            <w:shd w:val="clear" w:color="auto" w:fill="auto"/>
            <w:noWrap/>
            <w:hideMark/>
          </w:tcPr>
          <w:p w14:paraId="1761F8D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397</w:t>
            </w:r>
          </w:p>
        </w:tc>
        <w:tc>
          <w:tcPr>
            <w:tcW w:w="1476" w:type="dxa"/>
            <w:tcBorders>
              <w:top w:val="nil"/>
              <w:left w:val="nil"/>
              <w:bottom w:val="single" w:sz="4" w:space="0" w:color="auto"/>
              <w:right w:val="single" w:sz="4" w:space="0" w:color="auto"/>
            </w:tcBorders>
            <w:shd w:val="clear" w:color="auto" w:fill="auto"/>
            <w:noWrap/>
            <w:hideMark/>
          </w:tcPr>
          <w:p w14:paraId="2493A2B3"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0,39</w:t>
            </w:r>
          </w:p>
        </w:tc>
      </w:tr>
      <w:tr w:rsidR="0079428C" w:rsidRPr="00B06D23" w14:paraId="4559BF13"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7036893B"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CMREP</w:t>
            </w:r>
          </w:p>
        </w:tc>
        <w:tc>
          <w:tcPr>
            <w:tcW w:w="2500" w:type="dxa"/>
            <w:tcBorders>
              <w:top w:val="nil"/>
              <w:left w:val="nil"/>
              <w:bottom w:val="single" w:sz="4" w:space="0" w:color="auto"/>
              <w:right w:val="single" w:sz="4" w:space="0" w:color="auto"/>
            </w:tcBorders>
            <w:shd w:val="clear" w:color="000000" w:fill="FFFFFF"/>
            <w:noWrap/>
            <w:vAlign w:val="center"/>
            <w:hideMark/>
          </w:tcPr>
          <w:p w14:paraId="773B9F55"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Reparación de equipos primarios en SE</w:t>
            </w:r>
          </w:p>
        </w:tc>
        <w:tc>
          <w:tcPr>
            <w:tcW w:w="916" w:type="dxa"/>
            <w:tcBorders>
              <w:top w:val="nil"/>
              <w:left w:val="nil"/>
              <w:bottom w:val="single" w:sz="4" w:space="0" w:color="auto"/>
              <w:right w:val="single" w:sz="4" w:space="0" w:color="auto"/>
            </w:tcBorders>
            <w:shd w:val="clear" w:color="auto" w:fill="auto"/>
            <w:noWrap/>
            <w:hideMark/>
          </w:tcPr>
          <w:p w14:paraId="455C664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84.186</w:t>
            </w:r>
          </w:p>
        </w:tc>
        <w:tc>
          <w:tcPr>
            <w:tcW w:w="960" w:type="dxa"/>
            <w:tcBorders>
              <w:top w:val="nil"/>
              <w:left w:val="nil"/>
              <w:bottom w:val="single" w:sz="4" w:space="0" w:color="auto"/>
              <w:right w:val="single" w:sz="4" w:space="0" w:color="auto"/>
            </w:tcBorders>
            <w:shd w:val="clear" w:color="auto" w:fill="auto"/>
            <w:noWrap/>
            <w:hideMark/>
          </w:tcPr>
          <w:p w14:paraId="04CDA3DE"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11.070</w:t>
            </w:r>
          </w:p>
        </w:tc>
        <w:tc>
          <w:tcPr>
            <w:tcW w:w="1135" w:type="dxa"/>
            <w:tcBorders>
              <w:top w:val="nil"/>
              <w:left w:val="nil"/>
              <w:bottom w:val="single" w:sz="4" w:space="0" w:color="auto"/>
              <w:right w:val="single" w:sz="4" w:space="0" w:color="auto"/>
            </w:tcBorders>
            <w:shd w:val="clear" w:color="auto" w:fill="auto"/>
            <w:noWrap/>
            <w:hideMark/>
          </w:tcPr>
          <w:p w14:paraId="601433D8"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6.416</w:t>
            </w:r>
          </w:p>
        </w:tc>
        <w:tc>
          <w:tcPr>
            <w:tcW w:w="925" w:type="dxa"/>
            <w:tcBorders>
              <w:top w:val="nil"/>
              <w:left w:val="nil"/>
              <w:bottom w:val="single" w:sz="4" w:space="0" w:color="auto"/>
              <w:right w:val="single" w:sz="4" w:space="0" w:color="auto"/>
            </w:tcBorders>
            <w:shd w:val="clear" w:color="auto" w:fill="auto"/>
            <w:noWrap/>
            <w:hideMark/>
          </w:tcPr>
          <w:p w14:paraId="0215C827"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101.672</w:t>
            </w:r>
          </w:p>
        </w:tc>
        <w:tc>
          <w:tcPr>
            <w:tcW w:w="877" w:type="dxa"/>
            <w:tcBorders>
              <w:top w:val="nil"/>
              <w:left w:val="nil"/>
              <w:bottom w:val="single" w:sz="4" w:space="0" w:color="auto"/>
              <w:right w:val="single" w:sz="4" w:space="0" w:color="auto"/>
            </w:tcBorders>
            <w:shd w:val="clear" w:color="auto" w:fill="auto"/>
            <w:noWrap/>
            <w:hideMark/>
          </w:tcPr>
          <w:p w14:paraId="18AC3C1D"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397</w:t>
            </w:r>
          </w:p>
        </w:tc>
        <w:tc>
          <w:tcPr>
            <w:tcW w:w="1476" w:type="dxa"/>
            <w:tcBorders>
              <w:top w:val="nil"/>
              <w:left w:val="nil"/>
              <w:bottom w:val="single" w:sz="4" w:space="0" w:color="auto"/>
              <w:right w:val="single" w:sz="4" w:space="0" w:color="auto"/>
            </w:tcBorders>
            <w:shd w:val="clear" w:color="auto" w:fill="auto"/>
            <w:noWrap/>
            <w:hideMark/>
          </w:tcPr>
          <w:p w14:paraId="228AE401"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0,15</w:t>
            </w:r>
          </w:p>
        </w:tc>
      </w:tr>
      <w:tr w:rsidR="0079428C" w:rsidRPr="00B06D23" w14:paraId="4AE319D0" w14:textId="77777777" w:rsidTr="00C276D3">
        <w:trPr>
          <w:trHeight w:val="290"/>
        </w:trPr>
        <w:tc>
          <w:tcPr>
            <w:tcW w:w="976" w:type="dxa"/>
            <w:tcBorders>
              <w:top w:val="nil"/>
              <w:left w:val="single" w:sz="4" w:space="0" w:color="auto"/>
              <w:bottom w:val="single" w:sz="4" w:space="0" w:color="auto"/>
              <w:right w:val="single" w:sz="4" w:space="0" w:color="auto"/>
            </w:tcBorders>
            <w:shd w:val="clear" w:color="auto" w:fill="auto"/>
            <w:noWrap/>
            <w:vAlign w:val="center"/>
            <w:hideMark/>
          </w:tcPr>
          <w:p w14:paraId="1F040509" w14:textId="77777777" w:rsidR="0079428C" w:rsidRPr="00B06D23" w:rsidRDefault="0079428C" w:rsidP="00C276D3">
            <w:pPr>
              <w:spacing w:after="0" w:line="240" w:lineRule="auto"/>
              <w:jc w:val="left"/>
              <w:rPr>
                <w:rFonts w:asciiTheme="minorHAnsi" w:eastAsia="Times New Roman" w:hAnsiTheme="minorHAnsi" w:cstheme="minorHAnsi"/>
                <w:b/>
                <w:bCs/>
                <w:color w:val="000000"/>
                <w:sz w:val="16"/>
                <w:szCs w:val="16"/>
                <w:lang w:val="es-AR" w:eastAsia="es-AR"/>
              </w:rPr>
            </w:pPr>
            <w:r w:rsidRPr="00B06D23">
              <w:rPr>
                <w:rFonts w:asciiTheme="minorHAnsi" w:eastAsia="Times New Roman" w:hAnsiTheme="minorHAnsi" w:cstheme="minorHAnsi"/>
                <w:b/>
                <w:bCs/>
                <w:color w:val="000000"/>
                <w:sz w:val="16"/>
                <w:szCs w:val="16"/>
                <w:lang w:val="es-AR" w:eastAsia="es-AR"/>
              </w:rPr>
              <w:t>CMEPSA</w:t>
            </w:r>
          </w:p>
        </w:tc>
        <w:tc>
          <w:tcPr>
            <w:tcW w:w="2500" w:type="dxa"/>
            <w:tcBorders>
              <w:top w:val="nil"/>
              <w:left w:val="nil"/>
              <w:bottom w:val="single" w:sz="4" w:space="0" w:color="auto"/>
              <w:right w:val="single" w:sz="4" w:space="0" w:color="auto"/>
            </w:tcBorders>
            <w:shd w:val="clear" w:color="000000" w:fill="FFFFFF"/>
            <w:noWrap/>
            <w:vAlign w:val="center"/>
            <w:hideMark/>
          </w:tcPr>
          <w:p w14:paraId="7841E888" w14:textId="77777777" w:rsidR="0079428C" w:rsidRPr="00B06D23" w:rsidRDefault="0079428C" w:rsidP="00C276D3">
            <w:pPr>
              <w:spacing w:after="0" w:line="240" w:lineRule="auto"/>
              <w:jc w:val="left"/>
              <w:rPr>
                <w:rFonts w:asciiTheme="minorHAnsi" w:eastAsia="Times New Roman" w:hAnsiTheme="minorHAnsi" w:cstheme="minorHAnsi"/>
                <w:color w:val="000000"/>
                <w:sz w:val="16"/>
                <w:szCs w:val="16"/>
                <w:lang w:val="es-AR" w:eastAsia="es-AR"/>
              </w:rPr>
            </w:pPr>
            <w:r w:rsidRPr="00B06D23">
              <w:rPr>
                <w:rFonts w:asciiTheme="minorHAnsi" w:eastAsia="Times New Roman" w:hAnsiTheme="minorHAnsi" w:cstheme="minorHAnsi"/>
                <w:color w:val="000000"/>
                <w:sz w:val="16"/>
                <w:szCs w:val="16"/>
                <w:lang w:val="es-AR" w:eastAsia="es-AR"/>
              </w:rPr>
              <w:t>Mantenimiento y reparacion de equipos primarios y SSAA</w:t>
            </w:r>
          </w:p>
        </w:tc>
        <w:tc>
          <w:tcPr>
            <w:tcW w:w="916" w:type="dxa"/>
            <w:tcBorders>
              <w:top w:val="nil"/>
              <w:left w:val="nil"/>
              <w:bottom w:val="single" w:sz="4" w:space="0" w:color="auto"/>
              <w:right w:val="single" w:sz="4" w:space="0" w:color="auto"/>
            </w:tcBorders>
            <w:shd w:val="clear" w:color="auto" w:fill="auto"/>
            <w:noWrap/>
            <w:hideMark/>
          </w:tcPr>
          <w:p w14:paraId="1382A770"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84.186</w:t>
            </w:r>
          </w:p>
        </w:tc>
        <w:tc>
          <w:tcPr>
            <w:tcW w:w="960" w:type="dxa"/>
            <w:tcBorders>
              <w:top w:val="nil"/>
              <w:left w:val="nil"/>
              <w:bottom w:val="single" w:sz="4" w:space="0" w:color="auto"/>
              <w:right w:val="single" w:sz="4" w:space="0" w:color="auto"/>
            </w:tcBorders>
            <w:shd w:val="clear" w:color="auto" w:fill="auto"/>
            <w:noWrap/>
            <w:hideMark/>
          </w:tcPr>
          <w:p w14:paraId="165E3B3F"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52.092</w:t>
            </w:r>
          </w:p>
        </w:tc>
        <w:tc>
          <w:tcPr>
            <w:tcW w:w="1135" w:type="dxa"/>
            <w:tcBorders>
              <w:top w:val="nil"/>
              <w:left w:val="nil"/>
              <w:bottom w:val="single" w:sz="4" w:space="0" w:color="auto"/>
              <w:right w:val="single" w:sz="4" w:space="0" w:color="auto"/>
            </w:tcBorders>
            <w:shd w:val="clear" w:color="auto" w:fill="auto"/>
            <w:noWrap/>
            <w:hideMark/>
          </w:tcPr>
          <w:p w14:paraId="3813A545"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10.802</w:t>
            </w:r>
          </w:p>
        </w:tc>
        <w:tc>
          <w:tcPr>
            <w:tcW w:w="925" w:type="dxa"/>
            <w:tcBorders>
              <w:top w:val="nil"/>
              <w:left w:val="nil"/>
              <w:bottom w:val="single" w:sz="4" w:space="0" w:color="auto"/>
              <w:right w:val="single" w:sz="4" w:space="0" w:color="auto"/>
            </w:tcBorders>
            <w:shd w:val="clear" w:color="auto" w:fill="auto"/>
            <w:noWrap/>
            <w:hideMark/>
          </w:tcPr>
          <w:p w14:paraId="64B8298C"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147.081</w:t>
            </w:r>
          </w:p>
        </w:tc>
        <w:tc>
          <w:tcPr>
            <w:tcW w:w="877" w:type="dxa"/>
            <w:tcBorders>
              <w:top w:val="nil"/>
              <w:left w:val="nil"/>
              <w:bottom w:val="single" w:sz="4" w:space="0" w:color="auto"/>
              <w:right w:val="single" w:sz="4" w:space="0" w:color="auto"/>
            </w:tcBorders>
            <w:shd w:val="clear" w:color="auto" w:fill="auto"/>
            <w:noWrap/>
            <w:hideMark/>
          </w:tcPr>
          <w:p w14:paraId="081EC5C4"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397</w:t>
            </w:r>
          </w:p>
        </w:tc>
        <w:tc>
          <w:tcPr>
            <w:tcW w:w="1476" w:type="dxa"/>
            <w:tcBorders>
              <w:top w:val="nil"/>
              <w:left w:val="nil"/>
              <w:bottom w:val="single" w:sz="4" w:space="0" w:color="auto"/>
              <w:right w:val="single" w:sz="4" w:space="0" w:color="auto"/>
            </w:tcBorders>
            <w:shd w:val="clear" w:color="auto" w:fill="auto"/>
            <w:noWrap/>
            <w:hideMark/>
          </w:tcPr>
          <w:p w14:paraId="1F95A4E1" w14:textId="77777777" w:rsidR="0079428C" w:rsidRPr="00B06D23" w:rsidRDefault="0079428C" w:rsidP="00C276D3">
            <w:pPr>
              <w:spacing w:after="0" w:line="240" w:lineRule="auto"/>
              <w:jc w:val="center"/>
              <w:rPr>
                <w:rFonts w:asciiTheme="minorHAnsi" w:eastAsia="Times New Roman" w:hAnsiTheme="minorHAnsi" w:cstheme="minorHAnsi"/>
                <w:color w:val="000000"/>
                <w:sz w:val="16"/>
                <w:szCs w:val="16"/>
                <w:lang w:val="es-AR" w:eastAsia="es-AR"/>
              </w:rPr>
            </w:pPr>
            <w:r w:rsidRPr="00B06D23">
              <w:rPr>
                <w:sz w:val="16"/>
                <w:szCs w:val="16"/>
              </w:rPr>
              <w:t>0,31</w:t>
            </w:r>
          </w:p>
        </w:tc>
      </w:tr>
    </w:tbl>
    <w:p w14:paraId="056224BF" w14:textId="77777777" w:rsidR="0079428C" w:rsidRPr="00B06D23" w:rsidRDefault="0079428C" w:rsidP="0079428C">
      <w:pPr>
        <w:rPr>
          <w:lang w:val="es-ES"/>
        </w:rPr>
      </w:pPr>
    </w:p>
    <w:p w14:paraId="2128613F" w14:textId="77777777" w:rsidR="0079428C" w:rsidRPr="00B06D23" w:rsidRDefault="0079428C" w:rsidP="0079428C">
      <w:pPr>
        <w:rPr>
          <w:lang w:val="es-ES"/>
        </w:rPr>
      </w:pPr>
      <w:r w:rsidRPr="00B06D23">
        <w:rPr>
          <w:lang w:val="es-ES"/>
        </w:rPr>
        <w:t>Los costos de pernocte incluyen los costos de alojamiento y comidas para el personal de la cuadrilla.</w:t>
      </w:r>
    </w:p>
    <w:p w14:paraId="252767A9" w14:textId="77777777" w:rsidR="0079428C" w:rsidRPr="00B06D23" w:rsidRDefault="0079428C" w:rsidP="0079428C">
      <w:pPr>
        <w:rPr>
          <w:lang w:val="es-ES"/>
        </w:rPr>
      </w:pPr>
      <w:r w:rsidRPr="00B06D23">
        <w:rPr>
          <w:lang w:val="es-ES"/>
        </w:rPr>
        <w:t>Los costos de combustible fueron determinados en función del consumo específico y el costo de combustible.</w:t>
      </w:r>
    </w:p>
    <w:p w14:paraId="73C07397" w14:textId="77777777" w:rsidR="0079428C" w:rsidRPr="00B06D23" w:rsidRDefault="0079428C" w:rsidP="0079428C">
      <w:pPr>
        <w:rPr>
          <w:lang w:val="es-ES"/>
        </w:rPr>
      </w:pPr>
      <w:r w:rsidRPr="00B06D23">
        <w:rPr>
          <w:lang w:val="es-ES"/>
        </w:rPr>
        <w:t>En el Anexo COMA_3 Modelo/Datos/ Costo Cuadrillas Tercerizadas, se encuentra la valorización de las cuadrillas tercerizadas con sus archivos de respaldo vinculados:</w:t>
      </w:r>
    </w:p>
    <w:p w14:paraId="391F66B6" w14:textId="77777777" w:rsidR="0079428C" w:rsidRPr="00B06D23" w:rsidRDefault="0079428C" w:rsidP="002E20CA">
      <w:pPr>
        <w:pStyle w:val="Prrafodelista"/>
        <w:numPr>
          <w:ilvl w:val="0"/>
          <w:numId w:val="49"/>
        </w:numPr>
        <w:rPr>
          <w:lang w:val="es-ES"/>
        </w:rPr>
      </w:pPr>
      <w:r w:rsidRPr="00B06D23">
        <w:rPr>
          <w:lang w:val="es-ES"/>
        </w:rPr>
        <w:t>Herramientas cuadrillas específicas – modelo: listado de herramientas, cantidades y costos unitarios.</w:t>
      </w:r>
    </w:p>
    <w:p w14:paraId="04B41B87" w14:textId="77777777" w:rsidR="0079428C" w:rsidRPr="00B06D23" w:rsidRDefault="0079428C" w:rsidP="002E20CA">
      <w:pPr>
        <w:pStyle w:val="Prrafodelista"/>
        <w:numPr>
          <w:ilvl w:val="0"/>
          <w:numId w:val="49"/>
        </w:numPr>
        <w:rPr>
          <w:lang w:val="es-ES"/>
        </w:rPr>
      </w:pPr>
      <w:r w:rsidRPr="00B06D23">
        <w:rPr>
          <w:lang w:val="es-ES"/>
        </w:rPr>
        <w:t>2.- Estudio de Compensaciones_Resumen: costos de los puestos tercerizados según encuesta PWC</w:t>
      </w:r>
    </w:p>
    <w:p w14:paraId="0C90C17E" w14:textId="77777777" w:rsidR="0079428C" w:rsidRPr="00B06D23" w:rsidRDefault="0079428C" w:rsidP="002E20CA">
      <w:pPr>
        <w:pStyle w:val="Prrafodelista"/>
        <w:numPr>
          <w:ilvl w:val="0"/>
          <w:numId w:val="49"/>
        </w:numPr>
        <w:rPr>
          <w:lang w:val="es-ES"/>
        </w:rPr>
      </w:pPr>
      <w:r w:rsidRPr="00B06D23">
        <w:rPr>
          <w:lang w:val="es-ES"/>
        </w:rPr>
        <w:t>Precios Insumos No Electricos/hoja Vehiculos: costos de vehículos.</w:t>
      </w:r>
    </w:p>
    <w:p w14:paraId="285BC223" w14:textId="77777777" w:rsidR="0079428C" w:rsidRPr="00B06D23" w:rsidRDefault="0079428C" w:rsidP="002E20CA">
      <w:pPr>
        <w:pStyle w:val="Prrafodelista"/>
        <w:numPr>
          <w:ilvl w:val="0"/>
          <w:numId w:val="49"/>
        </w:numPr>
        <w:rPr>
          <w:lang w:val="es-ES"/>
        </w:rPr>
      </w:pPr>
      <w:r w:rsidRPr="00B06D23">
        <w:rPr>
          <w:lang w:val="es-ES"/>
        </w:rPr>
        <w:t>Precios Insumos No Electricos/hoja Viáticos operacionales: costos de pernocte</w:t>
      </w:r>
    </w:p>
    <w:p w14:paraId="63337781" w14:textId="77777777" w:rsidR="0079428C" w:rsidRPr="00B06D23" w:rsidRDefault="0079428C" w:rsidP="0079428C">
      <w:pPr>
        <w:rPr>
          <w:b/>
          <w:bCs/>
          <w:lang w:val="es-ES"/>
        </w:rPr>
      </w:pPr>
      <w:bookmarkStart w:id="144" w:name="_Toc391381238"/>
      <w:bookmarkStart w:id="145" w:name="_Toc392764069"/>
      <w:bookmarkStart w:id="146" w:name="_Toc397926163"/>
      <w:bookmarkStart w:id="147" w:name="_Toc404945297"/>
      <w:r w:rsidRPr="00B06D23">
        <w:rPr>
          <w:b/>
          <w:bCs/>
          <w:lang w:val="es-ES"/>
        </w:rPr>
        <w:t>Materiales de explotación</w:t>
      </w:r>
      <w:bookmarkEnd w:id="144"/>
      <w:bookmarkEnd w:id="145"/>
      <w:bookmarkEnd w:id="146"/>
      <w:bookmarkEnd w:id="147"/>
    </w:p>
    <w:p w14:paraId="487C71F2" w14:textId="27210147" w:rsidR="0079428C" w:rsidRDefault="0079428C" w:rsidP="0079428C">
      <w:pPr>
        <w:rPr>
          <w:lang w:val="es-ES"/>
        </w:rPr>
      </w:pPr>
      <w:r w:rsidRPr="00B06D23">
        <w:rPr>
          <w:lang w:val="es-ES"/>
        </w:rPr>
        <w:t>Los costos unitarios de los materiales para cada intervención que se utilizan en las distintas actividades de Operación y Mantenimiento se obtienen a partir de los costos de mercado consistentes con los costos utilizados para valorizar el V.I.</w:t>
      </w:r>
    </w:p>
    <w:p w14:paraId="383AC760" w14:textId="77777777" w:rsidR="0060133B" w:rsidRPr="00B06D23" w:rsidRDefault="0060133B" w:rsidP="0079428C">
      <w:pPr>
        <w:rPr>
          <w:lang w:val="es-ES"/>
        </w:rPr>
      </w:pPr>
    </w:p>
    <w:p w14:paraId="692C21D6" w14:textId="77777777" w:rsidR="0079428C" w:rsidRPr="00F465C5" w:rsidRDefault="0079428C" w:rsidP="0079428C">
      <w:pPr>
        <w:pStyle w:val="Ttulo3"/>
      </w:pPr>
      <w:bookmarkStart w:id="148" w:name="_Toc34398116"/>
      <w:bookmarkStart w:id="149" w:name="_Toc34687210"/>
      <w:r w:rsidRPr="00F465C5">
        <w:t>Gastos generales y  otros servicios tercerizados</w:t>
      </w:r>
      <w:bookmarkEnd w:id="148"/>
      <w:bookmarkEnd w:id="149"/>
    </w:p>
    <w:p w14:paraId="5D1AEF2C" w14:textId="77777777" w:rsidR="0079428C" w:rsidRPr="00B06D23" w:rsidRDefault="0079428C" w:rsidP="0079428C">
      <w:pPr>
        <w:rPr>
          <w:lang w:val="es-ES"/>
        </w:rPr>
      </w:pPr>
      <w:r w:rsidRPr="00B06D23">
        <w:rPr>
          <w:lang w:val="es-ES"/>
        </w:rPr>
        <w:t>Estos gastos comprenden múltiples conceptos relacionados con la operación, mantenimiento y administración de la EM.</w:t>
      </w:r>
    </w:p>
    <w:p w14:paraId="6D56626B" w14:textId="77777777" w:rsidR="0079428C" w:rsidRPr="00B06D23" w:rsidRDefault="0079428C" w:rsidP="0079428C">
      <w:pPr>
        <w:rPr>
          <w:lang w:val="es-ES"/>
        </w:rPr>
      </w:pPr>
      <w:r w:rsidRPr="00B06D23">
        <w:rPr>
          <w:lang w:val="es-ES"/>
        </w:rPr>
        <w:t>Como es usual en la operación de las empresas, se consideran tercerizadas la tareas de aseo y limpieza de edificios, vigilancia de subestaciones, y asesorías especiíficas.</w:t>
      </w:r>
    </w:p>
    <w:p w14:paraId="260A913E" w14:textId="77777777" w:rsidR="0079428C" w:rsidRPr="00B06D23" w:rsidRDefault="0079428C" w:rsidP="0079428C">
      <w:pPr>
        <w:rPr>
          <w:lang w:val="es-ES"/>
        </w:rPr>
      </w:pPr>
      <w:r w:rsidRPr="00B06D23">
        <w:rPr>
          <w:lang w:val="es-ES"/>
        </w:rPr>
        <w:t>Se presenta a continuación una lista de los gastos e insumos de la cual se analiza su pertinencia y cantidad a incluir en los costos eficientes de la empresa modelo constatando que no estén incluidos en las otras partidas de costo señaladas.</w:t>
      </w:r>
    </w:p>
    <w:p w14:paraId="7E72C06D" w14:textId="77777777" w:rsidR="0079428C" w:rsidRPr="00B06D23" w:rsidRDefault="0079428C" w:rsidP="0079428C">
      <w:pPr>
        <w:rPr>
          <w:lang w:val="es-ES"/>
        </w:rPr>
      </w:pPr>
      <w:r w:rsidRPr="00B06D23">
        <w:rPr>
          <w:lang w:val="es-ES"/>
        </w:rPr>
        <w:t>Dada la diversidad en la naturaleza de estos gastos se utilizaron todas las fuentes de información disponibles, tales como costos de mercado, y/o información presentada por las empresas validada como eficiente, información de antecedentes regulatorios de procesos de tarififación en Chile debidamente actualizados,  y/o ratios de eficiencia de manera que permitan verificar la razonabilidad de los costos propuestos.</w:t>
      </w:r>
    </w:p>
    <w:p w14:paraId="134D0BB0" w14:textId="77777777" w:rsidR="0079428C" w:rsidRPr="00B06D23" w:rsidRDefault="0079428C" w:rsidP="0079428C">
      <w:pPr>
        <w:rPr>
          <w:lang w:val="es-ES"/>
        </w:rPr>
      </w:pPr>
      <w:r w:rsidRPr="00B06D23">
        <w:rPr>
          <w:lang w:val="es-ES"/>
        </w:rPr>
        <w:t>Se presenta una descripción de las partidas, la pertinencia de su inclusión y los costos unitarios considerados.</w:t>
      </w:r>
    </w:p>
    <w:p w14:paraId="0DC61C9B" w14:textId="77777777" w:rsidR="0079428C" w:rsidRPr="00B06D23" w:rsidRDefault="0079428C" w:rsidP="0079428C">
      <w:pPr>
        <w:rPr>
          <w:lang w:val="es-ES"/>
        </w:rPr>
      </w:pPr>
      <w:r w:rsidRPr="00B06D23">
        <w:rPr>
          <w:lang w:val="es-ES"/>
        </w:rPr>
        <w:t>En el el Anexo COMA_3 Modelo/Datos/ Precios Insumos No Electricos, se presenta el detalle de los cálculos realizados.</w:t>
      </w:r>
    </w:p>
    <w:p w14:paraId="4E578A46" w14:textId="47B72D03" w:rsidR="00C83B06" w:rsidRPr="00C83B06" w:rsidRDefault="0079428C" w:rsidP="00C83B06">
      <w:pPr>
        <w:pStyle w:val="Ttulo4"/>
      </w:pPr>
      <w:bookmarkStart w:id="150" w:name="_Toc34398117"/>
      <w:bookmarkStart w:id="151" w:name="_Toc34687211"/>
      <w:r w:rsidRPr="00FD055F">
        <w:t>Gastos en seguridad (vigilancia) de subestaciones</w:t>
      </w:r>
      <w:bookmarkEnd w:id="150"/>
      <w:bookmarkEnd w:id="151"/>
    </w:p>
    <w:p w14:paraId="0F60765A" w14:textId="09F3CEBA" w:rsidR="00C83B06" w:rsidRPr="00C83B06" w:rsidRDefault="00C83B06" w:rsidP="00C83B06">
      <w:pPr>
        <w:spacing w:before="60" w:after="120" w:line="240" w:lineRule="auto"/>
        <w:rPr>
          <w:lang w:val="es-ES"/>
        </w:rPr>
      </w:pPr>
      <w:r w:rsidRPr="00C83B06">
        <w:rPr>
          <w:lang w:val="es-ES"/>
        </w:rPr>
        <w:t xml:space="preserve">A los efectos de resguardar la seguridad patrimonial para oficinas zonales, bodegas y subestaciones </w:t>
      </w:r>
      <w:r w:rsidRPr="004D1FC5">
        <w:rPr>
          <w:lang w:val="es-ES"/>
        </w:rPr>
        <w:t>según importancia patrimonial</w:t>
      </w:r>
      <w:r>
        <w:rPr>
          <w:lang w:val="es-ES"/>
        </w:rPr>
        <w:t xml:space="preserve"> </w:t>
      </w:r>
      <w:r w:rsidRPr="00C83B06">
        <w:rPr>
          <w:lang w:val="es-ES"/>
        </w:rPr>
        <w:t>se requiere disponer de un servicio de vigilancia.</w:t>
      </w:r>
    </w:p>
    <w:p w14:paraId="02A902C9" w14:textId="3209CDBE" w:rsidR="00C83B06" w:rsidRPr="00C83B06" w:rsidRDefault="00C83B06" w:rsidP="00C83B06">
      <w:pPr>
        <w:spacing w:before="60" w:after="120" w:line="240" w:lineRule="auto"/>
        <w:rPr>
          <w:lang w:val="es-ES"/>
        </w:rPr>
      </w:pPr>
      <w:r w:rsidRPr="00C83B06">
        <w:rPr>
          <w:lang w:val="es-ES"/>
        </w:rPr>
        <w:t xml:space="preserve">Se ha considerado el costo del servicio de vigilancia con guardia presencial en las 5 subestaciones </w:t>
      </w:r>
      <w:r w:rsidRPr="004D1FC5">
        <w:rPr>
          <w:lang w:val="es-ES"/>
        </w:rPr>
        <w:t>de mayor importancia</w:t>
      </w:r>
      <w:r w:rsidR="00130B22" w:rsidRPr="004D1FC5">
        <w:rPr>
          <w:lang w:val="es-ES"/>
        </w:rPr>
        <w:t xml:space="preserve"> patrimonial</w:t>
      </w:r>
      <w:r w:rsidRPr="004D1FC5">
        <w:rPr>
          <w:lang w:val="es-ES"/>
        </w:rPr>
        <w:t xml:space="preserve"> </w:t>
      </w:r>
      <w:r w:rsidRPr="00C83B06">
        <w:rPr>
          <w:lang w:val="es-ES"/>
        </w:rPr>
        <w:t>consideradas en el Sistema de Transmisión Nacional.</w:t>
      </w:r>
    </w:p>
    <w:p w14:paraId="28DC9351" w14:textId="77777777" w:rsidR="00C83B06" w:rsidRPr="00C83B06" w:rsidRDefault="00C83B06" w:rsidP="00C83B06">
      <w:pPr>
        <w:spacing w:before="60" w:after="120" w:line="240" w:lineRule="auto"/>
        <w:rPr>
          <w:lang w:val="es-ES"/>
        </w:rPr>
      </w:pPr>
      <w:r w:rsidRPr="00C83B06">
        <w:rPr>
          <w:lang w:val="es-ES"/>
        </w:rPr>
        <w:t>Se consideran en total 24 guardias para control de acceso. El régimen de trabajo es de dos turnos rotativos de 12 horas diarias, de cuatro días de trabajo por cuatro de descanso, todo el año. Para el costo por guardia se ha tomado considerando la encuesta Price con percentil 25% y los márgenes del contratista de gastos de administración y utilidad del contratista.</w:t>
      </w:r>
    </w:p>
    <w:p w14:paraId="310C4A0B" w14:textId="77777777" w:rsidR="00C83B06" w:rsidRPr="00C83B06" w:rsidRDefault="00C83B06" w:rsidP="00C83B06">
      <w:pPr>
        <w:spacing w:before="60" w:after="120" w:line="240" w:lineRule="auto"/>
        <w:rPr>
          <w:lang w:val="es-ES"/>
        </w:rPr>
      </w:pPr>
      <w:r w:rsidRPr="00C83B06">
        <w:rPr>
          <w:lang w:val="es-ES"/>
        </w:rPr>
        <w:t>En el el Anexo COMA_3 Modelo/Datos/ Precios Insumos No Electricos/ Vigilancia SE, se presenta el detalle del cálculo realizado.</w:t>
      </w:r>
    </w:p>
    <w:p w14:paraId="4D5C846F" w14:textId="3F815AA4" w:rsidR="0079428C" w:rsidRPr="00B06D23" w:rsidRDefault="00C83B06" w:rsidP="00C83B06">
      <w:pPr>
        <w:spacing w:before="60" w:after="120" w:line="240" w:lineRule="auto"/>
        <w:rPr>
          <w:lang w:val="es-ES"/>
        </w:rPr>
      </w:pPr>
      <w:r w:rsidRPr="00C83B06">
        <w:rPr>
          <w:lang w:val="es-ES"/>
        </w:rPr>
        <w:t>Los costos de vigilancia de accesos en oficinas se incluyen en los gastos de mantenimiento del edificio.”</w:t>
      </w:r>
    </w:p>
    <w:p w14:paraId="71516B5D" w14:textId="77777777" w:rsidR="0079428C" w:rsidRPr="00FD055F" w:rsidRDefault="0079428C" w:rsidP="0079428C">
      <w:pPr>
        <w:pStyle w:val="Ttulo4"/>
      </w:pPr>
      <w:bookmarkStart w:id="152" w:name="_Toc34398118"/>
      <w:bookmarkStart w:id="153" w:name="_Toc34687212"/>
      <w:r w:rsidRPr="00FD055F">
        <w:t>Aseo y limpieza de edificios, y bodegas</w:t>
      </w:r>
      <w:bookmarkEnd w:id="152"/>
      <w:bookmarkEnd w:id="153"/>
      <w:r w:rsidRPr="00FD055F">
        <w:t xml:space="preserve"> </w:t>
      </w:r>
    </w:p>
    <w:p w14:paraId="5B90D535" w14:textId="77777777" w:rsidR="0079428C" w:rsidRPr="00B06D23" w:rsidRDefault="0079428C" w:rsidP="0079428C">
      <w:pPr>
        <w:rPr>
          <w:rFonts w:cs="Arial"/>
          <w:szCs w:val="22"/>
          <w:lang w:val="es-ES"/>
        </w:rPr>
      </w:pPr>
      <w:r w:rsidRPr="00B06D23">
        <w:rPr>
          <w:rFonts w:cs="Arial"/>
          <w:szCs w:val="22"/>
          <w:lang w:val="es-ES"/>
        </w:rPr>
        <w:t>Para modelar el costo de aseo de los edificios, se considera una superficie que resulta del cálculo de los m2 de la EM en función de la cantidad de personal y se valoriza con el costo unitario del servicio según valores representativos del mercado.</w:t>
      </w:r>
    </w:p>
    <w:p w14:paraId="5E5026FF" w14:textId="77777777" w:rsidR="0079428C" w:rsidRPr="00B06D23" w:rsidRDefault="0079428C" w:rsidP="0079428C">
      <w:pPr>
        <w:rPr>
          <w:rFonts w:cs="Arial"/>
          <w:szCs w:val="22"/>
          <w:lang w:val="es-ES"/>
        </w:rPr>
      </w:pPr>
      <w:r w:rsidRPr="00B06D23">
        <w:rPr>
          <w:rFonts w:cs="Arial"/>
          <w:szCs w:val="22"/>
          <w:lang w:val="es-ES"/>
        </w:rPr>
        <w:t>De manera similar se considera un costo unitario por m2 para el aseo y limpieza de bodegas y considerando los m2 definidos para dichas áreas.</w:t>
      </w:r>
    </w:p>
    <w:p w14:paraId="43F4EF2F" w14:textId="77777777" w:rsidR="0079428C" w:rsidRPr="00B06D23" w:rsidRDefault="0079428C" w:rsidP="0079428C">
      <w:pPr>
        <w:rPr>
          <w:rFonts w:cs="Arial"/>
          <w:szCs w:val="22"/>
          <w:lang w:val="es-ES"/>
        </w:rPr>
      </w:pPr>
      <w:r w:rsidRPr="00B06D23">
        <w:rPr>
          <w:rFonts w:cs="Arial"/>
          <w:szCs w:val="22"/>
          <w:lang w:val="es-ES"/>
        </w:rPr>
        <w:t>Para la determinación del costo unitario de aseo y limpieza se consideró el valor promedio informado por las empresas que fue verificado mediante un cálculo de eficiencia.</w:t>
      </w:r>
    </w:p>
    <w:p w14:paraId="2688C328" w14:textId="77777777" w:rsidR="0079428C" w:rsidRPr="00B06D23" w:rsidRDefault="0079428C" w:rsidP="0079428C">
      <w:pPr>
        <w:rPr>
          <w:rFonts w:cs="Arial"/>
          <w:szCs w:val="22"/>
          <w:lang w:val="es-ES"/>
        </w:rPr>
      </w:pPr>
      <w:r w:rsidRPr="00B06D23">
        <w:rPr>
          <w:rFonts w:cs="Arial"/>
          <w:szCs w:val="22"/>
          <w:lang w:val="es-ES"/>
        </w:rPr>
        <w:t xml:space="preserve"> Para bodegas se asume un costo por m2 considerando la relación entre el costo por  m2 de aseo de bodegas y el costo por m2 de aseo de edificios mediante un ratio eficiente.</w:t>
      </w:r>
    </w:p>
    <w:p w14:paraId="67B38A47" w14:textId="1C5BA957" w:rsidR="0079428C" w:rsidRDefault="0079428C" w:rsidP="0079428C">
      <w:pPr>
        <w:rPr>
          <w:lang w:val="es-ES"/>
        </w:rPr>
      </w:pPr>
      <w:r w:rsidRPr="00B06D23">
        <w:rPr>
          <w:lang w:val="es-ES"/>
        </w:rPr>
        <w:t>En el En el el Anexo COMA_3 Modelo/Datos/ Precios Insumos No Electricos/ Aseo y limpieza, se presenta el detalle del cálculo realizado.</w:t>
      </w:r>
    </w:p>
    <w:p w14:paraId="552545E8" w14:textId="77777777" w:rsidR="0060133B" w:rsidRPr="00B06D23" w:rsidRDefault="0060133B" w:rsidP="0079428C">
      <w:pPr>
        <w:rPr>
          <w:lang w:val="es-ES"/>
        </w:rPr>
      </w:pPr>
    </w:p>
    <w:p w14:paraId="6DCCC133" w14:textId="77777777" w:rsidR="0079428C" w:rsidRPr="00FD055F" w:rsidRDefault="0079428C" w:rsidP="0079428C">
      <w:pPr>
        <w:pStyle w:val="Ttulo4"/>
      </w:pPr>
      <w:bookmarkStart w:id="154" w:name="_Toc34398119"/>
      <w:bookmarkStart w:id="155" w:name="_Toc34687213"/>
      <w:r w:rsidRPr="00FD055F">
        <w:t>Gastos del directorio</w:t>
      </w:r>
      <w:bookmarkEnd w:id="154"/>
      <w:bookmarkEnd w:id="155"/>
      <w:r w:rsidRPr="00FD055F">
        <w:t xml:space="preserve"> </w:t>
      </w:r>
    </w:p>
    <w:p w14:paraId="631CA195" w14:textId="77777777" w:rsidR="0079428C" w:rsidRPr="00B06D23" w:rsidRDefault="0079428C" w:rsidP="0079428C">
      <w:pPr>
        <w:rPr>
          <w:rFonts w:cs="Arial"/>
          <w:szCs w:val="22"/>
          <w:lang w:val="es-ES"/>
        </w:rPr>
      </w:pPr>
      <w:r w:rsidRPr="00B06D23">
        <w:rPr>
          <w:rFonts w:cs="Arial"/>
          <w:szCs w:val="22"/>
          <w:lang w:val="es-ES"/>
        </w:rPr>
        <w:t xml:space="preserve">Se considera un directorio compuesto por un presidente, y cuatro  directores que se estima razonable relacionados con el tamaño de la empresa </w:t>
      </w:r>
    </w:p>
    <w:p w14:paraId="5C6FCC3C" w14:textId="77777777" w:rsidR="0079428C" w:rsidRPr="00B06D23" w:rsidRDefault="0079428C" w:rsidP="0079428C">
      <w:pPr>
        <w:rPr>
          <w:rFonts w:cs="Arial"/>
          <w:szCs w:val="22"/>
          <w:lang w:val="es-ES"/>
        </w:rPr>
      </w:pPr>
      <w:r w:rsidRPr="00B06D23">
        <w:rPr>
          <w:rFonts w:cs="Arial"/>
          <w:szCs w:val="22"/>
          <w:lang w:val="es-ES"/>
        </w:rPr>
        <w:t>Para cada director se considera honorarios anuales y un gasto para el funcionamiento del directorio.</w:t>
      </w:r>
    </w:p>
    <w:p w14:paraId="47FB0458" w14:textId="77777777" w:rsidR="0079428C" w:rsidRPr="00B06D23" w:rsidRDefault="0079428C" w:rsidP="0079428C">
      <w:pPr>
        <w:rPr>
          <w:rFonts w:cs="Arial"/>
          <w:szCs w:val="22"/>
          <w:lang w:val="es-ES"/>
        </w:rPr>
      </w:pPr>
      <w:r w:rsidRPr="00B06D23">
        <w:rPr>
          <w:rFonts w:cs="Arial"/>
          <w:szCs w:val="22"/>
          <w:lang w:val="es-ES"/>
        </w:rPr>
        <w:t>Las honorarios de los directores varían en cada empresa, y en algunos casos los directores renuncian el cobro de dichos honorarios. Tal el caso de Transelec que en el año 2017, cuatro de los nueve directores rescindieron del pago, por lo que el honorario promedio por director es de 50.000 USD/año.</w:t>
      </w:r>
    </w:p>
    <w:p w14:paraId="03E2890D" w14:textId="77777777" w:rsidR="0079428C" w:rsidRPr="00B06D23" w:rsidRDefault="0079428C" w:rsidP="0079428C">
      <w:pPr>
        <w:rPr>
          <w:rFonts w:cs="Arial"/>
          <w:szCs w:val="22"/>
          <w:lang w:val="es-ES"/>
        </w:rPr>
      </w:pPr>
      <w:r w:rsidRPr="00B06D23">
        <w:rPr>
          <w:rFonts w:cs="Arial"/>
          <w:szCs w:val="22"/>
          <w:lang w:val="es-ES"/>
        </w:rPr>
        <w:t>Se ha considerado en forma referencial honorarios de 50.000 USD/año por director con base de lo relevado de Transelec y a los antecedentes regulatorios vigente. Los gastos generales  generales  del directorio , se asumieron como un porcentaje eficiente de los honorarios.</w:t>
      </w:r>
    </w:p>
    <w:p w14:paraId="24B06C79" w14:textId="77777777" w:rsidR="0079428C" w:rsidRPr="00B06D23" w:rsidRDefault="0079428C" w:rsidP="0079428C">
      <w:pPr>
        <w:rPr>
          <w:lang w:val="es-ES"/>
        </w:rPr>
      </w:pPr>
      <w:r w:rsidRPr="00B06D23">
        <w:rPr>
          <w:lang w:val="es-ES"/>
        </w:rPr>
        <w:t>En el el Anexo COMA_3 Modelo/Datos/ Precios Insumos No Electricos/ Remuneracion Directorio, se presenta el detalle del cálculo realizado.</w:t>
      </w:r>
    </w:p>
    <w:p w14:paraId="1F3E3301" w14:textId="77777777" w:rsidR="0079428C" w:rsidRPr="00FD055F" w:rsidRDefault="0079428C" w:rsidP="0079428C">
      <w:pPr>
        <w:pStyle w:val="Ttulo4"/>
      </w:pPr>
      <w:bookmarkStart w:id="156" w:name="_Toc34398120"/>
      <w:bookmarkStart w:id="157" w:name="_Toc34687214"/>
      <w:r w:rsidRPr="00FD055F">
        <w:t>Contribuciones por terrenos de SSEE y edificios de la EM</w:t>
      </w:r>
      <w:bookmarkEnd w:id="156"/>
      <w:bookmarkEnd w:id="157"/>
    </w:p>
    <w:p w14:paraId="3037670F" w14:textId="77777777" w:rsidR="0079428C" w:rsidRPr="00B06D23" w:rsidRDefault="0079428C" w:rsidP="0079428C">
      <w:pPr>
        <w:tabs>
          <w:tab w:val="left" w:pos="5954"/>
        </w:tabs>
        <w:rPr>
          <w:rFonts w:cs="Arial"/>
          <w:szCs w:val="22"/>
          <w:lang w:val="es-ES"/>
        </w:rPr>
      </w:pPr>
      <w:r w:rsidRPr="00B06D23">
        <w:rPr>
          <w:rFonts w:cs="Arial"/>
          <w:szCs w:val="22"/>
          <w:lang w:val="es-ES"/>
        </w:rPr>
        <w:t>Respecto del cálculo de las contribuciones, se ha seguido la metodología indicada en el Anexo COMA_2_Contribuciones y el detalle del cálculo se puede ver en:</w:t>
      </w:r>
    </w:p>
    <w:p w14:paraId="58797F0B" w14:textId="77777777" w:rsidR="0079428C" w:rsidRPr="00B06D23" w:rsidRDefault="0079428C" w:rsidP="0079428C">
      <w:pPr>
        <w:tabs>
          <w:tab w:val="left" w:pos="5954"/>
        </w:tabs>
        <w:rPr>
          <w:rFonts w:cs="Arial"/>
          <w:szCs w:val="22"/>
          <w:lang w:val="es-ES"/>
        </w:rPr>
      </w:pPr>
      <w:r w:rsidRPr="00B06D23">
        <w:rPr>
          <w:rFonts w:cs="Arial"/>
          <w:szCs w:val="22"/>
          <w:lang w:val="es-ES"/>
        </w:rPr>
        <w:t xml:space="preserve"> </w:t>
      </w:r>
      <w:r w:rsidRPr="00B06D23">
        <w:rPr>
          <w:lang w:val="es-ES"/>
        </w:rPr>
        <w:t>Anexo COMA_3 Modelo/Datos</w:t>
      </w:r>
      <w:r w:rsidRPr="00B06D23">
        <w:rPr>
          <w:rFonts w:cs="Arial"/>
          <w:szCs w:val="22"/>
          <w:lang w:val="es-ES"/>
        </w:rPr>
        <w:t xml:space="preserve"> / Precios Insumos No Electricos/Insumos No Elec SE, y sus archivos de soporte relacionados:</w:t>
      </w:r>
    </w:p>
    <w:p w14:paraId="480BA59B" w14:textId="77777777" w:rsidR="0079428C" w:rsidRPr="00B06D23" w:rsidRDefault="0079428C" w:rsidP="002E20CA">
      <w:pPr>
        <w:pStyle w:val="Prrafodelista"/>
        <w:numPr>
          <w:ilvl w:val="0"/>
          <w:numId w:val="51"/>
        </w:numPr>
        <w:tabs>
          <w:tab w:val="left" w:pos="5954"/>
        </w:tabs>
        <w:rPr>
          <w:rFonts w:cs="Arial"/>
          <w:szCs w:val="22"/>
          <w:lang w:val="es-ES"/>
        </w:rPr>
      </w:pPr>
      <w:r w:rsidRPr="00B06D23">
        <w:rPr>
          <w:rFonts w:cs="Arial"/>
          <w:szCs w:val="22"/>
          <w:lang w:val="es-ES"/>
        </w:rPr>
        <w:t>Costo Metro Cuadrado Contribuciones en US$ Dic 2017</w:t>
      </w:r>
    </w:p>
    <w:p w14:paraId="01DD18A2" w14:textId="77777777" w:rsidR="0079428C" w:rsidRPr="00B06D23" w:rsidRDefault="0079428C" w:rsidP="002E20CA">
      <w:pPr>
        <w:pStyle w:val="Prrafodelista"/>
        <w:numPr>
          <w:ilvl w:val="0"/>
          <w:numId w:val="51"/>
        </w:numPr>
        <w:tabs>
          <w:tab w:val="left" w:pos="5954"/>
        </w:tabs>
        <w:rPr>
          <w:rFonts w:cs="Arial"/>
          <w:szCs w:val="22"/>
          <w:lang w:val="es-ES"/>
        </w:rPr>
      </w:pPr>
      <w:r w:rsidRPr="00B06D23">
        <w:rPr>
          <w:rFonts w:cs="Arial"/>
          <w:szCs w:val="22"/>
          <w:lang w:val="es-ES"/>
        </w:rPr>
        <w:t>Avalúo y Pago de Contribuciones</w:t>
      </w:r>
    </w:p>
    <w:p w14:paraId="1A06B2DB" w14:textId="77777777" w:rsidR="0079428C" w:rsidRPr="00FD055F" w:rsidRDefault="0079428C" w:rsidP="0079428C">
      <w:pPr>
        <w:pStyle w:val="Ttulo4"/>
      </w:pPr>
      <w:bookmarkStart w:id="158" w:name="_Toc34398121"/>
      <w:bookmarkStart w:id="159" w:name="_Toc34687215"/>
      <w:r w:rsidRPr="00FD055F">
        <w:t>Asesorías, estudios y otros servicios (estados financieros, tributarias y contables, legales, estudio tarifario, plan de desarrollo, calidad y normas técnicas, laborales y prevención de riesgos, otros estudios regulatorios, auditorías)</w:t>
      </w:r>
      <w:bookmarkEnd w:id="158"/>
      <w:bookmarkEnd w:id="159"/>
    </w:p>
    <w:p w14:paraId="0E08314A" w14:textId="77777777" w:rsidR="0079428C" w:rsidRPr="00B06D23" w:rsidRDefault="0079428C" w:rsidP="0079428C">
      <w:pPr>
        <w:rPr>
          <w:rFonts w:cs="Arial"/>
          <w:szCs w:val="22"/>
          <w:lang w:val="es-ES"/>
        </w:rPr>
      </w:pPr>
      <w:r w:rsidRPr="00B06D23">
        <w:rPr>
          <w:rFonts w:cs="Arial"/>
          <w:szCs w:val="22"/>
          <w:lang w:val="es-ES"/>
        </w:rPr>
        <w:t>Se determinó el costo de esta partida de acuerdo a las necesidades de la empresa eficiente. Ésta se estimó como sobre la base de costos referenciales eficientes basados en información de mercado y/o antecedentes regulatorios.</w:t>
      </w:r>
    </w:p>
    <w:p w14:paraId="6B579110" w14:textId="77777777" w:rsidR="0079428C" w:rsidRPr="00B06D23" w:rsidRDefault="0079428C" w:rsidP="0079428C">
      <w:pPr>
        <w:rPr>
          <w:rFonts w:cs="Arial"/>
          <w:szCs w:val="22"/>
          <w:lang w:val="es-ES"/>
        </w:rPr>
      </w:pPr>
      <w:r w:rsidRPr="00B06D23">
        <w:rPr>
          <w:rFonts w:cs="Arial"/>
          <w:szCs w:val="22"/>
          <w:lang w:val="es-ES"/>
        </w:rPr>
        <w:t xml:space="preserve"> Las partidas identificadas como asesorías son:</w:t>
      </w:r>
    </w:p>
    <w:p w14:paraId="196500F6" w14:textId="77777777" w:rsidR="0079428C" w:rsidRPr="00B06D23" w:rsidRDefault="0079428C" w:rsidP="002E20CA">
      <w:pPr>
        <w:pStyle w:val="Prrafodelista"/>
        <w:numPr>
          <w:ilvl w:val="0"/>
          <w:numId w:val="50"/>
        </w:numPr>
        <w:rPr>
          <w:rFonts w:cs="Arial"/>
          <w:szCs w:val="22"/>
          <w:lang w:val="es-ES"/>
        </w:rPr>
      </w:pPr>
      <w:r w:rsidRPr="00B06D23">
        <w:rPr>
          <w:rFonts w:cs="Arial"/>
          <w:szCs w:val="22"/>
          <w:lang w:val="es-ES"/>
        </w:rPr>
        <w:t xml:space="preserve">Auditoría a los Estados Financieros: esta actividad debe ser realizadas por empresas auditoras inscritas en los registros de la Superintendencia de valores y Seguros y constituye una obligación para las sociedades anónimas abiertas. </w:t>
      </w:r>
    </w:p>
    <w:p w14:paraId="52E29171" w14:textId="77777777" w:rsidR="0079428C" w:rsidRPr="00B06D23" w:rsidRDefault="0079428C" w:rsidP="002E20CA">
      <w:pPr>
        <w:pStyle w:val="Prrafodelista"/>
        <w:numPr>
          <w:ilvl w:val="0"/>
          <w:numId w:val="50"/>
        </w:numPr>
        <w:rPr>
          <w:rFonts w:cs="Arial"/>
          <w:szCs w:val="22"/>
          <w:lang w:val="es-ES"/>
        </w:rPr>
      </w:pPr>
      <w:r w:rsidRPr="00B06D23">
        <w:rPr>
          <w:rFonts w:cs="Arial"/>
          <w:szCs w:val="22"/>
          <w:lang w:val="es-ES"/>
        </w:rPr>
        <w:t>Asesorías tributarias y contables: corresponde a actividades asociadas a los estados financieros. La empresa debe realizar análisis razonados de sus posiciones, realizar análisis de deterioro de sus activos, cálculos mucho más específicos de la valorización de activos, pasivos, deudas, provisiones y otras figuras contables exigidas por la Superintendencia de Valores de Chile.  En materia tributaria la empresa debe mantenerse actualizada de las últimas novedades en la materia mediante asesorías especializadas.</w:t>
      </w:r>
    </w:p>
    <w:p w14:paraId="58F27F1B" w14:textId="77777777" w:rsidR="0079428C" w:rsidRPr="00B06D23" w:rsidRDefault="0079428C" w:rsidP="002E20CA">
      <w:pPr>
        <w:pStyle w:val="Prrafodelista"/>
        <w:numPr>
          <w:ilvl w:val="0"/>
          <w:numId w:val="50"/>
        </w:numPr>
        <w:rPr>
          <w:rFonts w:cs="Arial"/>
          <w:szCs w:val="22"/>
          <w:lang w:val="es-ES"/>
        </w:rPr>
      </w:pPr>
      <w:r w:rsidRPr="00B06D23">
        <w:rPr>
          <w:rFonts w:cs="Arial"/>
          <w:szCs w:val="22"/>
          <w:lang w:val="es-ES"/>
        </w:rPr>
        <w:t xml:space="preserve">Asesorías y gastos legales: si bien la empresa dispone de un área de asesoría legal, se ve involucrada en eventos legales en toda la extensión de su concesión, para lo cual resulta más adecuada encargar responsabilidades a abogados de las distintas plaza, para interactuar con juzgados, notarías, conservadores de bienes raíces, otras empresas, proveedores y clientes. </w:t>
      </w:r>
    </w:p>
    <w:p w14:paraId="6A030D97" w14:textId="375E9D82" w:rsidR="0079428C" w:rsidRPr="00B06D23" w:rsidRDefault="0079428C" w:rsidP="002E20CA">
      <w:pPr>
        <w:pStyle w:val="Prrafodelista"/>
        <w:numPr>
          <w:ilvl w:val="0"/>
          <w:numId w:val="50"/>
        </w:numPr>
        <w:rPr>
          <w:rFonts w:cs="Arial"/>
          <w:szCs w:val="22"/>
          <w:lang w:val="es-ES"/>
        </w:rPr>
      </w:pPr>
      <w:r w:rsidRPr="00B06D23">
        <w:rPr>
          <w:rFonts w:cs="Arial"/>
          <w:szCs w:val="22"/>
          <w:lang w:val="es-ES"/>
        </w:rPr>
        <w:t xml:space="preserve">Estudio </w:t>
      </w:r>
      <w:r w:rsidR="00F968F3">
        <w:rPr>
          <w:rFonts w:cs="Arial"/>
          <w:szCs w:val="22"/>
          <w:lang w:val="es-ES"/>
        </w:rPr>
        <w:t>valorización sistema nacional</w:t>
      </w:r>
      <w:r w:rsidRPr="00B06D23">
        <w:rPr>
          <w:rFonts w:cs="Arial"/>
          <w:szCs w:val="22"/>
          <w:lang w:val="es-ES"/>
        </w:rPr>
        <w:t xml:space="preserve">: el estudio </w:t>
      </w:r>
      <w:r w:rsidR="00F968F3">
        <w:rPr>
          <w:rFonts w:cs="Arial"/>
          <w:szCs w:val="22"/>
          <w:lang w:val="es-ES"/>
        </w:rPr>
        <w:t>de valorización</w:t>
      </w:r>
      <w:r w:rsidRPr="00B06D23">
        <w:rPr>
          <w:rFonts w:cs="Arial"/>
          <w:szCs w:val="22"/>
          <w:lang w:val="es-ES"/>
        </w:rPr>
        <w:t xml:space="preserve"> corresponde a un gasto cada 4 años, que la empresa realiza para desarrollar su estudio tarifario. </w:t>
      </w:r>
    </w:p>
    <w:p w14:paraId="122D5172" w14:textId="77777777" w:rsidR="0079428C" w:rsidRPr="00B06D23" w:rsidRDefault="0079428C" w:rsidP="002E20CA">
      <w:pPr>
        <w:pStyle w:val="Prrafodelista"/>
        <w:numPr>
          <w:ilvl w:val="0"/>
          <w:numId w:val="50"/>
        </w:numPr>
        <w:rPr>
          <w:rFonts w:cs="Arial"/>
          <w:szCs w:val="22"/>
          <w:lang w:val="es-ES"/>
        </w:rPr>
      </w:pPr>
      <w:r w:rsidRPr="00B06D23">
        <w:rPr>
          <w:rFonts w:cs="Arial"/>
          <w:szCs w:val="22"/>
          <w:lang w:val="es-ES"/>
        </w:rPr>
        <w:t>Asesorías en Plan de Desarrollo: se trata de asesorías de apoyo estratégicas para definir infraestructura real futura (eléctrica y no eléctrica) y sus inversiones de desarrollo. El objetivo específico de estas asesorías es poder acompañar los estudios que realiza  el Coordinador Nacional y realizar las interacciones pertinentes.</w:t>
      </w:r>
    </w:p>
    <w:p w14:paraId="6F9A31FE" w14:textId="77777777" w:rsidR="0079428C" w:rsidRPr="00B06D23" w:rsidRDefault="0079428C" w:rsidP="002E20CA">
      <w:pPr>
        <w:pStyle w:val="Prrafodelista"/>
        <w:numPr>
          <w:ilvl w:val="0"/>
          <w:numId w:val="50"/>
        </w:numPr>
        <w:rPr>
          <w:rFonts w:cs="Arial"/>
          <w:szCs w:val="22"/>
          <w:lang w:val="es-ES"/>
        </w:rPr>
      </w:pPr>
      <w:r w:rsidRPr="00B06D23">
        <w:rPr>
          <w:rFonts w:cs="Arial"/>
          <w:szCs w:val="22"/>
          <w:lang w:val="es-ES"/>
        </w:rPr>
        <w:t>Asesorías en Calidad y establecimiento de Normas Técnicas: el desarrollo tecnológico y los requerimientos de los clientes exigen que la empresa tenga un plan permanente de mejoramiento de sus instalaciones, para aumentar la confiabilidad de sus prestaciones y lograr la satisfacción de sus clientes. Para ello se realizan asesorías que apuntan a la calidad del servicio y al establecimiento o perfeccionamiento de normas técnicas.</w:t>
      </w:r>
    </w:p>
    <w:p w14:paraId="097CC43B" w14:textId="77777777" w:rsidR="0079428C" w:rsidRPr="00B06D23" w:rsidRDefault="0079428C" w:rsidP="002E20CA">
      <w:pPr>
        <w:pStyle w:val="Prrafodelista"/>
        <w:numPr>
          <w:ilvl w:val="0"/>
          <w:numId w:val="50"/>
        </w:numPr>
        <w:rPr>
          <w:rFonts w:cs="Arial"/>
          <w:szCs w:val="22"/>
          <w:lang w:val="es-ES"/>
        </w:rPr>
      </w:pPr>
      <w:r w:rsidRPr="00B06D23">
        <w:rPr>
          <w:rFonts w:cs="Arial"/>
          <w:szCs w:val="22"/>
          <w:lang w:val="es-ES"/>
        </w:rPr>
        <w:t xml:space="preserve">Asesorías Laborales y Prevención de Riesgos: se incluye con la contratación de personal de reemplazo, estudio de remuneraciones; estudios relacionados a la organización, como clima laboral, estrategias de participación y otras; estudios relacionados con nuevas normativas laborales, interpretación y aplicabilidad e impacto en la organización. En los temas de Prevención de Riesgos, Salud Ocupacional y Medioambiente se requiere constantemente realizar estudios de las condiciones de trabajo del personal, de los impactos de la actividad en el medio ambiente y de interpretación de nuevas normativas. </w:t>
      </w:r>
    </w:p>
    <w:p w14:paraId="1280AEBA" w14:textId="77777777" w:rsidR="0079428C" w:rsidRPr="00B06D23" w:rsidRDefault="0079428C" w:rsidP="0079428C">
      <w:pPr>
        <w:tabs>
          <w:tab w:val="left" w:pos="5954"/>
        </w:tabs>
        <w:rPr>
          <w:lang w:val="es-ES"/>
        </w:rPr>
      </w:pPr>
      <w:r w:rsidRPr="00B06D23">
        <w:rPr>
          <w:lang w:val="es-ES"/>
        </w:rPr>
        <w:t xml:space="preserve">El detalle de cálculo y soportes se pueden ver en : </w:t>
      </w:r>
    </w:p>
    <w:p w14:paraId="6DBBDE40" w14:textId="77777777" w:rsidR="0079428C" w:rsidRPr="00B06D23" w:rsidRDefault="0079428C" w:rsidP="0079428C">
      <w:pPr>
        <w:tabs>
          <w:tab w:val="left" w:pos="5954"/>
        </w:tabs>
        <w:rPr>
          <w:rFonts w:cs="Arial"/>
          <w:szCs w:val="22"/>
          <w:lang w:val="es-ES"/>
        </w:rPr>
      </w:pPr>
      <w:r w:rsidRPr="00B06D23">
        <w:rPr>
          <w:lang w:val="es-ES"/>
        </w:rPr>
        <w:t>Anexo COMA_3 Modelo/Datos</w:t>
      </w:r>
      <w:r w:rsidRPr="00B06D23">
        <w:rPr>
          <w:rFonts w:cs="Arial"/>
          <w:szCs w:val="22"/>
          <w:lang w:val="es-ES"/>
        </w:rPr>
        <w:t xml:space="preserve"> / Precios Insumos No Electricos/Asesorías.</w:t>
      </w:r>
    </w:p>
    <w:p w14:paraId="5B4A1E6E" w14:textId="77777777" w:rsidR="0079428C" w:rsidRPr="00FD055F" w:rsidRDefault="0079428C" w:rsidP="0079428C">
      <w:pPr>
        <w:pStyle w:val="Ttulo4"/>
      </w:pPr>
      <w:bookmarkStart w:id="160" w:name="_Toc34398122"/>
      <w:bookmarkStart w:id="161" w:name="_Toc34687216"/>
      <w:r w:rsidRPr="00FD055F">
        <w:t>Gastos de Imagen institucional</w:t>
      </w:r>
      <w:bookmarkEnd w:id="160"/>
      <w:bookmarkEnd w:id="161"/>
    </w:p>
    <w:p w14:paraId="457E526E" w14:textId="77777777" w:rsidR="0079428C" w:rsidRPr="00B06D23" w:rsidRDefault="0079428C" w:rsidP="0079428C">
      <w:pPr>
        <w:rPr>
          <w:rFonts w:cs="Arial"/>
          <w:szCs w:val="22"/>
          <w:lang w:val="es-ES"/>
        </w:rPr>
      </w:pPr>
      <w:r w:rsidRPr="00B06D23">
        <w:rPr>
          <w:rFonts w:cs="Arial"/>
          <w:szCs w:val="22"/>
          <w:lang w:val="es-ES"/>
        </w:rPr>
        <w:t>Para obtener un costo anual para la empresa modelo se consideraron relevamientos de mercado para empresas similares.</w:t>
      </w:r>
    </w:p>
    <w:p w14:paraId="1A2D1217" w14:textId="77777777" w:rsidR="0079428C" w:rsidRPr="00B06D23" w:rsidRDefault="0079428C" w:rsidP="0079428C">
      <w:pPr>
        <w:rPr>
          <w:rFonts w:cs="Arial"/>
          <w:szCs w:val="22"/>
          <w:lang w:val="es-ES"/>
        </w:rPr>
      </w:pPr>
      <w:r w:rsidRPr="00B06D23">
        <w:rPr>
          <w:rFonts w:cs="Arial"/>
          <w:szCs w:val="22"/>
          <w:lang w:val="es-ES"/>
        </w:rPr>
        <w:t>Para obtener un costo anual para la empresa modelo se tomaron tres presupuestos para el desarrollo de la imagen empresarial tomados de los antecedentes regulatorios. Dichos presupuestos corresponden a proyectos de diferente orden de magnitud, y en base a lo anterior se obtuvo un costo estimado promedio para la empresa modelo</w:t>
      </w:r>
    </w:p>
    <w:p w14:paraId="4E1BC4D0" w14:textId="77777777" w:rsidR="0079428C" w:rsidRPr="00FD055F" w:rsidRDefault="0079428C" w:rsidP="0079428C">
      <w:pPr>
        <w:pStyle w:val="Ttulo4"/>
      </w:pPr>
      <w:bookmarkStart w:id="162" w:name="_Toc34398123"/>
      <w:bookmarkStart w:id="163" w:name="_Toc34687217"/>
      <w:r w:rsidRPr="00FD055F">
        <w:t>Gastos de capacitación</w:t>
      </w:r>
      <w:bookmarkEnd w:id="162"/>
      <w:bookmarkEnd w:id="163"/>
    </w:p>
    <w:p w14:paraId="1A5A2BD8" w14:textId="2CB64BAA" w:rsidR="0079428C" w:rsidRPr="00B06D23" w:rsidRDefault="0079428C" w:rsidP="0079428C">
      <w:pPr>
        <w:rPr>
          <w:rFonts w:cs="Arial"/>
          <w:szCs w:val="22"/>
          <w:lang w:val="es-ES"/>
        </w:rPr>
      </w:pPr>
      <w:r w:rsidRPr="00B06D23">
        <w:rPr>
          <w:rFonts w:cs="Arial"/>
          <w:szCs w:val="22"/>
          <w:lang w:val="es-ES"/>
        </w:rPr>
        <w:t xml:space="preserve">Para estimar el costo de capacitación de la empresa </w:t>
      </w:r>
      <w:r w:rsidR="00F968F3">
        <w:rPr>
          <w:rFonts w:cs="Arial"/>
          <w:szCs w:val="22"/>
          <w:lang w:val="es-ES"/>
        </w:rPr>
        <w:t>de transmisión nacional</w:t>
      </w:r>
      <w:r w:rsidRPr="00B06D23">
        <w:rPr>
          <w:rFonts w:cs="Arial"/>
          <w:szCs w:val="22"/>
          <w:lang w:val="es-ES"/>
        </w:rPr>
        <w:t>, se consideró que un 50% del total del personal propio se capacita por año, considerando para ello 45 horas de capacitación al año a un costo de 20 US$/hora por cada trabajador. Lo anterior basado en antecedentes regulatorios.</w:t>
      </w:r>
    </w:p>
    <w:p w14:paraId="1050AD80" w14:textId="77777777" w:rsidR="0079428C" w:rsidRPr="00FD055F" w:rsidRDefault="0079428C" w:rsidP="0079428C">
      <w:pPr>
        <w:pStyle w:val="Ttulo4"/>
      </w:pPr>
      <w:bookmarkStart w:id="164" w:name="_Toc34398124"/>
      <w:bookmarkStart w:id="165" w:name="_Toc34687218"/>
      <w:r w:rsidRPr="00FD055F">
        <w:t>Gastos por viajes no operacionales (pasajes y viáticos)</w:t>
      </w:r>
      <w:bookmarkEnd w:id="164"/>
      <w:bookmarkEnd w:id="165"/>
    </w:p>
    <w:p w14:paraId="021CCB8A" w14:textId="77777777" w:rsidR="0079428C" w:rsidRPr="00B06D23" w:rsidRDefault="0079428C" w:rsidP="0079428C">
      <w:pPr>
        <w:rPr>
          <w:rFonts w:cs="Arial"/>
          <w:szCs w:val="22"/>
          <w:lang w:val="es-ES"/>
        </w:rPr>
      </w:pPr>
      <w:r w:rsidRPr="00B06D23">
        <w:rPr>
          <w:rFonts w:cs="Arial"/>
          <w:szCs w:val="22"/>
          <w:lang w:val="es-ES"/>
        </w:rPr>
        <w:t>Los empleados con nivel de gerentes, subgerentes y jefes requieren viajes entre las regionales y Santiago y/o subestaciones, u otros emplazamientos con motivo de reuniones de trabajo entre empleados y terceros de la empresa.</w:t>
      </w:r>
    </w:p>
    <w:p w14:paraId="25B91DEA" w14:textId="77777777" w:rsidR="0079428C" w:rsidRPr="00B06D23" w:rsidRDefault="0079428C" w:rsidP="0079428C">
      <w:pPr>
        <w:rPr>
          <w:rFonts w:cs="Arial"/>
          <w:szCs w:val="22"/>
          <w:lang w:val="es-ES"/>
        </w:rPr>
      </w:pPr>
      <w:r w:rsidRPr="00B06D23">
        <w:rPr>
          <w:rFonts w:cs="Arial"/>
          <w:szCs w:val="22"/>
          <w:lang w:val="es-ES"/>
        </w:rPr>
        <w:t>Se estimó los costos de pasajes, alojamiento y estadía por año para cada nivel profesional y la estimación de un costo por año.</w:t>
      </w:r>
    </w:p>
    <w:p w14:paraId="49BD5700" w14:textId="77777777" w:rsidR="0079428C" w:rsidRPr="00B06D23" w:rsidRDefault="0079428C" w:rsidP="0079428C">
      <w:pPr>
        <w:tabs>
          <w:tab w:val="left" w:pos="5954"/>
        </w:tabs>
        <w:rPr>
          <w:lang w:val="es-ES"/>
        </w:rPr>
      </w:pPr>
      <w:r w:rsidRPr="00B06D23">
        <w:rPr>
          <w:lang w:val="es-ES"/>
        </w:rPr>
        <w:t xml:space="preserve">El detalle de cálculo y soportes se pueden ver en : </w:t>
      </w:r>
    </w:p>
    <w:p w14:paraId="7FBF864B" w14:textId="77777777" w:rsidR="0079428C" w:rsidRPr="00B06D23" w:rsidRDefault="0079428C" w:rsidP="0079428C">
      <w:pPr>
        <w:tabs>
          <w:tab w:val="left" w:pos="5954"/>
        </w:tabs>
        <w:rPr>
          <w:rFonts w:cs="Arial"/>
          <w:szCs w:val="22"/>
          <w:lang w:val="es-ES"/>
        </w:rPr>
      </w:pPr>
      <w:r w:rsidRPr="00B06D23">
        <w:rPr>
          <w:lang w:val="es-ES"/>
        </w:rPr>
        <w:t>Anexo COMA_3 Modelo/Datos</w:t>
      </w:r>
      <w:r w:rsidRPr="00B06D23">
        <w:rPr>
          <w:rFonts w:cs="Arial"/>
          <w:szCs w:val="22"/>
          <w:lang w:val="es-ES"/>
        </w:rPr>
        <w:t xml:space="preserve"> / Precios Insumos No Electricos/Viaticos no operacionales</w:t>
      </w:r>
    </w:p>
    <w:p w14:paraId="718FEFA4" w14:textId="77777777" w:rsidR="0079428C" w:rsidRPr="00FD055F" w:rsidRDefault="0079428C" w:rsidP="0079428C">
      <w:pPr>
        <w:pStyle w:val="Ttulo4"/>
      </w:pPr>
      <w:bookmarkStart w:id="166" w:name="_Toc34398125"/>
      <w:bookmarkStart w:id="167" w:name="_Toc34687219"/>
      <w:r w:rsidRPr="00FD055F">
        <w:t>Gastos de viáticos operacionales</w:t>
      </w:r>
      <w:bookmarkEnd w:id="166"/>
      <w:bookmarkEnd w:id="167"/>
      <w:r w:rsidRPr="00FD055F">
        <w:t xml:space="preserve"> </w:t>
      </w:r>
    </w:p>
    <w:p w14:paraId="39E96548" w14:textId="77777777" w:rsidR="0079428C" w:rsidRPr="00B06D23" w:rsidRDefault="0079428C" w:rsidP="0079428C">
      <w:pPr>
        <w:tabs>
          <w:tab w:val="left" w:pos="5954"/>
        </w:tabs>
        <w:rPr>
          <w:rFonts w:cs="Arial"/>
          <w:szCs w:val="22"/>
          <w:lang w:val="es-ES"/>
        </w:rPr>
      </w:pPr>
      <w:r w:rsidRPr="00B06D23">
        <w:rPr>
          <w:rFonts w:cs="Arial"/>
          <w:szCs w:val="22"/>
          <w:lang w:val="es-ES"/>
        </w:rPr>
        <w:t>El personal operativo la mayoría de las veces tiene que realizar jornadas muy extensas por el viaje que involucra llegar a las instalaciones y se requiere reconocer los gastos de almuerzo y alojamiento que serán contemplados como un costo unitario para el personal operativo.</w:t>
      </w:r>
    </w:p>
    <w:p w14:paraId="49DF5AFD" w14:textId="77777777" w:rsidR="0079428C" w:rsidRPr="00B06D23" w:rsidRDefault="0079428C" w:rsidP="0079428C">
      <w:pPr>
        <w:tabs>
          <w:tab w:val="left" w:pos="5954"/>
        </w:tabs>
        <w:rPr>
          <w:rFonts w:cs="Arial"/>
          <w:szCs w:val="22"/>
          <w:lang w:val="es-ES"/>
        </w:rPr>
      </w:pPr>
      <w:r w:rsidRPr="00B06D23">
        <w:rPr>
          <w:rFonts w:cs="Arial"/>
          <w:szCs w:val="22"/>
          <w:lang w:val="es-ES"/>
        </w:rPr>
        <w:t>Se realizó un análisis crítico de la información de costos unitarios de alojamiento y comidas presentada por las empresas contra un relevamiento de mercado.</w:t>
      </w:r>
    </w:p>
    <w:p w14:paraId="18B281F7" w14:textId="77777777" w:rsidR="0079428C" w:rsidRPr="00B06D23" w:rsidRDefault="0079428C" w:rsidP="0079428C">
      <w:pPr>
        <w:tabs>
          <w:tab w:val="left" w:pos="5954"/>
        </w:tabs>
        <w:rPr>
          <w:rFonts w:cs="Arial"/>
          <w:szCs w:val="22"/>
          <w:lang w:val="es-ES"/>
        </w:rPr>
      </w:pPr>
      <w:r w:rsidRPr="00B06D23">
        <w:rPr>
          <w:rFonts w:cs="Arial"/>
          <w:szCs w:val="22"/>
          <w:lang w:val="es-ES"/>
        </w:rPr>
        <w:t>Se consideró el costo promedio diario de alojamiento que resulta del relevamiento del mercado y el costo promedio de comidas informado por las empresas con la siguiente cantidad de días:</w:t>
      </w:r>
    </w:p>
    <w:p w14:paraId="1330A358" w14:textId="77777777" w:rsidR="0079428C" w:rsidRPr="00B06D23" w:rsidRDefault="0079428C" w:rsidP="002E20CA">
      <w:pPr>
        <w:pStyle w:val="Prrafodelista"/>
        <w:numPr>
          <w:ilvl w:val="0"/>
          <w:numId w:val="52"/>
        </w:numPr>
        <w:tabs>
          <w:tab w:val="left" w:pos="5954"/>
        </w:tabs>
        <w:rPr>
          <w:rFonts w:cs="Arial"/>
          <w:szCs w:val="22"/>
          <w:lang w:val="es-ES"/>
        </w:rPr>
      </w:pPr>
      <w:r w:rsidRPr="00B06D23">
        <w:rPr>
          <w:rFonts w:cs="Arial"/>
          <w:szCs w:val="22"/>
          <w:lang w:val="es-ES"/>
        </w:rPr>
        <w:t xml:space="preserve">Ingenieros, supervisores y técnicos de las unidades regionales: 52 días por año, se considera un viaje de dos días cada dos semanas. </w:t>
      </w:r>
    </w:p>
    <w:p w14:paraId="4BF72CCD" w14:textId="77777777" w:rsidR="0079428C" w:rsidRPr="00B06D23" w:rsidRDefault="0079428C" w:rsidP="002E20CA">
      <w:pPr>
        <w:pStyle w:val="Prrafodelista"/>
        <w:numPr>
          <w:ilvl w:val="0"/>
          <w:numId w:val="52"/>
        </w:numPr>
        <w:tabs>
          <w:tab w:val="left" w:pos="5954"/>
        </w:tabs>
        <w:rPr>
          <w:rFonts w:cs="Arial"/>
          <w:szCs w:val="22"/>
          <w:lang w:val="es-ES"/>
        </w:rPr>
      </w:pPr>
      <w:r w:rsidRPr="00B06D23">
        <w:rPr>
          <w:rFonts w:cs="Arial"/>
          <w:szCs w:val="22"/>
          <w:lang w:val="es-ES"/>
        </w:rPr>
        <w:t>Operadores de subestación 10  días por año.</w:t>
      </w:r>
    </w:p>
    <w:p w14:paraId="647E9966" w14:textId="77777777" w:rsidR="0079428C" w:rsidRPr="00B06D23" w:rsidRDefault="0079428C" w:rsidP="0079428C">
      <w:pPr>
        <w:tabs>
          <w:tab w:val="left" w:pos="5954"/>
        </w:tabs>
        <w:rPr>
          <w:lang w:val="es-ES"/>
        </w:rPr>
      </w:pPr>
      <w:r w:rsidRPr="00B06D23">
        <w:rPr>
          <w:lang w:val="es-ES"/>
        </w:rPr>
        <w:t xml:space="preserve">El detalle de cálculo y soportes se pueden ver en : </w:t>
      </w:r>
    </w:p>
    <w:p w14:paraId="67CFD198" w14:textId="77777777" w:rsidR="0079428C" w:rsidRPr="00B06D23" w:rsidRDefault="0079428C" w:rsidP="0079428C">
      <w:pPr>
        <w:tabs>
          <w:tab w:val="left" w:pos="5954"/>
        </w:tabs>
        <w:rPr>
          <w:rFonts w:cs="Arial"/>
          <w:szCs w:val="22"/>
          <w:lang w:val="es-ES"/>
        </w:rPr>
      </w:pPr>
      <w:r w:rsidRPr="00B06D23">
        <w:rPr>
          <w:lang w:val="es-ES"/>
        </w:rPr>
        <w:t>Anexo COMA_3 Modelo/Datos</w:t>
      </w:r>
      <w:r w:rsidRPr="00B06D23">
        <w:rPr>
          <w:rFonts w:cs="Arial"/>
          <w:szCs w:val="22"/>
          <w:lang w:val="es-ES"/>
        </w:rPr>
        <w:t xml:space="preserve"> / Precios Insumos No Electricos/Viaticos operacionales</w:t>
      </w:r>
    </w:p>
    <w:p w14:paraId="2AA89182" w14:textId="77777777" w:rsidR="0079428C" w:rsidRPr="00B06D23" w:rsidRDefault="0079428C" w:rsidP="0079428C">
      <w:pPr>
        <w:tabs>
          <w:tab w:val="left" w:pos="5954"/>
        </w:tabs>
        <w:rPr>
          <w:rFonts w:cs="Arial"/>
          <w:szCs w:val="22"/>
          <w:lang w:val="es-ES"/>
        </w:rPr>
      </w:pPr>
      <w:r w:rsidRPr="00B06D23">
        <w:rPr>
          <w:rFonts w:cs="Arial"/>
          <w:szCs w:val="22"/>
          <w:lang w:val="es-ES"/>
        </w:rPr>
        <w:t>Para el personal tercerizado los costos de alojamiento y comidas para el personal de terreno se incluyen en los costos de los servicios tercerizados, determinando la cantidad de días en funcion del tiempo requerido  de pernocte para la ejecución de los trabajos de mantenimiento.</w:t>
      </w:r>
    </w:p>
    <w:p w14:paraId="1FE2E12D" w14:textId="77777777" w:rsidR="0079428C" w:rsidRPr="00FD055F" w:rsidRDefault="0079428C" w:rsidP="0079428C">
      <w:pPr>
        <w:pStyle w:val="Ttulo4"/>
      </w:pPr>
      <w:bookmarkStart w:id="168" w:name="_Toc34398126"/>
      <w:bookmarkStart w:id="169" w:name="_Toc34687220"/>
      <w:r w:rsidRPr="00FD055F">
        <w:t>Gastos en seguros de bienes eléctricos y muebles e inmuebles</w:t>
      </w:r>
      <w:bookmarkEnd w:id="168"/>
      <w:bookmarkEnd w:id="169"/>
    </w:p>
    <w:p w14:paraId="5DE5309F" w14:textId="77777777" w:rsidR="0079428C" w:rsidRPr="00B06D23" w:rsidRDefault="0079428C" w:rsidP="0079428C">
      <w:pPr>
        <w:rPr>
          <w:rFonts w:cs="Arial"/>
          <w:bCs/>
          <w:noProof/>
          <w:szCs w:val="22"/>
          <w:lang w:val="es-ES"/>
        </w:rPr>
      </w:pPr>
      <w:r w:rsidRPr="00B06D23">
        <w:rPr>
          <w:rFonts w:cs="Arial"/>
          <w:bCs/>
          <w:noProof/>
          <w:szCs w:val="22"/>
          <w:lang w:val="es-ES"/>
        </w:rPr>
        <w:t>El criterio a utilizar por la Empresa Modelo para determinar su cobertura es proteger sus activos de una pérdida catastrófica, que pueda interrumpir el servicio eléctrico. De acuerdo a la normativa existente, la empresa tienen la responsabilidad de recuperar los servicios dañados, incluso en los casos de fuerza mayor, es así que la empresa modelo asegura sus instalaciones, tanto las subestaciones y las administrativas como oficinas, bodegas y sus contenidos.</w:t>
      </w:r>
    </w:p>
    <w:p w14:paraId="3C872339" w14:textId="77777777" w:rsidR="0079428C" w:rsidRPr="00B06D23" w:rsidRDefault="0079428C" w:rsidP="0079428C">
      <w:pPr>
        <w:rPr>
          <w:rFonts w:cs="Arial"/>
          <w:bCs/>
          <w:noProof/>
          <w:szCs w:val="22"/>
          <w:lang w:val="es-ES"/>
        </w:rPr>
      </w:pPr>
      <w:r w:rsidRPr="00B06D23">
        <w:rPr>
          <w:rFonts w:cs="Arial"/>
          <w:bCs/>
          <w:noProof/>
          <w:szCs w:val="22"/>
          <w:lang w:val="es-ES"/>
        </w:rPr>
        <w:t xml:space="preserve">Se consideraron seguros de los activos eléctricos y no eléctricos (edificaciones) , responsabilidad civil de contratistas y contra terrorismo. </w:t>
      </w:r>
    </w:p>
    <w:p w14:paraId="275F04EB" w14:textId="77777777" w:rsidR="0079428C" w:rsidRPr="00B06D23" w:rsidRDefault="0079428C" w:rsidP="0079428C">
      <w:pPr>
        <w:rPr>
          <w:rFonts w:cs="Arial"/>
          <w:bCs/>
          <w:noProof/>
          <w:szCs w:val="22"/>
          <w:lang w:val="es-AR"/>
        </w:rPr>
      </w:pPr>
      <w:r w:rsidRPr="00B06D23">
        <w:rPr>
          <w:rFonts w:cs="Arial"/>
          <w:bCs/>
          <w:noProof/>
          <w:szCs w:val="22"/>
          <w:lang w:val="es-ES"/>
        </w:rPr>
        <w:t xml:space="preserve">La </w:t>
      </w:r>
      <w:r w:rsidRPr="00B06D23">
        <w:rPr>
          <w:rFonts w:cs="Arial"/>
          <w:bCs/>
          <w:noProof/>
          <w:szCs w:val="22"/>
          <w:lang w:val="es-AR"/>
        </w:rPr>
        <w:t>prima de seguro para activos eléctricos para calcular el costo anual, que la empresa modelo debe pagar por dicho concepto, se determina aplicando la prima correspondiente sobre el VI de la subestación completa descontado el VI de las instalaciones correspondientes a tramos de sistemas zonales y dedicados. En conclusión, y considerando los VI que se manejan en nuestro estudio, el VI sobre el que se aplica la prima de seguro corresponde a la suma del VI del tramo de subestación (instalaciones comunes) y del VI de las instalaciones asignadas a los tramos de transporte de línea y de transformación del STN. El VI del tramo de subestación para efecto del seguro, no incluye terrenos y servidumbres.</w:t>
      </w:r>
    </w:p>
    <w:p w14:paraId="034C8297" w14:textId="77777777" w:rsidR="0079428C" w:rsidRPr="00B06D23" w:rsidRDefault="0079428C" w:rsidP="0079428C">
      <w:pPr>
        <w:rPr>
          <w:rFonts w:cs="Arial"/>
          <w:szCs w:val="22"/>
          <w:lang w:val="es-ES"/>
        </w:rPr>
      </w:pPr>
      <w:r w:rsidRPr="00B06D23">
        <w:rPr>
          <w:rFonts w:cs="Arial"/>
          <w:bCs/>
          <w:noProof/>
          <w:szCs w:val="22"/>
          <w:lang w:val="es-ES"/>
        </w:rPr>
        <w:t>Se estimó el costo de los seguros s</w:t>
      </w:r>
      <w:r w:rsidRPr="00B06D23">
        <w:rPr>
          <w:rFonts w:cs="Arial"/>
          <w:szCs w:val="22"/>
          <w:lang w:val="es-ES"/>
        </w:rPr>
        <w:t>obre la base de las primas  referenciales basados en información de mercado y/o antecedentes regulatorios.</w:t>
      </w:r>
    </w:p>
    <w:p w14:paraId="293A9ED1" w14:textId="77777777" w:rsidR="0079428C" w:rsidRPr="00B06D23" w:rsidRDefault="0079428C" w:rsidP="0079428C">
      <w:pPr>
        <w:rPr>
          <w:rFonts w:cs="Arial"/>
          <w:bCs/>
          <w:noProof/>
          <w:szCs w:val="22"/>
          <w:lang w:val="es-ES"/>
        </w:rPr>
      </w:pPr>
      <w:r w:rsidRPr="00B06D23">
        <w:rPr>
          <w:rFonts w:cs="Arial"/>
          <w:bCs/>
          <w:noProof/>
          <w:szCs w:val="22"/>
          <w:lang w:val="es-ES"/>
        </w:rPr>
        <w:t>Se han considerado las siguiente premisas para el cálculo de los seguros:</w:t>
      </w:r>
    </w:p>
    <w:tbl>
      <w:tblPr>
        <w:tblW w:w="8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8"/>
        <w:gridCol w:w="2352"/>
        <w:gridCol w:w="1600"/>
      </w:tblGrid>
      <w:tr w:rsidR="0079428C" w:rsidRPr="0060133B" w14:paraId="3630C6B5" w14:textId="77777777" w:rsidTr="0060133B">
        <w:trPr>
          <w:trHeight w:val="290"/>
          <w:jc w:val="center"/>
        </w:trPr>
        <w:tc>
          <w:tcPr>
            <w:tcW w:w="4288" w:type="dxa"/>
            <w:shd w:val="clear" w:color="auto" w:fill="auto"/>
            <w:noWrap/>
            <w:vAlign w:val="bottom"/>
          </w:tcPr>
          <w:p w14:paraId="48EB881A" w14:textId="77777777" w:rsidR="0079428C" w:rsidRPr="0060133B" w:rsidRDefault="0079428C" w:rsidP="00C276D3">
            <w:pPr>
              <w:spacing w:after="0" w:line="240" w:lineRule="auto"/>
              <w:jc w:val="left"/>
              <w:rPr>
                <w:rFonts w:eastAsia="Times New Roman" w:cs="Calibri"/>
                <w:b/>
                <w:sz w:val="20"/>
                <w:szCs w:val="20"/>
                <w:lang w:val="es-ES" w:eastAsia="es-AR"/>
              </w:rPr>
            </w:pPr>
            <w:r w:rsidRPr="0060133B">
              <w:rPr>
                <w:rFonts w:eastAsia="Times New Roman" w:cs="Calibri"/>
                <w:b/>
                <w:sz w:val="20"/>
                <w:szCs w:val="20"/>
                <w:lang w:val="es-ES" w:eastAsia="es-AR"/>
              </w:rPr>
              <w:t>Seguro</w:t>
            </w:r>
          </w:p>
        </w:tc>
        <w:tc>
          <w:tcPr>
            <w:tcW w:w="2352" w:type="dxa"/>
            <w:shd w:val="clear" w:color="auto" w:fill="auto"/>
            <w:noWrap/>
            <w:vAlign w:val="bottom"/>
          </w:tcPr>
          <w:p w14:paraId="0ED12590" w14:textId="77777777" w:rsidR="0079428C" w:rsidRPr="0060133B" w:rsidRDefault="0079428C" w:rsidP="00C276D3">
            <w:pPr>
              <w:spacing w:after="0" w:line="240" w:lineRule="auto"/>
              <w:jc w:val="left"/>
              <w:rPr>
                <w:rFonts w:eastAsia="Times New Roman" w:cs="Calibri"/>
                <w:b/>
                <w:sz w:val="20"/>
                <w:szCs w:val="20"/>
                <w:lang w:val="es-ES" w:eastAsia="es-AR"/>
              </w:rPr>
            </w:pPr>
            <w:r w:rsidRPr="0060133B">
              <w:rPr>
                <w:rFonts w:eastAsia="Times New Roman" w:cs="Calibri"/>
                <w:b/>
                <w:sz w:val="20"/>
                <w:szCs w:val="20"/>
                <w:lang w:val="es-ES" w:eastAsia="es-AR"/>
              </w:rPr>
              <w:t>Base de cálculo</w:t>
            </w:r>
          </w:p>
        </w:tc>
        <w:tc>
          <w:tcPr>
            <w:tcW w:w="1600" w:type="dxa"/>
            <w:shd w:val="clear" w:color="auto" w:fill="FFFFFF" w:themeFill="background1"/>
            <w:noWrap/>
            <w:vAlign w:val="bottom"/>
          </w:tcPr>
          <w:p w14:paraId="089AD02B" w14:textId="77777777" w:rsidR="0079428C" w:rsidRPr="0060133B" w:rsidRDefault="0079428C" w:rsidP="00C276D3">
            <w:pPr>
              <w:spacing w:after="0" w:line="240" w:lineRule="auto"/>
              <w:jc w:val="center"/>
              <w:rPr>
                <w:rFonts w:eastAsia="Times New Roman" w:cs="Calibri"/>
                <w:b/>
                <w:sz w:val="20"/>
                <w:szCs w:val="20"/>
                <w:lang w:val="es-ES" w:eastAsia="es-AR"/>
              </w:rPr>
            </w:pPr>
            <w:r w:rsidRPr="0060133B">
              <w:rPr>
                <w:rFonts w:eastAsia="Times New Roman" w:cs="Calibri"/>
                <w:b/>
                <w:sz w:val="20"/>
                <w:szCs w:val="20"/>
                <w:lang w:val="es-ES" w:eastAsia="es-AR"/>
              </w:rPr>
              <w:t>Prima de seguros</w:t>
            </w:r>
          </w:p>
        </w:tc>
      </w:tr>
      <w:tr w:rsidR="0079428C" w:rsidRPr="0060133B" w14:paraId="143AEAD3" w14:textId="77777777" w:rsidTr="0060133B">
        <w:trPr>
          <w:trHeight w:val="290"/>
          <w:jc w:val="center"/>
        </w:trPr>
        <w:tc>
          <w:tcPr>
            <w:tcW w:w="4288" w:type="dxa"/>
            <w:shd w:val="clear" w:color="auto" w:fill="auto"/>
            <w:noWrap/>
            <w:vAlign w:val="bottom"/>
            <w:hideMark/>
          </w:tcPr>
          <w:p w14:paraId="0843D35E"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Seguro para siniestro en subestaciones</w:t>
            </w:r>
          </w:p>
        </w:tc>
        <w:tc>
          <w:tcPr>
            <w:tcW w:w="2352" w:type="dxa"/>
            <w:shd w:val="clear" w:color="auto" w:fill="auto"/>
            <w:noWrap/>
            <w:vAlign w:val="bottom"/>
            <w:hideMark/>
          </w:tcPr>
          <w:p w14:paraId="2D1066CF"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Ver texto señalado</w:t>
            </w:r>
          </w:p>
        </w:tc>
        <w:tc>
          <w:tcPr>
            <w:tcW w:w="1600" w:type="dxa"/>
            <w:shd w:val="clear" w:color="auto" w:fill="FFFFFF" w:themeFill="background1"/>
            <w:noWrap/>
            <w:vAlign w:val="bottom"/>
            <w:hideMark/>
          </w:tcPr>
          <w:p w14:paraId="6944ECBD" w14:textId="77777777" w:rsidR="0079428C" w:rsidRPr="0060133B" w:rsidRDefault="0079428C" w:rsidP="00C276D3">
            <w:pPr>
              <w:spacing w:after="0" w:line="240" w:lineRule="auto"/>
              <w:jc w:val="center"/>
              <w:rPr>
                <w:rFonts w:eastAsia="Times New Roman" w:cs="Calibri"/>
                <w:sz w:val="20"/>
                <w:szCs w:val="20"/>
                <w:lang w:val="es-ES" w:eastAsia="es-AR"/>
              </w:rPr>
            </w:pPr>
            <w:r w:rsidRPr="0060133B">
              <w:rPr>
                <w:rFonts w:eastAsia="Times New Roman" w:cs="Calibri"/>
                <w:sz w:val="20"/>
                <w:szCs w:val="20"/>
                <w:lang w:val="es-ES" w:eastAsia="es-AR"/>
              </w:rPr>
              <w:t>0,175%</w:t>
            </w:r>
          </w:p>
        </w:tc>
      </w:tr>
      <w:tr w:rsidR="0079428C" w:rsidRPr="0060133B" w14:paraId="7571B3A2" w14:textId="77777777" w:rsidTr="0060133B">
        <w:trPr>
          <w:trHeight w:val="290"/>
          <w:jc w:val="center"/>
        </w:trPr>
        <w:tc>
          <w:tcPr>
            <w:tcW w:w="4288" w:type="dxa"/>
            <w:shd w:val="clear" w:color="auto" w:fill="auto"/>
            <w:noWrap/>
            <w:vAlign w:val="bottom"/>
            <w:hideMark/>
          </w:tcPr>
          <w:p w14:paraId="334F642A"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Seguro para siniestro en BM&amp;I</w:t>
            </w:r>
          </w:p>
        </w:tc>
        <w:tc>
          <w:tcPr>
            <w:tcW w:w="2352" w:type="dxa"/>
            <w:shd w:val="clear" w:color="auto" w:fill="auto"/>
            <w:noWrap/>
            <w:vAlign w:val="bottom"/>
            <w:hideMark/>
          </w:tcPr>
          <w:p w14:paraId="07C26BFD"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V.I DE  BM&amp;I</w:t>
            </w:r>
          </w:p>
        </w:tc>
        <w:tc>
          <w:tcPr>
            <w:tcW w:w="1600" w:type="dxa"/>
            <w:shd w:val="clear" w:color="auto" w:fill="FFFFFF" w:themeFill="background1"/>
            <w:noWrap/>
            <w:vAlign w:val="bottom"/>
            <w:hideMark/>
          </w:tcPr>
          <w:p w14:paraId="48B57C63" w14:textId="77777777" w:rsidR="0079428C" w:rsidRPr="0060133B" w:rsidRDefault="0079428C" w:rsidP="00C276D3">
            <w:pPr>
              <w:spacing w:after="0" w:line="240" w:lineRule="auto"/>
              <w:jc w:val="center"/>
              <w:rPr>
                <w:rFonts w:eastAsia="Times New Roman" w:cs="Calibri"/>
                <w:sz w:val="20"/>
                <w:szCs w:val="20"/>
                <w:lang w:val="es-ES" w:eastAsia="es-AR"/>
              </w:rPr>
            </w:pPr>
            <w:r w:rsidRPr="0060133B">
              <w:rPr>
                <w:rFonts w:eastAsia="Times New Roman" w:cs="Calibri"/>
                <w:sz w:val="20"/>
                <w:szCs w:val="20"/>
                <w:lang w:val="es-ES" w:eastAsia="es-AR"/>
              </w:rPr>
              <w:t>0,26%</w:t>
            </w:r>
          </w:p>
        </w:tc>
      </w:tr>
      <w:tr w:rsidR="0079428C" w:rsidRPr="0060133B" w14:paraId="11493A8D" w14:textId="77777777" w:rsidTr="0060133B">
        <w:trPr>
          <w:trHeight w:val="290"/>
          <w:jc w:val="center"/>
        </w:trPr>
        <w:tc>
          <w:tcPr>
            <w:tcW w:w="4288" w:type="dxa"/>
            <w:shd w:val="clear" w:color="auto" w:fill="auto"/>
            <w:noWrap/>
            <w:vAlign w:val="bottom"/>
            <w:hideMark/>
          </w:tcPr>
          <w:p w14:paraId="26054D9B"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Seguro para responsabilidad civil contratistas</w:t>
            </w:r>
          </w:p>
        </w:tc>
        <w:tc>
          <w:tcPr>
            <w:tcW w:w="2352" w:type="dxa"/>
            <w:shd w:val="clear" w:color="auto" w:fill="auto"/>
            <w:noWrap/>
            <w:vAlign w:val="bottom"/>
            <w:hideMark/>
          </w:tcPr>
          <w:p w14:paraId="347F019C"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Contratos OyM</w:t>
            </w:r>
          </w:p>
        </w:tc>
        <w:tc>
          <w:tcPr>
            <w:tcW w:w="1600" w:type="dxa"/>
            <w:shd w:val="clear" w:color="auto" w:fill="FFFFFF" w:themeFill="background1"/>
            <w:noWrap/>
            <w:vAlign w:val="bottom"/>
            <w:hideMark/>
          </w:tcPr>
          <w:p w14:paraId="076D9066" w14:textId="77777777" w:rsidR="0079428C" w:rsidRPr="0060133B" w:rsidRDefault="0079428C" w:rsidP="00C276D3">
            <w:pPr>
              <w:spacing w:after="0" w:line="240" w:lineRule="auto"/>
              <w:jc w:val="center"/>
              <w:rPr>
                <w:rFonts w:eastAsia="Times New Roman" w:cs="Calibri"/>
                <w:sz w:val="20"/>
                <w:szCs w:val="20"/>
                <w:lang w:val="es-ES" w:eastAsia="es-AR"/>
              </w:rPr>
            </w:pPr>
            <w:r w:rsidRPr="0060133B">
              <w:rPr>
                <w:rFonts w:eastAsia="Times New Roman" w:cs="Calibri"/>
                <w:sz w:val="20"/>
                <w:szCs w:val="20"/>
                <w:lang w:val="es-ES" w:eastAsia="es-AR"/>
              </w:rPr>
              <w:t>0,23%</w:t>
            </w:r>
          </w:p>
        </w:tc>
      </w:tr>
      <w:tr w:rsidR="0079428C" w:rsidRPr="0060133B" w14:paraId="192C992C" w14:textId="77777777" w:rsidTr="0060133B">
        <w:trPr>
          <w:trHeight w:val="290"/>
          <w:jc w:val="center"/>
        </w:trPr>
        <w:tc>
          <w:tcPr>
            <w:tcW w:w="4288" w:type="dxa"/>
            <w:shd w:val="clear" w:color="auto" w:fill="auto"/>
            <w:noWrap/>
            <w:vAlign w:val="bottom"/>
            <w:hideMark/>
          </w:tcPr>
          <w:p w14:paraId="4157EE1E"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Seguro contra terrorismo</w:t>
            </w:r>
          </w:p>
        </w:tc>
        <w:tc>
          <w:tcPr>
            <w:tcW w:w="2352" w:type="dxa"/>
            <w:shd w:val="clear" w:color="auto" w:fill="auto"/>
            <w:noWrap/>
            <w:vAlign w:val="bottom"/>
            <w:hideMark/>
          </w:tcPr>
          <w:p w14:paraId="6556C5E5" w14:textId="77777777" w:rsidR="0079428C" w:rsidRPr="0060133B" w:rsidRDefault="0079428C" w:rsidP="00C276D3">
            <w:pPr>
              <w:spacing w:after="0" w:line="240" w:lineRule="auto"/>
              <w:jc w:val="left"/>
              <w:rPr>
                <w:rFonts w:eastAsia="Times New Roman" w:cs="Calibri"/>
                <w:sz w:val="20"/>
                <w:szCs w:val="20"/>
                <w:lang w:val="es-ES" w:eastAsia="es-AR"/>
              </w:rPr>
            </w:pPr>
            <w:r w:rsidRPr="0060133B">
              <w:rPr>
                <w:rFonts w:eastAsia="Times New Roman" w:cs="Calibri"/>
                <w:sz w:val="20"/>
                <w:szCs w:val="20"/>
                <w:lang w:val="es-ES" w:eastAsia="es-AR"/>
              </w:rPr>
              <w:t>V.I estaciones sin terrenos ni servidumbres</w:t>
            </w:r>
          </w:p>
        </w:tc>
        <w:tc>
          <w:tcPr>
            <w:tcW w:w="1600" w:type="dxa"/>
            <w:shd w:val="clear" w:color="auto" w:fill="FFFFFF" w:themeFill="background1"/>
            <w:noWrap/>
            <w:vAlign w:val="bottom"/>
            <w:hideMark/>
          </w:tcPr>
          <w:p w14:paraId="4CF2C998" w14:textId="77777777" w:rsidR="0079428C" w:rsidRPr="0060133B" w:rsidRDefault="0079428C" w:rsidP="00C276D3">
            <w:pPr>
              <w:spacing w:after="0" w:line="240" w:lineRule="auto"/>
              <w:jc w:val="center"/>
              <w:rPr>
                <w:rFonts w:eastAsia="Times New Roman" w:cs="Calibri"/>
                <w:sz w:val="20"/>
                <w:szCs w:val="20"/>
                <w:lang w:val="es-ES" w:eastAsia="es-AR"/>
              </w:rPr>
            </w:pPr>
            <w:r w:rsidRPr="0060133B">
              <w:rPr>
                <w:rFonts w:eastAsia="Times New Roman" w:cs="Calibri"/>
                <w:sz w:val="20"/>
                <w:szCs w:val="20"/>
                <w:lang w:val="es-ES" w:eastAsia="es-AR"/>
              </w:rPr>
              <w:t>0,0026%</w:t>
            </w:r>
          </w:p>
        </w:tc>
      </w:tr>
    </w:tbl>
    <w:p w14:paraId="5EFCF55D" w14:textId="77777777" w:rsidR="0079428C" w:rsidRPr="00B06D23" w:rsidRDefault="0079428C" w:rsidP="0079428C">
      <w:pPr>
        <w:rPr>
          <w:rFonts w:cs="Arial"/>
          <w:bCs/>
          <w:noProof/>
          <w:szCs w:val="22"/>
          <w:lang w:val="es-ES"/>
        </w:rPr>
      </w:pPr>
    </w:p>
    <w:p w14:paraId="295DDC75" w14:textId="3C04E5E7" w:rsidR="0079428C" w:rsidRDefault="0079428C" w:rsidP="0079428C">
      <w:pPr>
        <w:tabs>
          <w:tab w:val="left" w:pos="5954"/>
        </w:tabs>
        <w:rPr>
          <w:rFonts w:cs="Arial"/>
          <w:szCs w:val="22"/>
          <w:lang w:val="es-ES"/>
        </w:rPr>
      </w:pPr>
      <w:r w:rsidRPr="00B06D23">
        <w:rPr>
          <w:rFonts w:cs="Arial"/>
          <w:bCs/>
          <w:noProof/>
          <w:szCs w:val="22"/>
          <w:lang w:val="es-ES"/>
        </w:rPr>
        <w:t xml:space="preserve">En el </w:t>
      </w:r>
      <w:r w:rsidRPr="00B06D23">
        <w:rPr>
          <w:lang w:val="es-ES"/>
        </w:rPr>
        <w:t>Anexo COMA_3 Modelo/Datos</w:t>
      </w:r>
      <w:r w:rsidRPr="00B06D23">
        <w:rPr>
          <w:rFonts w:cs="Arial"/>
          <w:szCs w:val="22"/>
          <w:lang w:val="es-ES"/>
        </w:rPr>
        <w:t xml:space="preserve"> / Precios Insumos No Electricos/Seguros, se puede ver el detalle del cálculo.</w:t>
      </w:r>
    </w:p>
    <w:p w14:paraId="22F4A1A4" w14:textId="1DE9D870" w:rsidR="0060133B" w:rsidRDefault="0060133B" w:rsidP="0079428C">
      <w:pPr>
        <w:tabs>
          <w:tab w:val="left" w:pos="5954"/>
        </w:tabs>
        <w:rPr>
          <w:rFonts w:cs="Arial"/>
          <w:szCs w:val="22"/>
          <w:lang w:val="es-ES"/>
        </w:rPr>
      </w:pPr>
    </w:p>
    <w:p w14:paraId="2F20FB95" w14:textId="77777777" w:rsidR="0060133B" w:rsidRPr="00B06D23" w:rsidRDefault="0060133B" w:rsidP="0079428C">
      <w:pPr>
        <w:tabs>
          <w:tab w:val="left" w:pos="5954"/>
        </w:tabs>
        <w:rPr>
          <w:rFonts w:cs="Arial"/>
          <w:szCs w:val="22"/>
          <w:lang w:val="es-ES"/>
        </w:rPr>
      </w:pPr>
    </w:p>
    <w:p w14:paraId="10DF4F05" w14:textId="77777777" w:rsidR="0079428C" w:rsidRPr="00FD055F" w:rsidRDefault="0079428C" w:rsidP="0079428C">
      <w:pPr>
        <w:pStyle w:val="Ttulo4"/>
      </w:pPr>
      <w:bookmarkStart w:id="170" w:name="_Toc34398127"/>
      <w:bookmarkStart w:id="171" w:name="_Toc34687221"/>
      <w:r w:rsidRPr="00FD055F">
        <w:t>Gastos en patentes comerciales</w:t>
      </w:r>
      <w:bookmarkEnd w:id="170"/>
      <w:bookmarkEnd w:id="171"/>
    </w:p>
    <w:p w14:paraId="61E7367A" w14:textId="77777777" w:rsidR="0079428C" w:rsidRPr="00B06D23" w:rsidRDefault="0079428C" w:rsidP="0079428C">
      <w:pPr>
        <w:rPr>
          <w:rFonts w:cs="Arial"/>
          <w:szCs w:val="22"/>
          <w:lang w:val="es-ES"/>
        </w:rPr>
      </w:pPr>
      <w:r w:rsidRPr="00B06D23">
        <w:rPr>
          <w:rFonts w:cs="Arial"/>
          <w:szCs w:val="22"/>
          <w:lang w:val="es-ES"/>
        </w:rPr>
        <w:t>Las empresas están sujetas al pago de Patentes Comerciales, con beneficio de los municipios donde realizan sus actividades comerciales. Se relevó el costo de dichas patentes que se incorporará al COMA.</w:t>
      </w:r>
    </w:p>
    <w:p w14:paraId="7E21C0FB" w14:textId="77777777" w:rsidR="0079428C" w:rsidRPr="00B06D23" w:rsidRDefault="0079428C" w:rsidP="0079428C">
      <w:pPr>
        <w:rPr>
          <w:rFonts w:cs="Arial"/>
          <w:szCs w:val="22"/>
          <w:lang w:val="es-ES"/>
        </w:rPr>
      </w:pPr>
      <w:r w:rsidRPr="00B06D23">
        <w:rPr>
          <w:rFonts w:cs="Arial"/>
          <w:szCs w:val="22"/>
          <w:lang w:val="es-ES"/>
        </w:rPr>
        <w:t>La explicación del cálculo se encuentra en el Anexo COMA_4_Patentes Comerciales.</w:t>
      </w:r>
    </w:p>
    <w:p w14:paraId="6FF55524" w14:textId="77777777" w:rsidR="0079428C" w:rsidRPr="00FD055F" w:rsidRDefault="0079428C" w:rsidP="0079428C">
      <w:pPr>
        <w:pStyle w:val="Ttulo4"/>
      </w:pPr>
      <w:bookmarkStart w:id="172" w:name="_Toc34398128"/>
      <w:bookmarkStart w:id="173" w:name="_Toc34687222"/>
      <w:r w:rsidRPr="00FD055F">
        <w:t>Consumos básicos de gas, electricidad y agua en edificios</w:t>
      </w:r>
      <w:bookmarkEnd w:id="172"/>
      <w:bookmarkEnd w:id="173"/>
      <w:r w:rsidRPr="00FD055F">
        <w:t xml:space="preserve"> </w:t>
      </w:r>
    </w:p>
    <w:p w14:paraId="31D03EF0" w14:textId="77777777" w:rsidR="0079428C" w:rsidRPr="00B06D23" w:rsidRDefault="0079428C" w:rsidP="0079428C">
      <w:pPr>
        <w:rPr>
          <w:rFonts w:cs="Arial"/>
          <w:szCs w:val="22"/>
          <w:lang w:val="es-ES"/>
        </w:rPr>
      </w:pPr>
      <w:r w:rsidRPr="00B06D23">
        <w:rPr>
          <w:rFonts w:cs="Arial"/>
          <w:szCs w:val="22"/>
          <w:lang w:val="es-ES"/>
        </w:rPr>
        <w:t>Estos gastos corresponden a todos los gastos incurridos en servicios básicos en los recintos de la empresa de transmisión. Se analizó la razonabilidad del consumo por subestación y por año y el costo según precios del servicio público considerado.</w:t>
      </w:r>
    </w:p>
    <w:p w14:paraId="1D0B5694" w14:textId="77777777" w:rsidR="0079428C" w:rsidRPr="00B06D23" w:rsidRDefault="0079428C" w:rsidP="0079428C">
      <w:pPr>
        <w:rPr>
          <w:rFonts w:cs="Arial"/>
          <w:szCs w:val="22"/>
          <w:lang w:val="es-ES"/>
        </w:rPr>
      </w:pPr>
      <w:r w:rsidRPr="00B06D23">
        <w:rPr>
          <w:rFonts w:cs="Arial"/>
          <w:szCs w:val="22"/>
          <w:lang w:val="es-ES"/>
        </w:rPr>
        <w:t xml:space="preserve">Estos gastos corresponden a los incurridos en servicios básicos en los recintos de la empresa de transmisión. </w:t>
      </w:r>
    </w:p>
    <w:p w14:paraId="570539FD" w14:textId="77777777" w:rsidR="0079428C" w:rsidRPr="00B06D23" w:rsidRDefault="0079428C" w:rsidP="0079428C">
      <w:pPr>
        <w:rPr>
          <w:rFonts w:cs="Arial"/>
          <w:szCs w:val="22"/>
          <w:lang w:val="es-ES"/>
        </w:rPr>
      </w:pPr>
      <w:r w:rsidRPr="00B06D23">
        <w:rPr>
          <w:rFonts w:cs="Arial"/>
          <w:szCs w:val="22"/>
          <w:lang w:val="es-ES"/>
        </w:rPr>
        <w:t>Se realizó un relevamiento de los consumos por empleado de agua, y electricidad presentado por las empresas y se determinó el valor referencial como el promedio, contrastando el valor como eficiente contra los antecedentes regulatorios vigentes.</w:t>
      </w:r>
    </w:p>
    <w:p w14:paraId="7E8E9106" w14:textId="77777777" w:rsidR="0079428C" w:rsidRPr="00FD055F" w:rsidRDefault="0079428C" w:rsidP="0079428C">
      <w:pPr>
        <w:pStyle w:val="Ttulo4"/>
      </w:pPr>
      <w:bookmarkStart w:id="174" w:name="_Toc34398129"/>
      <w:bookmarkStart w:id="175" w:name="_Toc34687223"/>
      <w:r w:rsidRPr="00FD055F">
        <w:t>Consumos básicos de electricidad de subestaciones</w:t>
      </w:r>
      <w:bookmarkEnd w:id="174"/>
      <w:bookmarkEnd w:id="175"/>
      <w:r w:rsidRPr="00FD055F">
        <w:t xml:space="preserve"> </w:t>
      </w:r>
    </w:p>
    <w:p w14:paraId="1E8F2962" w14:textId="54602AD2" w:rsidR="002327DF" w:rsidRPr="00B06D23" w:rsidRDefault="002327DF" w:rsidP="002327DF">
      <w:pPr>
        <w:rPr>
          <w:rFonts w:cs="Arial"/>
          <w:szCs w:val="22"/>
          <w:lang w:val="es-ES"/>
        </w:rPr>
      </w:pPr>
      <w:r w:rsidRPr="00B06D23">
        <w:rPr>
          <w:rFonts w:cs="Arial"/>
          <w:szCs w:val="22"/>
          <w:lang w:val="es-ES"/>
        </w:rPr>
        <w:t xml:space="preserve">Estos gastos corresponden al consumo de electrico de subestaciones. Las empresas toman la energía eléctrica requerida tanto del transformador de servicios auxiliares y/o de un transformador de distribución de la empresa distribuidora </w:t>
      </w:r>
    </w:p>
    <w:p w14:paraId="75336333" w14:textId="77777777" w:rsidR="002327DF" w:rsidRPr="00B06D23" w:rsidRDefault="002327DF" w:rsidP="002327DF">
      <w:pPr>
        <w:rPr>
          <w:rFonts w:cs="Arial"/>
          <w:szCs w:val="22"/>
          <w:lang w:val="es-ES"/>
        </w:rPr>
      </w:pPr>
      <w:r w:rsidRPr="00B06D23">
        <w:rPr>
          <w:rFonts w:cs="Arial"/>
          <w:szCs w:val="22"/>
          <w:lang w:val="es-ES"/>
        </w:rPr>
        <w:t>El consumo de las estaciones está constituido por la refrigeración de los transformadores, iluminación, aire acondicionado de salas de control, iluminación y dispositivos de comando.</w:t>
      </w:r>
    </w:p>
    <w:p w14:paraId="5026D8CA" w14:textId="2C538168" w:rsidR="0079428C" w:rsidRPr="00B06D23" w:rsidRDefault="002327DF" w:rsidP="002327DF">
      <w:pPr>
        <w:rPr>
          <w:rFonts w:cs="Arial"/>
          <w:szCs w:val="22"/>
          <w:lang w:val="es-ES"/>
        </w:rPr>
      </w:pPr>
      <w:r w:rsidRPr="00B06D23">
        <w:rPr>
          <w:rFonts w:cs="Arial"/>
          <w:szCs w:val="22"/>
          <w:lang w:val="es-ES"/>
        </w:rPr>
        <w:t xml:space="preserve">Para determinar el consumo se clasificaron las </w:t>
      </w:r>
      <w:r w:rsidRPr="005A1E5C">
        <w:rPr>
          <w:rFonts w:cs="Arial"/>
          <w:szCs w:val="22"/>
          <w:lang w:val="es-ES"/>
        </w:rPr>
        <w:t>subestaciones</w:t>
      </w:r>
      <w:r w:rsidRPr="00B06D23">
        <w:rPr>
          <w:rFonts w:cs="Arial"/>
          <w:szCs w:val="22"/>
          <w:lang w:val="es-ES"/>
        </w:rPr>
        <w:t xml:space="preserve"> en funcion de su tamaño, evaluado como la cantidad de equipamiento y se clasificaron en: muy grandes, grande</w:t>
      </w:r>
      <w:r w:rsidR="005A1E5C">
        <w:rPr>
          <w:rFonts w:cs="Arial"/>
          <w:szCs w:val="22"/>
          <w:lang w:val="es-ES"/>
        </w:rPr>
        <w:t>s</w:t>
      </w:r>
      <w:r w:rsidRPr="00B06D23">
        <w:rPr>
          <w:rFonts w:cs="Arial"/>
          <w:szCs w:val="22"/>
          <w:lang w:val="es-ES"/>
        </w:rPr>
        <w:t>, medianas, pequeñas y muy pequeñas.</w:t>
      </w:r>
    </w:p>
    <w:p w14:paraId="7D578AC8" w14:textId="77777777" w:rsidR="0079428C" w:rsidRPr="00B06D23" w:rsidRDefault="0079428C" w:rsidP="0079428C">
      <w:pPr>
        <w:rPr>
          <w:rFonts w:cs="Arial"/>
          <w:szCs w:val="22"/>
          <w:lang w:val="es-ES"/>
        </w:rPr>
      </w:pPr>
      <w:r w:rsidRPr="00B06D23">
        <w:rPr>
          <w:rFonts w:cs="Arial"/>
          <w:szCs w:val="22"/>
          <w:lang w:val="es-ES"/>
        </w:rPr>
        <w:t>Se agruparon las estaciones según la clasificación mencionada y se relevó el consumo promedio por estación informado por las empresas, y precio promedio de la energía consumida para determinar el costo por estación y tipo.</w:t>
      </w:r>
    </w:p>
    <w:p w14:paraId="22740CD9" w14:textId="77777777" w:rsidR="0079428C" w:rsidRPr="00B06D23" w:rsidRDefault="0079428C" w:rsidP="0079428C">
      <w:pPr>
        <w:rPr>
          <w:rFonts w:cs="Arial"/>
          <w:szCs w:val="22"/>
          <w:lang w:val="es-ES"/>
        </w:rPr>
      </w:pPr>
      <w:r w:rsidRPr="00B06D23">
        <w:rPr>
          <w:rFonts w:cs="Arial"/>
          <w:szCs w:val="22"/>
          <w:lang w:val="es-ES"/>
        </w:rPr>
        <w:t xml:space="preserve">Se estimó el consumo eficiente como un 70% del consumo relvado considerando que existe un 30% producto del consumo de energía de los contratistas que realizan obras tomando energía eléctrica de la estación y las posibilidades de mejora para optimizar el consumo. </w:t>
      </w:r>
    </w:p>
    <w:p w14:paraId="591DB3C7" w14:textId="77777777" w:rsidR="0079428C" w:rsidRPr="00B06D23" w:rsidRDefault="0079428C" w:rsidP="0079428C">
      <w:pPr>
        <w:rPr>
          <w:rFonts w:cs="Arial"/>
          <w:szCs w:val="22"/>
          <w:lang w:val="es-ES"/>
        </w:rPr>
      </w:pPr>
      <w:r w:rsidRPr="00B06D23">
        <w:rPr>
          <w:rFonts w:cs="Arial"/>
          <w:szCs w:val="22"/>
          <w:lang w:val="es-ES"/>
        </w:rPr>
        <w:t xml:space="preserve">En el archivo </w:t>
      </w:r>
      <w:r w:rsidRPr="00B06D23">
        <w:rPr>
          <w:lang w:val="es-ES"/>
        </w:rPr>
        <w:t>Anexo COMA_3 Modelo/Datos/ Resumen Consumo subestaciones, se encuentran los cálculos realizados.</w:t>
      </w:r>
    </w:p>
    <w:p w14:paraId="6386B60D" w14:textId="77777777" w:rsidR="0079428C" w:rsidRPr="00FD055F" w:rsidRDefault="0079428C" w:rsidP="0079428C">
      <w:pPr>
        <w:pStyle w:val="Ttulo4"/>
      </w:pPr>
      <w:bookmarkStart w:id="176" w:name="_Toc34398130"/>
      <w:bookmarkStart w:id="177" w:name="_Toc34687224"/>
      <w:r w:rsidRPr="00FD055F">
        <w:t>Costos de comunicaciones en telefonía fija y móvil (celular y satelital)</w:t>
      </w:r>
      <w:bookmarkEnd w:id="176"/>
      <w:bookmarkEnd w:id="177"/>
    </w:p>
    <w:p w14:paraId="42030BFB" w14:textId="77777777" w:rsidR="0079428C" w:rsidRPr="00B06D23" w:rsidRDefault="0079428C" w:rsidP="0079428C">
      <w:pPr>
        <w:rPr>
          <w:rFonts w:cs="Arial"/>
          <w:szCs w:val="22"/>
          <w:lang w:val="es-ES"/>
        </w:rPr>
      </w:pPr>
      <w:r w:rsidRPr="00B06D23">
        <w:rPr>
          <w:rFonts w:cs="Arial"/>
          <w:szCs w:val="22"/>
          <w:lang w:val="es-ES"/>
        </w:rPr>
        <w:t>En forma similar se consideró como valor referencial el promedio de los valores informados por las empresas contrastando el valor como eficiente contra los antecedentes regularios.</w:t>
      </w:r>
    </w:p>
    <w:p w14:paraId="09EF6E4F" w14:textId="77777777" w:rsidR="0079428C" w:rsidRPr="00FD055F" w:rsidRDefault="0079428C" w:rsidP="0079428C">
      <w:pPr>
        <w:pStyle w:val="Ttulo4"/>
      </w:pPr>
      <w:bookmarkStart w:id="178" w:name="_Toc34398131"/>
      <w:bookmarkStart w:id="179" w:name="_Toc34687225"/>
      <w:r w:rsidRPr="00FD055F">
        <w:t>Servicio de datos (internet y respaldo de datos)</w:t>
      </w:r>
      <w:bookmarkEnd w:id="178"/>
      <w:bookmarkEnd w:id="179"/>
    </w:p>
    <w:p w14:paraId="4167832C" w14:textId="77777777" w:rsidR="0079428C" w:rsidRPr="00B06D23" w:rsidRDefault="0079428C" w:rsidP="0079428C">
      <w:pPr>
        <w:widowControl w:val="0"/>
        <w:rPr>
          <w:rFonts w:cs="Arial"/>
          <w:szCs w:val="22"/>
          <w:lang w:val="es-ES"/>
        </w:rPr>
      </w:pPr>
      <w:r w:rsidRPr="00B06D23">
        <w:rPr>
          <w:rFonts w:cs="Arial"/>
          <w:szCs w:val="22"/>
          <w:lang w:val="es-ES"/>
        </w:rPr>
        <w:t>Se han considerado los enlaces de datos de las subestaciones con el Centro de Control para el SCADA y televigilancia  que requiere el sistema de telecomunicaciones.</w:t>
      </w:r>
    </w:p>
    <w:p w14:paraId="3B200AD9" w14:textId="77777777" w:rsidR="0079428C" w:rsidRPr="00B06D23" w:rsidRDefault="0079428C" w:rsidP="0079428C">
      <w:pPr>
        <w:widowControl w:val="0"/>
        <w:rPr>
          <w:rFonts w:cs="Arial"/>
          <w:szCs w:val="22"/>
          <w:lang w:val="es-ES"/>
        </w:rPr>
      </w:pPr>
      <w:r w:rsidRPr="00B06D23">
        <w:rPr>
          <w:rFonts w:cs="Arial"/>
          <w:szCs w:val="22"/>
          <w:lang w:val="es-ES"/>
        </w:rPr>
        <w:t>La cantidad de enlaces se determinó sobre la base de la información enviada por las empresas para cada estación transformadora.</w:t>
      </w:r>
    </w:p>
    <w:p w14:paraId="574CF4D5" w14:textId="77777777" w:rsidR="0079428C" w:rsidRPr="00B06D23" w:rsidRDefault="0079428C" w:rsidP="0079428C">
      <w:pPr>
        <w:widowControl w:val="0"/>
        <w:rPr>
          <w:rFonts w:cs="Arial"/>
          <w:szCs w:val="22"/>
          <w:lang w:val="es-ES"/>
        </w:rPr>
      </w:pPr>
      <w:r w:rsidRPr="00B06D23">
        <w:rPr>
          <w:rFonts w:cs="Arial"/>
          <w:szCs w:val="22"/>
          <w:lang w:val="es-ES"/>
        </w:rPr>
        <w:t>Para las telecomunicaciones de administración se ha considerado un servicio de internet para el edificio corporativo y los cuatro emplazamientos regionales.</w:t>
      </w:r>
    </w:p>
    <w:p w14:paraId="3E596C97" w14:textId="77777777" w:rsidR="0079428C" w:rsidRPr="00B06D23" w:rsidRDefault="0079428C" w:rsidP="0079428C">
      <w:pPr>
        <w:widowControl w:val="0"/>
        <w:rPr>
          <w:rFonts w:cs="Arial"/>
          <w:bCs/>
          <w:noProof/>
          <w:szCs w:val="22"/>
          <w:lang w:val="es-ES"/>
        </w:rPr>
      </w:pPr>
      <w:r w:rsidRPr="00B06D23">
        <w:rPr>
          <w:rFonts w:cs="Arial"/>
          <w:szCs w:val="22"/>
          <w:lang w:val="es-ES"/>
        </w:rPr>
        <w:t>Adicionalmente se considera un servicio de respaldo de datos por seguridad informática.</w:t>
      </w:r>
      <w:r w:rsidRPr="00B06D23">
        <w:rPr>
          <w:rFonts w:cs="Arial"/>
          <w:bCs/>
          <w:noProof/>
          <w:szCs w:val="22"/>
          <w:lang w:val="es-ES"/>
        </w:rPr>
        <w:t xml:space="preserve"> </w:t>
      </w:r>
    </w:p>
    <w:p w14:paraId="07A7B533" w14:textId="77777777" w:rsidR="0079428C" w:rsidRPr="00B06D23" w:rsidRDefault="0079428C" w:rsidP="0079428C">
      <w:pPr>
        <w:widowControl w:val="0"/>
        <w:rPr>
          <w:rFonts w:cs="Arial"/>
          <w:bCs/>
          <w:noProof/>
          <w:szCs w:val="22"/>
          <w:lang w:val="es-ES"/>
        </w:rPr>
      </w:pPr>
      <w:r w:rsidRPr="00B06D23">
        <w:rPr>
          <w:rFonts w:cs="Arial"/>
          <w:bCs/>
          <w:noProof/>
          <w:szCs w:val="22"/>
          <w:lang w:val="es-ES"/>
        </w:rPr>
        <w:t>Los costos fueron estimados con las cantidades de canales de comunicación y sobre la base de un costo unitario promedio por canal de comunicación.</w:t>
      </w:r>
    </w:p>
    <w:p w14:paraId="47DF1EEC" w14:textId="77777777" w:rsidR="0079428C" w:rsidRPr="00B06D23" w:rsidRDefault="0079428C" w:rsidP="0079428C">
      <w:pPr>
        <w:rPr>
          <w:rFonts w:cs="Arial"/>
          <w:szCs w:val="22"/>
          <w:lang w:val="es-ES"/>
        </w:rPr>
      </w:pPr>
      <w:r w:rsidRPr="00B06D23">
        <w:rPr>
          <w:rFonts w:cs="Arial"/>
          <w:szCs w:val="22"/>
          <w:lang w:val="es-ES"/>
        </w:rPr>
        <w:t xml:space="preserve">En el archivo </w:t>
      </w:r>
      <w:r w:rsidRPr="00B06D23">
        <w:rPr>
          <w:lang w:val="es-ES"/>
        </w:rPr>
        <w:t>Anexo COMA_3 Modelo/Datos/Precios de insumos no eléctricos/Servicio de datos, se encuentran los cálculos realizados.</w:t>
      </w:r>
    </w:p>
    <w:p w14:paraId="55B222D1" w14:textId="77777777" w:rsidR="0079428C" w:rsidRPr="00FD055F" w:rsidRDefault="0079428C" w:rsidP="0079428C">
      <w:pPr>
        <w:pStyle w:val="Ttulo4"/>
      </w:pPr>
      <w:bookmarkStart w:id="180" w:name="_Toc34398132"/>
      <w:bookmarkStart w:id="181" w:name="_Toc34687226"/>
      <w:r w:rsidRPr="00FD055F">
        <w:t>Gastos en mantenimiento sistemas informáticos (actualización software y hardware)</w:t>
      </w:r>
      <w:bookmarkEnd w:id="180"/>
      <w:bookmarkEnd w:id="181"/>
    </w:p>
    <w:p w14:paraId="2DEE9906" w14:textId="77777777" w:rsidR="0079428C" w:rsidRPr="00B06D23" w:rsidRDefault="0079428C" w:rsidP="0079428C">
      <w:pPr>
        <w:tabs>
          <w:tab w:val="left" w:pos="5954"/>
        </w:tabs>
        <w:rPr>
          <w:rFonts w:cs="Arial"/>
          <w:szCs w:val="22"/>
          <w:lang w:val="es-ES"/>
        </w:rPr>
      </w:pPr>
      <w:r w:rsidRPr="00B06D23">
        <w:rPr>
          <w:rFonts w:cs="Arial"/>
          <w:szCs w:val="22"/>
          <w:lang w:val="es-ES"/>
        </w:rPr>
        <w:t xml:space="preserve">La inversión en microinformática está acompañada de un gasto en mantención y soporte de los equipos y software. </w:t>
      </w:r>
    </w:p>
    <w:p w14:paraId="357140A4" w14:textId="77777777" w:rsidR="0079428C" w:rsidRPr="00B06D23" w:rsidRDefault="0079428C" w:rsidP="0079428C">
      <w:pPr>
        <w:tabs>
          <w:tab w:val="left" w:pos="5954"/>
        </w:tabs>
        <w:rPr>
          <w:rFonts w:cs="Arial"/>
          <w:szCs w:val="22"/>
          <w:lang w:val="es-ES"/>
        </w:rPr>
      </w:pPr>
      <w:r w:rsidRPr="00B06D23">
        <w:rPr>
          <w:rFonts w:cs="Arial"/>
          <w:szCs w:val="22"/>
          <w:lang w:val="es-ES"/>
        </w:rPr>
        <w:t xml:space="preserve">La inversión en microinformática está acompañada de un gasto en mantención y soporte de los equipos y software. Ésta se calculó como un 15% del costo de inversión del software. Se  asume que en los costos de mantención de licencias de software se incluyen su utilización como las mejoras, corrección de errores y soporte especializado. </w:t>
      </w:r>
    </w:p>
    <w:p w14:paraId="54C995AA" w14:textId="77777777" w:rsidR="0079428C" w:rsidRPr="00B06D23" w:rsidRDefault="0079428C" w:rsidP="0079428C">
      <w:pPr>
        <w:tabs>
          <w:tab w:val="left" w:pos="5954"/>
        </w:tabs>
        <w:rPr>
          <w:rFonts w:cs="Arial"/>
          <w:szCs w:val="22"/>
          <w:lang w:val="es-ES"/>
        </w:rPr>
      </w:pPr>
      <w:r w:rsidRPr="00B06D23">
        <w:rPr>
          <w:rFonts w:cs="Arial"/>
          <w:szCs w:val="22"/>
          <w:lang w:val="es-ES"/>
        </w:rPr>
        <w:t>Para el mantenimiento del hardware se consideró un porcentaje de costo de mantenimiento del 5% sobre el costo de inversión</w:t>
      </w:r>
    </w:p>
    <w:p w14:paraId="547F7C8A" w14:textId="77777777" w:rsidR="0079428C" w:rsidRPr="00B06D23" w:rsidRDefault="0079428C" w:rsidP="0079428C">
      <w:pPr>
        <w:tabs>
          <w:tab w:val="left" w:pos="5954"/>
        </w:tabs>
        <w:rPr>
          <w:rFonts w:cs="Arial"/>
          <w:szCs w:val="22"/>
          <w:lang w:val="es-ES"/>
        </w:rPr>
      </w:pPr>
      <w:r w:rsidRPr="00B06D23">
        <w:rPr>
          <w:rFonts w:cs="Arial"/>
          <w:szCs w:val="22"/>
          <w:lang w:val="es-ES"/>
        </w:rPr>
        <w:t>De manera similar se consideró un costo de mantenimiento de software y harware corporativo asumiendo los porcentajes señalados.</w:t>
      </w:r>
    </w:p>
    <w:p w14:paraId="39D9958C" w14:textId="77777777" w:rsidR="0079428C" w:rsidRPr="00B06D23" w:rsidRDefault="0079428C" w:rsidP="0079428C">
      <w:pPr>
        <w:tabs>
          <w:tab w:val="left" w:pos="5954"/>
        </w:tabs>
        <w:rPr>
          <w:rFonts w:cs="Arial"/>
          <w:szCs w:val="22"/>
          <w:lang w:val="es-ES"/>
        </w:rPr>
      </w:pPr>
      <w:r w:rsidRPr="00B06D23">
        <w:rPr>
          <w:rFonts w:cs="Arial"/>
          <w:szCs w:val="22"/>
          <w:lang w:val="es-ES"/>
        </w:rPr>
        <w:t>Para las impresoras se reconoció un porcentaje de mantenimiento del 10% del costo de inversión.</w:t>
      </w:r>
    </w:p>
    <w:p w14:paraId="6B4AE669" w14:textId="77777777" w:rsidR="0079428C" w:rsidRPr="00B06D23" w:rsidRDefault="0079428C" w:rsidP="0079428C">
      <w:pPr>
        <w:rPr>
          <w:rFonts w:cs="Arial"/>
          <w:szCs w:val="22"/>
          <w:lang w:val="es-ES"/>
        </w:rPr>
      </w:pPr>
      <w:r w:rsidRPr="00B06D23">
        <w:rPr>
          <w:rFonts w:cs="Arial"/>
          <w:szCs w:val="22"/>
          <w:lang w:val="es-ES"/>
        </w:rPr>
        <w:t xml:space="preserve">En el archivo </w:t>
      </w:r>
      <w:r w:rsidRPr="00B06D23">
        <w:rPr>
          <w:lang w:val="es-ES"/>
        </w:rPr>
        <w:t>Anexo COMA_3 Modelo/Datos/Precios de insumos no eléctricos/ Insumos No Elec Gral se pueden ver los cálculos realizados.</w:t>
      </w:r>
    </w:p>
    <w:p w14:paraId="33764015" w14:textId="77777777" w:rsidR="0079428C" w:rsidRPr="00FD055F" w:rsidRDefault="0079428C" w:rsidP="0079428C">
      <w:pPr>
        <w:pStyle w:val="Ttulo4"/>
      </w:pPr>
      <w:bookmarkStart w:id="182" w:name="_Toc34398133"/>
      <w:bookmarkStart w:id="183" w:name="_Toc34687227"/>
      <w:r w:rsidRPr="00FD055F">
        <w:t>Gastos de mantenimiento del SCADA</w:t>
      </w:r>
      <w:bookmarkEnd w:id="182"/>
      <w:bookmarkEnd w:id="183"/>
    </w:p>
    <w:p w14:paraId="5A853BDF" w14:textId="77777777" w:rsidR="0079428C" w:rsidRPr="00B06D23" w:rsidRDefault="0079428C" w:rsidP="0079428C">
      <w:pPr>
        <w:tabs>
          <w:tab w:val="left" w:pos="5954"/>
        </w:tabs>
        <w:rPr>
          <w:rFonts w:cs="Arial"/>
          <w:szCs w:val="22"/>
          <w:lang w:val="es-ES"/>
        </w:rPr>
      </w:pPr>
      <w:r w:rsidRPr="00B06D23">
        <w:rPr>
          <w:rFonts w:cs="Arial"/>
          <w:szCs w:val="22"/>
          <w:lang w:val="es-ES"/>
        </w:rPr>
        <w:t>Son los gastos de mantenimiento asociados con el hardware y actualización de licencia y se estiman como un 15% del costo de inversión del sistema SCADA.</w:t>
      </w:r>
    </w:p>
    <w:p w14:paraId="4456B679"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Insumos No Elec Gral se pueden ver los cálculos realizados.</w:t>
      </w:r>
    </w:p>
    <w:p w14:paraId="4DA31F57" w14:textId="77777777" w:rsidR="0079428C" w:rsidRPr="00FD055F" w:rsidRDefault="0079428C" w:rsidP="0079428C">
      <w:pPr>
        <w:pStyle w:val="Ttulo4"/>
      </w:pPr>
      <w:bookmarkStart w:id="184" w:name="_Toc34398134"/>
      <w:bookmarkStart w:id="185" w:name="_Toc34687228"/>
      <w:r w:rsidRPr="00FD055F">
        <w:t>Gastos de mantenimiento del equipamiento utilizado para OyM</w:t>
      </w:r>
      <w:bookmarkEnd w:id="184"/>
      <w:bookmarkEnd w:id="185"/>
    </w:p>
    <w:p w14:paraId="05F62F37" w14:textId="77777777" w:rsidR="0079428C" w:rsidRPr="00B06D23" w:rsidRDefault="0079428C" w:rsidP="0079428C">
      <w:pPr>
        <w:rPr>
          <w:lang w:val="es-ES"/>
        </w:rPr>
      </w:pPr>
      <w:r w:rsidRPr="00B06D23">
        <w:rPr>
          <w:lang w:val="es-ES"/>
        </w:rPr>
        <w:t>Son los gastos de actualización del Software y equipamiento especifico utilizado por el personal de plantilla para el mantenimiento de protecciones, y control.</w:t>
      </w:r>
    </w:p>
    <w:p w14:paraId="507E05F4" w14:textId="77777777" w:rsidR="0079428C" w:rsidRPr="00B06D23" w:rsidRDefault="0079428C" w:rsidP="0079428C">
      <w:pPr>
        <w:rPr>
          <w:lang w:val="es-ES"/>
        </w:rPr>
      </w:pPr>
      <w:r w:rsidRPr="00B06D23">
        <w:rPr>
          <w:lang w:val="es-ES"/>
        </w:rPr>
        <w:t>Se asume un costo del 5% para el hardware y 15% para el software.</w:t>
      </w:r>
    </w:p>
    <w:p w14:paraId="0DB74B98"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Insumos No Elec Gral se pueden ver los cálculos realizados.</w:t>
      </w:r>
    </w:p>
    <w:p w14:paraId="4BDBB38D" w14:textId="77777777" w:rsidR="0079428C" w:rsidRPr="00FD055F" w:rsidRDefault="0079428C" w:rsidP="0079428C">
      <w:pPr>
        <w:pStyle w:val="Ttulo4"/>
      </w:pPr>
      <w:bookmarkStart w:id="186" w:name="_Toc34398135"/>
      <w:bookmarkStart w:id="187" w:name="_Toc34687229"/>
      <w:r w:rsidRPr="00FD055F">
        <w:t>Materiales e insumos computacionales</w:t>
      </w:r>
      <w:bookmarkEnd w:id="186"/>
      <w:bookmarkEnd w:id="187"/>
    </w:p>
    <w:p w14:paraId="4683FDF1" w14:textId="77777777" w:rsidR="0079428C" w:rsidRPr="00B06D23" w:rsidRDefault="0079428C" w:rsidP="0079428C">
      <w:pPr>
        <w:rPr>
          <w:rFonts w:cs="Arial"/>
          <w:szCs w:val="22"/>
          <w:lang w:val="es-ES"/>
        </w:rPr>
      </w:pPr>
      <w:r w:rsidRPr="00B06D23">
        <w:rPr>
          <w:rFonts w:cs="Arial"/>
          <w:szCs w:val="22"/>
          <w:lang w:val="es-ES"/>
        </w:rPr>
        <w:t xml:space="preserve">En la empresa modelo todos los empleados administrativos poseen un computador, a la vez que existen impresoras, faxes y plotter que se comparten en las áreas funcionales. Todo este equipamiento necesita de suministros como papel y toners, entre los principales, que se suma a los suministros de oficinas, como fotocopias, lápices, cuadernos, blocks, carpetas, etc., cuyo costo global por persona es: </w:t>
      </w:r>
    </w:p>
    <w:p w14:paraId="50B1D899" w14:textId="77777777" w:rsidR="0079428C" w:rsidRPr="00B06D23" w:rsidRDefault="0079428C" w:rsidP="0079428C">
      <w:pPr>
        <w:rPr>
          <w:rFonts w:cs="Arial"/>
          <w:szCs w:val="22"/>
          <w:lang w:val="es-ES"/>
        </w:rPr>
      </w:pPr>
      <w:r w:rsidRPr="00B06D23">
        <w:rPr>
          <w:rFonts w:cs="Arial"/>
          <w:szCs w:val="22"/>
          <w:lang w:val="es-ES"/>
        </w:rPr>
        <w:t>Se estimó el consumo de los elementos e insumos computacionales por empleado y por año y se valorizará a precios de mercado.</w:t>
      </w:r>
    </w:p>
    <w:p w14:paraId="51CF3B73" w14:textId="0A0837DF" w:rsidR="0079428C"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Insumos Computacionalesse pueden ver los cálculos realizados.</w:t>
      </w:r>
    </w:p>
    <w:p w14:paraId="78541A15" w14:textId="4D79A10C" w:rsidR="009F3AA0" w:rsidRDefault="009F3AA0" w:rsidP="0079428C">
      <w:pPr>
        <w:rPr>
          <w:lang w:val="es-ES"/>
        </w:rPr>
      </w:pPr>
    </w:p>
    <w:p w14:paraId="4E24284B" w14:textId="77777777" w:rsidR="009F3AA0" w:rsidRPr="00B06D23" w:rsidRDefault="009F3AA0" w:rsidP="0079428C">
      <w:pPr>
        <w:rPr>
          <w:lang w:val="es-ES"/>
        </w:rPr>
      </w:pPr>
    </w:p>
    <w:p w14:paraId="16288AC3" w14:textId="77777777" w:rsidR="0079428C" w:rsidRPr="00FD055F" w:rsidRDefault="0079428C" w:rsidP="0079428C">
      <w:pPr>
        <w:pStyle w:val="Ttulo4"/>
      </w:pPr>
      <w:bookmarkStart w:id="188" w:name="_Toc34398136"/>
      <w:bookmarkStart w:id="189" w:name="_Toc34687230"/>
      <w:r w:rsidRPr="00FD055F">
        <w:t>Memoria anual</w:t>
      </w:r>
      <w:bookmarkEnd w:id="188"/>
      <w:bookmarkEnd w:id="189"/>
    </w:p>
    <w:p w14:paraId="2C602878" w14:textId="77777777" w:rsidR="0079428C" w:rsidRPr="00B06D23" w:rsidRDefault="0079428C" w:rsidP="0079428C">
      <w:pPr>
        <w:spacing w:before="60" w:after="120" w:line="240" w:lineRule="auto"/>
        <w:rPr>
          <w:lang w:val="es-ES"/>
        </w:rPr>
      </w:pPr>
      <w:r w:rsidRPr="00B06D23">
        <w:rPr>
          <w:lang w:val="es-ES"/>
        </w:rPr>
        <w:t>Para la obtención del valor a considerar en la edición de la memoria anual de la empresa, se considera la memoria típica para este tipo de empresas y se valorizará sobre la base de costos unitarios de mercado.</w:t>
      </w:r>
    </w:p>
    <w:p w14:paraId="7FFD3DF6" w14:textId="77777777" w:rsidR="0079428C" w:rsidRPr="00B06D23" w:rsidRDefault="0079428C" w:rsidP="0079428C">
      <w:pPr>
        <w:spacing w:before="60" w:after="120" w:line="240" w:lineRule="auto"/>
        <w:rPr>
          <w:lang w:val="es-ES"/>
        </w:rPr>
      </w:pPr>
      <w:r w:rsidRPr="00B06D23">
        <w:rPr>
          <w:lang w:val="es-ES"/>
        </w:rPr>
        <w:t>En base a la información recogida se calculó el monto total para la confección de una memoria anual en diseño e impresión y se multiplicó por el total de memorias a imprimir.</w:t>
      </w:r>
    </w:p>
    <w:p w14:paraId="313EF350"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Memoria anual, se pueden ver los cálculos realizados.</w:t>
      </w:r>
    </w:p>
    <w:p w14:paraId="57092219" w14:textId="77777777" w:rsidR="0079428C" w:rsidRPr="00FD055F" w:rsidRDefault="0079428C" w:rsidP="0079428C">
      <w:pPr>
        <w:pStyle w:val="Ttulo4"/>
      </w:pPr>
      <w:bookmarkStart w:id="190" w:name="_Toc34398137"/>
      <w:bookmarkStart w:id="191" w:name="_Toc34687231"/>
      <w:r w:rsidRPr="00FD055F">
        <w:t>Publicaciones y avisos</w:t>
      </w:r>
      <w:bookmarkEnd w:id="190"/>
      <w:bookmarkEnd w:id="191"/>
    </w:p>
    <w:p w14:paraId="146DF15A" w14:textId="77777777" w:rsidR="0079428C" w:rsidRPr="00B06D23" w:rsidRDefault="0079428C" w:rsidP="0079428C">
      <w:pPr>
        <w:spacing w:before="60" w:after="120" w:line="240" w:lineRule="auto"/>
        <w:rPr>
          <w:lang w:val="es-ES"/>
        </w:rPr>
      </w:pPr>
      <w:r w:rsidRPr="00B06D23">
        <w:rPr>
          <w:lang w:val="es-ES"/>
        </w:rPr>
        <w:t xml:space="preserve">El gasto que realizan las empresas en Publicaciones y Avisos, se recoge del valor de mercado dos periódicos con cobertura nacional en que habitualmente las empresas de distribución de energía eléctrica publican avisos y otras publicaciones. </w:t>
      </w:r>
    </w:p>
    <w:p w14:paraId="58D0BC1F" w14:textId="77777777" w:rsidR="0079428C" w:rsidRPr="00B06D23" w:rsidRDefault="0079428C" w:rsidP="0079428C">
      <w:pPr>
        <w:spacing w:before="60" w:after="120" w:line="240" w:lineRule="auto"/>
        <w:rPr>
          <w:lang w:val="es-ES"/>
        </w:rPr>
      </w:pPr>
      <w:r w:rsidRPr="00B06D23">
        <w:rPr>
          <w:lang w:val="es-ES"/>
        </w:rPr>
        <w:t>El gasto que realizan las empresas en Publicaciones y Avisos, se recogió del valor de mercado dos periódicos con cobertura nacional en que habitualmente las empresas de distribución de energía eléctrica publican avisos y otras publicaciones</w:t>
      </w:r>
    </w:p>
    <w:p w14:paraId="5ACDD477"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Publicaciones y avisos, se pueden ver los cálculos realizados.</w:t>
      </w:r>
    </w:p>
    <w:p w14:paraId="255CC5F4" w14:textId="77777777" w:rsidR="0079428C" w:rsidRPr="00FD055F" w:rsidRDefault="0079428C" w:rsidP="0079428C">
      <w:pPr>
        <w:pStyle w:val="Ttulo4"/>
      </w:pPr>
      <w:bookmarkStart w:id="192" w:name="_Toc34398138"/>
      <w:bookmarkStart w:id="193" w:name="_Toc34687232"/>
      <w:r w:rsidRPr="00FD055F">
        <w:t>Fotocopias, formularios, útiles y materiales de oficina</w:t>
      </w:r>
      <w:bookmarkEnd w:id="192"/>
      <w:bookmarkEnd w:id="193"/>
    </w:p>
    <w:p w14:paraId="7322EA9E" w14:textId="77777777" w:rsidR="0079428C" w:rsidRPr="00B06D23" w:rsidRDefault="0079428C" w:rsidP="0079428C">
      <w:pPr>
        <w:spacing w:before="60" w:after="120" w:line="240" w:lineRule="auto"/>
        <w:rPr>
          <w:lang w:val="es-ES"/>
        </w:rPr>
      </w:pPr>
      <w:r w:rsidRPr="00B06D23">
        <w:rPr>
          <w:lang w:val="es-ES"/>
        </w:rPr>
        <w:t>Para el cálculo del costo del consumo de fotocopias por empleado al año se analizó la información presentada por las empresas y mediante un benchmarking se determinó el valor eficiente.</w:t>
      </w:r>
    </w:p>
    <w:p w14:paraId="1D8FAC75"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Fotocopias, se pueden ver los cálculos realizados.</w:t>
      </w:r>
    </w:p>
    <w:p w14:paraId="2BD7BE20" w14:textId="77777777" w:rsidR="0079428C" w:rsidRPr="00FD055F" w:rsidRDefault="0079428C" w:rsidP="0079428C">
      <w:pPr>
        <w:pStyle w:val="Ttulo4"/>
      </w:pPr>
      <w:bookmarkStart w:id="194" w:name="_Toc34398139"/>
      <w:bookmarkStart w:id="195" w:name="_Toc34687233"/>
      <w:r w:rsidRPr="00FD055F">
        <w:t>Retiro y disposición de residuos (tóxicos y no tóxicos)</w:t>
      </w:r>
      <w:bookmarkEnd w:id="194"/>
      <w:bookmarkEnd w:id="195"/>
    </w:p>
    <w:p w14:paraId="0EA59F41" w14:textId="77777777" w:rsidR="0079428C" w:rsidRPr="00B06D23" w:rsidRDefault="0079428C" w:rsidP="0079428C">
      <w:pPr>
        <w:tabs>
          <w:tab w:val="left" w:pos="5954"/>
        </w:tabs>
        <w:rPr>
          <w:rFonts w:cs="Arial"/>
          <w:szCs w:val="22"/>
          <w:lang w:val="es-ES"/>
        </w:rPr>
      </w:pPr>
      <w:r w:rsidRPr="00B06D23">
        <w:rPr>
          <w:rFonts w:cs="Arial"/>
          <w:szCs w:val="22"/>
          <w:lang w:val="es-ES"/>
        </w:rPr>
        <w:t xml:space="preserve">La empresa genera anualmente residuos tóxicos y no tóxicos que deben ser evacuados de sus instalaciones para lo cual se contrata a una empresa de servicios especializados. </w:t>
      </w:r>
    </w:p>
    <w:p w14:paraId="02DB3AFD"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Residuos no tóxicosx se pueden ver los cálculos realizados.</w:t>
      </w:r>
    </w:p>
    <w:p w14:paraId="2F729C21" w14:textId="77777777" w:rsidR="0079428C" w:rsidRPr="00FD055F" w:rsidRDefault="0079428C" w:rsidP="0079428C">
      <w:pPr>
        <w:pStyle w:val="Ttulo4"/>
      </w:pPr>
      <w:bookmarkStart w:id="196" w:name="_Toc34398140"/>
      <w:bookmarkStart w:id="197" w:name="_Toc34687234"/>
      <w:r w:rsidRPr="00FD055F">
        <w:t>Costos de traslado y alojamiento de personal (viaticos operacionales)</w:t>
      </w:r>
      <w:bookmarkEnd w:id="196"/>
      <w:bookmarkEnd w:id="197"/>
    </w:p>
    <w:p w14:paraId="5ADC7BE0" w14:textId="77777777" w:rsidR="0079428C" w:rsidRPr="00B06D23" w:rsidRDefault="0079428C" w:rsidP="0079428C">
      <w:pPr>
        <w:tabs>
          <w:tab w:val="left" w:pos="5954"/>
        </w:tabs>
        <w:rPr>
          <w:rFonts w:cs="Arial"/>
          <w:szCs w:val="22"/>
          <w:lang w:val="es-ES"/>
        </w:rPr>
      </w:pPr>
      <w:r w:rsidRPr="00B06D23">
        <w:rPr>
          <w:rFonts w:cs="Arial"/>
          <w:szCs w:val="22"/>
          <w:lang w:val="es-ES"/>
        </w:rPr>
        <w:t>El personal operativo de plantilla tales como supervisores, técnicos de mantenimiento de protecciones y control y operadores de subestación en determinadas ocasiones para cumplir su función tiene que realizar viajes  y se requiere reconocer los gastos de alojamiento y que serán contemplados como un costo unitario para el personal operativo.</w:t>
      </w:r>
    </w:p>
    <w:p w14:paraId="578921B5"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Viaticos operacionales se pueden ver los cálculos realizados.</w:t>
      </w:r>
    </w:p>
    <w:p w14:paraId="42DEF4B8" w14:textId="77777777" w:rsidR="0079428C" w:rsidRPr="00FD055F" w:rsidRDefault="0079428C" w:rsidP="0079428C">
      <w:pPr>
        <w:pStyle w:val="Ttulo4"/>
      </w:pPr>
      <w:bookmarkStart w:id="198" w:name="_Toc34398141"/>
      <w:bookmarkStart w:id="199" w:name="_Toc34687235"/>
      <w:r w:rsidRPr="00FD055F">
        <w:t>Indemnización a propietarios por daños debido a Trabajos en Franja Servidumbre</w:t>
      </w:r>
      <w:bookmarkEnd w:id="198"/>
      <w:bookmarkEnd w:id="199"/>
    </w:p>
    <w:p w14:paraId="7E5F1A1F" w14:textId="77777777" w:rsidR="0079428C" w:rsidRPr="00B06D23" w:rsidRDefault="0079428C" w:rsidP="0079428C">
      <w:pPr>
        <w:tabs>
          <w:tab w:val="left" w:pos="5954"/>
        </w:tabs>
        <w:rPr>
          <w:rFonts w:cs="Arial"/>
          <w:szCs w:val="22"/>
          <w:lang w:val="es-ES"/>
        </w:rPr>
      </w:pPr>
      <w:r w:rsidRPr="00B06D23">
        <w:rPr>
          <w:rFonts w:cs="Arial"/>
          <w:szCs w:val="22"/>
          <w:lang w:val="es-ES"/>
        </w:rPr>
        <w:t xml:space="preserve">Se realizó un análisis crítico de la información presentada por las empresas a los efectos de determinar un valor razonable para la empresa eficiente. </w:t>
      </w:r>
    </w:p>
    <w:p w14:paraId="217A0AF4" w14:textId="77777777" w:rsidR="0079428C" w:rsidRPr="00B06D23" w:rsidRDefault="0079428C" w:rsidP="0079428C">
      <w:pPr>
        <w:tabs>
          <w:tab w:val="left" w:pos="5954"/>
        </w:tabs>
        <w:rPr>
          <w:rFonts w:cs="Arial"/>
          <w:szCs w:val="22"/>
          <w:lang w:val="es-ES"/>
        </w:rPr>
      </w:pPr>
      <w:r w:rsidRPr="00B06D23">
        <w:rPr>
          <w:rFonts w:cs="Arial"/>
          <w:szCs w:val="22"/>
          <w:lang w:val="es-ES"/>
        </w:rPr>
        <w:t>Se asumió como eficiente el valor declarado por las empresas del año 2017 ya que resulta menor al reconocido en los antecedentes regulatorios.</w:t>
      </w:r>
    </w:p>
    <w:p w14:paraId="6202F77F" w14:textId="77777777" w:rsidR="0079428C" w:rsidRPr="00B06D23" w:rsidRDefault="0079428C" w:rsidP="0079428C">
      <w:pPr>
        <w:rPr>
          <w:lang w:val="es-ES"/>
        </w:rPr>
      </w:pPr>
      <w:r w:rsidRPr="00B06D23">
        <w:rPr>
          <w:rFonts w:cs="Arial"/>
          <w:szCs w:val="22"/>
          <w:lang w:val="es-ES"/>
        </w:rPr>
        <w:t xml:space="preserve">En el archivo </w:t>
      </w:r>
      <w:r w:rsidRPr="00B06D23">
        <w:rPr>
          <w:lang w:val="es-ES"/>
        </w:rPr>
        <w:t>Anexo COMA_3 Modelo/Datos/Precios de insumos no eléctricos/ pago indenmizaciones a propieta se pueden ver los cálculos realizados.</w:t>
      </w:r>
    </w:p>
    <w:p w14:paraId="26DDC092" w14:textId="77777777" w:rsidR="0079428C" w:rsidRPr="00B06D23" w:rsidRDefault="0079428C" w:rsidP="0079428C">
      <w:pPr>
        <w:pStyle w:val="Ttulo4"/>
        <w:rPr>
          <w:color w:val="auto"/>
          <w:lang w:val="es-ES"/>
        </w:rPr>
      </w:pPr>
      <w:bookmarkStart w:id="200" w:name="_Toc34398142"/>
      <w:bookmarkStart w:id="201" w:name="_Toc34687236"/>
      <w:r w:rsidRPr="00FD055F">
        <w:t>Costos de operación de vehículos de la empresa modelo</w:t>
      </w:r>
      <w:bookmarkEnd w:id="200"/>
      <w:bookmarkEnd w:id="201"/>
    </w:p>
    <w:p w14:paraId="24315710" w14:textId="77777777" w:rsidR="0079428C" w:rsidRPr="00B06D23" w:rsidRDefault="0079428C" w:rsidP="0079428C">
      <w:pPr>
        <w:rPr>
          <w:rFonts w:cs="Arial"/>
          <w:szCs w:val="22"/>
          <w:lang w:val="es-ES"/>
        </w:rPr>
      </w:pPr>
      <w:r w:rsidRPr="00B06D23">
        <w:rPr>
          <w:rFonts w:cs="Arial"/>
          <w:szCs w:val="22"/>
          <w:lang w:val="es-ES"/>
        </w:rPr>
        <w:t>El personal de plantilla de la empresa modelo requiere de vehículos para movilizarse con fines de cumplimiento de su gestión.</w:t>
      </w:r>
    </w:p>
    <w:p w14:paraId="13E5D93B" w14:textId="77777777" w:rsidR="0079428C" w:rsidRPr="00B06D23" w:rsidRDefault="0079428C" w:rsidP="0079428C">
      <w:pPr>
        <w:rPr>
          <w:rFonts w:cs="Arial"/>
          <w:szCs w:val="22"/>
          <w:lang w:val="es-ES"/>
        </w:rPr>
      </w:pPr>
      <w:r w:rsidRPr="00B06D23">
        <w:rPr>
          <w:rFonts w:cs="Arial"/>
          <w:szCs w:val="22"/>
          <w:lang w:val="es-ES"/>
        </w:rPr>
        <w:t>Se ha asignado vehiculos a las áreas operativas en función de la cantidad de empleados dedicados a la función operativa.</w:t>
      </w:r>
    </w:p>
    <w:p w14:paraId="73CB6CCB" w14:textId="77777777" w:rsidR="0079428C" w:rsidRPr="00B06D23" w:rsidRDefault="0079428C" w:rsidP="0079428C">
      <w:pPr>
        <w:rPr>
          <w:rFonts w:cs="Arial"/>
          <w:szCs w:val="22"/>
          <w:lang w:val="es-ES"/>
        </w:rPr>
      </w:pPr>
      <w:r w:rsidRPr="00B06D23">
        <w:rPr>
          <w:rFonts w:cs="Arial"/>
          <w:szCs w:val="22"/>
          <w:lang w:val="es-ES"/>
        </w:rPr>
        <w:t xml:space="preserve">A los efectos de determinar el costo fijo de los vehículos (USD/año) se realizó un análisis de conveniencia compra vs renta que se encuentra detallado en este informe en el capitulo de “Servicios de operación y manteniento tercerizados”. </w:t>
      </w:r>
    </w:p>
    <w:p w14:paraId="5E19A912" w14:textId="77777777" w:rsidR="0079428C" w:rsidRPr="00B06D23" w:rsidRDefault="0079428C" w:rsidP="0079428C">
      <w:pPr>
        <w:rPr>
          <w:lang w:val="es-ES"/>
        </w:rPr>
      </w:pPr>
      <w:r w:rsidRPr="00B06D23">
        <w:rPr>
          <w:rFonts w:cs="Arial"/>
          <w:szCs w:val="22"/>
          <w:lang w:val="es-ES"/>
        </w:rPr>
        <w:t xml:space="preserve">El costo variable por consumo de combustible se calculó en función de los km anuales recorridos, el rendimiento y el costo unitario del combustible. </w:t>
      </w:r>
      <w:r w:rsidRPr="00B06D23">
        <w:rPr>
          <w:lang w:val="es-ES"/>
        </w:rPr>
        <w:t>Los valores relevados para los combustibles  se encuentran en el Anexo COMA_3 Modelo/ “Precios Gasolinas y Diesel”.</w:t>
      </w:r>
    </w:p>
    <w:p w14:paraId="19780529" w14:textId="77777777" w:rsidR="0079428C" w:rsidRPr="00B06D23" w:rsidRDefault="0079428C" w:rsidP="0079428C">
      <w:pPr>
        <w:rPr>
          <w:lang w:val="es-ES"/>
        </w:rPr>
      </w:pPr>
      <w:r w:rsidRPr="00B06D23">
        <w:rPr>
          <w:lang w:val="es-ES"/>
        </w:rPr>
        <w:t>Adicionalmente se reconoció como costo variable el costo promedio por km de peajes que se requiere pagar en las rutas de Chile.</w:t>
      </w:r>
    </w:p>
    <w:p w14:paraId="2C6AC5C5" w14:textId="77777777" w:rsidR="0079428C" w:rsidRPr="00B06D23" w:rsidRDefault="0079428C" w:rsidP="0079428C">
      <w:pPr>
        <w:rPr>
          <w:lang w:val="es-ES"/>
        </w:rPr>
      </w:pPr>
      <w:r w:rsidRPr="00B06D23">
        <w:rPr>
          <w:lang w:val="es-ES"/>
        </w:rPr>
        <w:t>Se asignó un automóvil por cada Gerencia y Subgerencia para la movilidad de sus ejecutivos. Para el personal operativo se asigno:</w:t>
      </w:r>
    </w:p>
    <w:p w14:paraId="1731E22C" w14:textId="77777777" w:rsidR="0079428C" w:rsidRPr="00B06D23" w:rsidRDefault="0079428C" w:rsidP="0079428C">
      <w:pPr>
        <w:rPr>
          <w:lang w:val="es-ES"/>
        </w:rPr>
      </w:pPr>
      <w:r w:rsidRPr="00B06D23">
        <w:rPr>
          <w:lang w:val="es-ES"/>
        </w:rPr>
        <w:t>Gerencia de Explotación (Corporate):</w:t>
      </w:r>
    </w:p>
    <w:p w14:paraId="6FBE7006" w14:textId="77777777" w:rsidR="0079428C" w:rsidRPr="00B06D23" w:rsidRDefault="0079428C" w:rsidP="002E20CA">
      <w:pPr>
        <w:pStyle w:val="Prrafodelista"/>
        <w:numPr>
          <w:ilvl w:val="0"/>
          <w:numId w:val="53"/>
        </w:numPr>
        <w:rPr>
          <w:lang w:val="es-ES"/>
        </w:rPr>
      </w:pPr>
      <w:r w:rsidRPr="00B06D23">
        <w:rPr>
          <w:lang w:val="es-ES"/>
        </w:rPr>
        <w:t>1 camioneta para la gerencia</w:t>
      </w:r>
    </w:p>
    <w:p w14:paraId="77DC7F4D" w14:textId="77777777" w:rsidR="0079428C" w:rsidRPr="00B06D23" w:rsidRDefault="0079428C" w:rsidP="002E20CA">
      <w:pPr>
        <w:pStyle w:val="Prrafodelista"/>
        <w:numPr>
          <w:ilvl w:val="0"/>
          <w:numId w:val="53"/>
        </w:numPr>
        <w:rPr>
          <w:lang w:val="es-ES"/>
        </w:rPr>
      </w:pPr>
      <w:r w:rsidRPr="00B06D23">
        <w:rPr>
          <w:lang w:val="es-ES"/>
        </w:rPr>
        <w:t>1 camioneta por cada 4 empleados de oficina que requieren movilidad (Jefes, analistas e ingenieros).</w:t>
      </w:r>
    </w:p>
    <w:p w14:paraId="610CA72E" w14:textId="77777777" w:rsidR="0079428C" w:rsidRPr="00B06D23" w:rsidRDefault="0079428C" w:rsidP="0079428C">
      <w:pPr>
        <w:rPr>
          <w:rFonts w:cs="Arial"/>
          <w:szCs w:val="22"/>
          <w:lang w:val="es-ES"/>
        </w:rPr>
      </w:pPr>
      <w:r w:rsidRPr="00B06D23">
        <w:rPr>
          <w:rFonts w:cs="Arial"/>
          <w:szCs w:val="22"/>
          <w:lang w:val="es-ES"/>
        </w:rPr>
        <w:t>Suberencia Regional</w:t>
      </w:r>
    </w:p>
    <w:p w14:paraId="3D767371" w14:textId="77777777" w:rsidR="0079428C" w:rsidRPr="00B06D23" w:rsidRDefault="0079428C" w:rsidP="002E20CA">
      <w:pPr>
        <w:pStyle w:val="Prrafodelista"/>
        <w:numPr>
          <w:ilvl w:val="0"/>
          <w:numId w:val="54"/>
        </w:numPr>
        <w:rPr>
          <w:rFonts w:cs="Arial"/>
          <w:szCs w:val="22"/>
          <w:lang w:val="es-ES"/>
        </w:rPr>
      </w:pPr>
      <w:r w:rsidRPr="00B06D23">
        <w:rPr>
          <w:rFonts w:cs="Arial"/>
          <w:szCs w:val="22"/>
          <w:lang w:val="es-ES"/>
        </w:rPr>
        <w:t>1 camioneta para la subgerencia</w:t>
      </w:r>
    </w:p>
    <w:p w14:paraId="043786D4" w14:textId="77777777" w:rsidR="0079428C" w:rsidRPr="00B06D23" w:rsidRDefault="0079428C" w:rsidP="002E20CA">
      <w:pPr>
        <w:pStyle w:val="Prrafodelista"/>
        <w:numPr>
          <w:ilvl w:val="0"/>
          <w:numId w:val="54"/>
        </w:numPr>
        <w:rPr>
          <w:rFonts w:cs="Arial"/>
          <w:szCs w:val="22"/>
          <w:lang w:val="es-ES"/>
        </w:rPr>
      </w:pPr>
      <w:r w:rsidRPr="00B06D23">
        <w:rPr>
          <w:rFonts w:cs="Arial"/>
          <w:szCs w:val="22"/>
          <w:lang w:val="es-ES"/>
        </w:rPr>
        <w:t>1 camioneta por cada 2 empleados que requieren movilidad (ingenieros, supervisores y técnicos)</w:t>
      </w:r>
    </w:p>
    <w:p w14:paraId="613C1F26" w14:textId="77777777" w:rsidR="0079428C" w:rsidRPr="00B06D23" w:rsidRDefault="0079428C" w:rsidP="0079428C">
      <w:pPr>
        <w:rPr>
          <w:rFonts w:cs="Arial"/>
          <w:szCs w:val="22"/>
          <w:lang w:val="es-ES"/>
        </w:rPr>
      </w:pPr>
      <w:r w:rsidRPr="00B06D23">
        <w:rPr>
          <w:rFonts w:cs="Arial"/>
          <w:szCs w:val="22"/>
          <w:lang w:val="es-ES"/>
        </w:rPr>
        <w:t>El costo de los vehículos utilizados por las cuadrillas tercerizadas que operan en terreno se encuentra incluido en los costos de operación y mantenimiento del servicio que prestan dichos contratistas.</w:t>
      </w:r>
    </w:p>
    <w:p w14:paraId="5A83CE1E" w14:textId="77777777" w:rsidR="0079428C" w:rsidRPr="00B06D23" w:rsidRDefault="0079428C" w:rsidP="0079428C">
      <w:pPr>
        <w:rPr>
          <w:rFonts w:cs="Arial"/>
          <w:szCs w:val="22"/>
          <w:lang w:val="es-ES"/>
        </w:rPr>
      </w:pPr>
      <w:r w:rsidRPr="00B06D23">
        <w:rPr>
          <w:rFonts w:cs="Arial"/>
          <w:szCs w:val="22"/>
          <w:lang w:val="es-ES"/>
        </w:rPr>
        <w:t>El costo de los vehículos del personal propio de la estructura de la organización requerido para movilizarse a los efectos de realizar las tareas de coordinación y supervisión de sus subordinados se encuentra incluido como parte de los gastos de la organización.</w:t>
      </w:r>
    </w:p>
    <w:p w14:paraId="0D874286" w14:textId="77777777" w:rsidR="0079428C" w:rsidRPr="00FD055F" w:rsidRDefault="0079428C" w:rsidP="0079428C">
      <w:pPr>
        <w:pStyle w:val="Ttulo4"/>
      </w:pPr>
      <w:bookmarkStart w:id="202" w:name="_Toc34398143"/>
      <w:bookmarkStart w:id="203" w:name="_Toc34687237"/>
      <w:r w:rsidRPr="00FD055F">
        <w:t>Costos de mantenimiento de edificios</w:t>
      </w:r>
      <w:bookmarkEnd w:id="202"/>
      <w:bookmarkEnd w:id="203"/>
    </w:p>
    <w:p w14:paraId="190FB831" w14:textId="77777777" w:rsidR="0079428C" w:rsidRPr="00B06D23" w:rsidRDefault="0079428C" w:rsidP="0079428C">
      <w:pPr>
        <w:rPr>
          <w:rFonts w:cs="Arial"/>
          <w:szCs w:val="22"/>
          <w:lang w:val="es-ES"/>
        </w:rPr>
      </w:pPr>
      <w:r w:rsidRPr="00B06D23">
        <w:rPr>
          <w:rFonts w:cs="Arial"/>
          <w:szCs w:val="22"/>
          <w:lang w:val="es-ES"/>
        </w:rPr>
        <w:t>Es el costo de  mantenimiento que incluye la reparaciones ordinarias y extraordinarias en las diferentes partes de los edificios de la EM. Dentro de este rubro se incluyen reparación de vidrios, cerrajería, aire acondicionado, iluminación, reparación de plomería y sanitarios, ascensores.</w:t>
      </w:r>
    </w:p>
    <w:p w14:paraId="0B19FB68" w14:textId="77777777" w:rsidR="0079428C" w:rsidRPr="00B06D23" w:rsidRDefault="0079428C" w:rsidP="0079428C">
      <w:pPr>
        <w:rPr>
          <w:rFonts w:cs="Arial"/>
          <w:szCs w:val="22"/>
          <w:lang w:val="es-ES"/>
        </w:rPr>
      </w:pPr>
      <w:r w:rsidRPr="00B06D23">
        <w:rPr>
          <w:rFonts w:cs="Arial"/>
          <w:szCs w:val="22"/>
          <w:lang w:val="es-ES"/>
        </w:rPr>
        <w:t>Se ha considerado un ratio eficiente del 2% sobre el costo de inversión de los edificios como valor promedio a lo largo de su vida útil.</w:t>
      </w:r>
    </w:p>
    <w:p w14:paraId="7ECE82D2" w14:textId="77777777" w:rsidR="0079428C" w:rsidRPr="00FD055F" w:rsidRDefault="0079428C" w:rsidP="0079428C">
      <w:pPr>
        <w:pStyle w:val="Ttulo4"/>
      </w:pPr>
      <w:bookmarkStart w:id="204" w:name="_Toc34398144"/>
      <w:bookmarkStart w:id="205" w:name="_Toc34687238"/>
      <w:r w:rsidRPr="00FD055F">
        <w:t>Costos de ciberseguridad</w:t>
      </w:r>
      <w:bookmarkEnd w:id="204"/>
      <w:bookmarkEnd w:id="205"/>
    </w:p>
    <w:p w14:paraId="537D9B6A" w14:textId="77777777" w:rsidR="0079428C" w:rsidRPr="00B06D23" w:rsidRDefault="0079428C" w:rsidP="0079428C">
      <w:pPr>
        <w:rPr>
          <w:lang w:val="es-ES"/>
        </w:rPr>
      </w:pPr>
      <w:r w:rsidRPr="00B06D23">
        <w:rPr>
          <w:lang w:val="es-ES"/>
        </w:rPr>
        <w:t>Es requerido el servicio de monitoreo de los sistema de telecomunicacones y networking a nivel de ciber seguridad para servicios críticos para la compañía, en donde se puedan detectar amenazas de manera oportuna y poder actuar de manera proactiva ante ellas. Se complementa con auditorías a los sistemas de ciberseguridad para detectar ventanas en el acceso a los sistemas operacionales criticas e información de la EM.</w:t>
      </w:r>
    </w:p>
    <w:p w14:paraId="14C0055B" w14:textId="77777777" w:rsidR="0079428C" w:rsidRPr="00B06D23" w:rsidRDefault="0079428C" w:rsidP="0079428C">
      <w:pPr>
        <w:rPr>
          <w:lang w:val="es-ES"/>
        </w:rPr>
      </w:pPr>
      <w:r w:rsidRPr="00B06D23">
        <w:rPr>
          <w:lang w:val="es-ES"/>
        </w:rPr>
        <w:t>Se ha estimado los costos de ciberseguridad en función de la experiencia del consultor.</w:t>
      </w:r>
    </w:p>
    <w:p w14:paraId="259A315A" w14:textId="77777777" w:rsidR="0079428C" w:rsidRPr="00F465C5" w:rsidRDefault="0079428C" w:rsidP="0079428C">
      <w:pPr>
        <w:pStyle w:val="Ttulo3"/>
      </w:pPr>
      <w:bookmarkStart w:id="206" w:name="_Toc34398145"/>
      <w:bookmarkStart w:id="207" w:name="_Toc34687239"/>
      <w:r w:rsidRPr="00F465C5">
        <w:t>Bienes muebles e inmuebles</w:t>
      </w:r>
      <w:bookmarkEnd w:id="206"/>
      <w:bookmarkEnd w:id="207"/>
    </w:p>
    <w:p w14:paraId="27641380" w14:textId="77777777" w:rsidR="0079428C" w:rsidRPr="00B06D23" w:rsidRDefault="0079428C" w:rsidP="0079428C">
      <w:pPr>
        <w:rPr>
          <w:lang w:val="es-ES"/>
        </w:rPr>
      </w:pPr>
      <w:r w:rsidRPr="00B06D23">
        <w:rPr>
          <w:lang w:val="es-ES"/>
        </w:rPr>
        <w:t>Se desarrolla la metodología para determinar los bienes muebles e inmuebles de la empresa modelo.</w:t>
      </w:r>
    </w:p>
    <w:p w14:paraId="454CEC1E" w14:textId="77777777" w:rsidR="0079428C" w:rsidRPr="00FD055F" w:rsidRDefault="0079428C" w:rsidP="0079428C">
      <w:pPr>
        <w:pStyle w:val="Ttulo4"/>
      </w:pPr>
      <w:bookmarkStart w:id="208" w:name="_Toc32390199"/>
      <w:bookmarkStart w:id="209" w:name="_Toc34398146"/>
      <w:bookmarkStart w:id="210" w:name="_Toc34687240"/>
      <w:r w:rsidRPr="00FD055F">
        <w:t>Bienes inmuebles distintos a los terrenos</w:t>
      </w:r>
      <w:bookmarkEnd w:id="208"/>
      <w:bookmarkEnd w:id="209"/>
      <w:bookmarkEnd w:id="210"/>
    </w:p>
    <w:p w14:paraId="330B13D7" w14:textId="77777777" w:rsidR="0079428C" w:rsidRPr="00B06D23" w:rsidRDefault="0079428C" w:rsidP="0079428C">
      <w:pPr>
        <w:jc w:val="left"/>
        <w:rPr>
          <w:lang w:val="es-ES"/>
        </w:rPr>
      </w:pPr>
      <w:r w:rsidRPr="00B06D23">
        <w:rPr>
          <w:lang w:val="es-ES"/>
        </w:rPr>
        <w:t>Este ítem incluye los edificios u oficinas, y las bodegas que son requeridos para la prestación del servicio de transmisión en el sistema nacional y que se describen a continuación.</w:t>
      </w:r>
    </w:p>
    <w:p w14:paraId="4B04E9E2" w14:textId="77777777" w:rsidR="0079428C" w:rsidRPr="00B06D23" w:rsidRDefault="0079428C" w:rsidP="0079428C">
      <w:pPr>
        <w:rPr>
          <w:lang w:val="es-ES"/>
        </w:rPr>
      </w:pPr>
      <w:r w:rsidRPr="00B06D23">
        <w:rPr>
          <w:lang w:val="es-ES"/>
        </w:rPr>
        <w:t>Edificios u oficinas: corresponde a la infraestructura requerida para albergar al personal de plantilla de la empresa modelo eficiente y que sea requerida para la prestación óptima y eficiente del servicio. Dentro de los edificios se incluye el espacio requerido para albergar el Centro de Control.</w:t>
      </w:r>
    </w:p>
    <w:p w14:paraId="168D6795" w14:textId="77777777" w:rsidR="0079428C" w:rsidRPr="00B06D23" w:rsidRDefault="0079428C" w:rsidP="0079428C">
      <w:pPr>
        <w:rPr>
          <w:lang w:val="es-ES"/>
        </w:rPr>
      </w:pPr>
      <w:r w:rsidRPr="00B06D23">
        <w:rPr>
          <w:lang w:val="es-ES"/>
        </w:rPr>
        <w:t>Los edificios u oficinas incluyen los requeridos para la administración de la empresa de transmisión considerando su casa matriz y las oficinas o edificios zonales necesarios con motivo de la descentralización de su planta de personal.</w:t>
      </w:r>
    </w:p>
    <w:p w14:paraId="49CB88DC" w14:textId="77777777" w:rsidR="0079428C" w:rsidRPr="00B06D23" w:rsidRDefault="0079428C" w:rsidP="0079428C">
      <w:pPr>
        <w:rPr>
          <w:lang w:val="es-ES"/>
        </w:rPr>
      </w:pPr>
      <w:r w:rsidRPr="00B06D23">
        <w:rPr>
          <w:lang w:val="es-ES"/>
        </w:rPr>
        <w:t>Las bodegas incluyen la infraestructura para el almacenamiento de materiales y equipos que son requeridos para la prestación eficiente del servicio considerando el despliegue territorial de la empresa modelo eficiente.</w:t>
      </w:r>
    </w:p>
    <w:p w14:paraId="204E2F93" w14:textId="77777777" w:rsidR="0079428C" w:rsidRPr="00B06D23" w:rsidRDefault="0079428C" w:rsidP="0079428C">
      <w:pPr>
        <w:rPr>
          <w:lang w:val="es-ES"/>
        </w:rPr>
      </w:pPr>
      <w:r w:rsidRPr="00B06D23">
        <w:rPr>
          <w:lang w:val="es-ES"/>
        </w:rPr>
        <w:t>Sobre la base de la cantidad de empleados de plantilla que resultó del diseño organizacional eficiente y considerando una cantidad de m2 por empleado se determinó la cantidad de m2 requeridos de edificios y oficinas.</w:t>
      </w:r>
    </w:p>
    <w:p w14:paraId="7283D119" w14:textId="77777777" w:rsidR="0079428C" w:rsidRPr="00B06D23" w:rsidRDefault="0079428C" w:rsidP="0079428C">
      <w:pPr>
        <w:rPr>
          <w:lang w:val="es-ES"/>
        </w:rPr>
      </w:pPr>
      <w:r w:rsidRPr="00B06D23">
        <w:rPr>
          <w:lang w:val="es-ES"/>
        </w:rPr>
        <w:t>Para el personal de plantilla tanto del edificio corporativo como de las oficinas regionales se consideró los siguientes ratios:</w:t>
      </w:r>
    </w:p>
    <w:tbl>
      <w:tblPr>
        <w:tblW w:w="3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5"/>
        <w:gridCol w:w="1410"/>
      </w:tblGrid>
      <w:tr w:rsidR="0079428C" w:rsidRPr="009F3AA0" w14:paraId="55DF6195" w14:textId="77777777" w:rsidTr="0060133B">
        <w:trPr>
          <w:trHeight w:val="290"/>
          <w:jc w:val="center"/>
        </w:trPr>
        <w:tc>
          <w:tcPr>
            <w:tcW w:w="1875" w:type="dxa"/>
            <w:shd w:val="clear" w:color="auto" w:fill="auto"/>
            <w:noWrap/>
            <w:vAlign w:val="bottom"/>
            <w:hideMark/>
          </w:tcPr>
          <w:p w14:paraId="45F99CD9" w14:textId="77777777" w:rsidR="0079428C" w:rsidRPr="009F3AA0" w:rsidRDefault="0079428C" w:rsidP="00C276D3">
            <w:pPr>
              <w:spacing w:after="0" w:line="240" w:lineRule="auto"/>
              <w:jc w:val="left"/>
              <w:rPr>
                <w:rFonts w:eastAsia="Times New Roman" w:cs="Calibri"/>
                <w:color w:val="000000"/>
                <w:sz w:val="20"/>
                <w:szCs w:val="20"/>
                <w:lang w:val="es-ES" w:eastAsia="es-AR"/>
              </w:rPr>
            </w:pPr>
            <w:r w:rsidRPr="009F3AA0">
              <w:rPr>
                <w:rFonts w:eastAsia="Times New Roman" w:cs="Calibri"/>
                <w:color w:val="000000"/>
                <w:sz w:val="20"/>
                <w:szCs w:val="20"/>
                <w:lang w:val="es-ES" w:eastAsia="es-AR"/>
              </w:rPr>
              <w:t>Nivel</w:t>
            </w:r>
          </w:p>
        </w:tc>
        <w:tc>
          <w:tcPr>
            <w:tcW w:w="1410" w:type="dxa"/>
            <w:shd w:val="clear" w:color="auto" w:fill="auto"/>
            <w:noWrap/>
            <w:vAlign w:val="bottom"/>
            <w:hideMark/>
          </w:tcPr>
          <w:p w14:paraId="140318E9" w14:textId="77777777" w:rsidR="0079428C" w:rsidRPr="009F3AA0" w:rsidRDefault="0079428C" w:rsidP="00C276D3">
            <w:pPr>
              <w:spacing w:after="0" w:line="240" w:lineRule="auto"/>
              <w:jc w:val="left"/>
              <w:rPr>
                <w:rFonts w:eastAsia="Times New Roman" w:cs="Calibri"/>
                <w:color w:val="000000"/>
                <w:sz w:val="20"/>
                <w:szCs w:val="20"/>
                <w:lang w:val="es-ES" w:eastAsia="es-AR"/>
              </w:rPr>
            </w:pPr>
            <w:r w:rsidRPr="009F3AA0">
              <w:rPr>
                <w:rFonts w:eastAsia="Times New Roman" w:cs="Calibri"/>
                <w:color w:val="000000"/>
                <w:sz w:val="20"/>
                <w:szCs w:val="20"/>
                <w:lang w:val="es-ES" w:eastAsia="es-AR"/>
              </w:rPr>
              <w:t>m2/empleado</w:t>
            </w:r>
          </w:p>
        </w:tc>
      </w:tr>
      <w:tr w:rsidR="0079428C" w:rsidRPr="009F3AA0" w14:paraId="66FB1160" w14:textId="77777777" w:rsidTr="0060133B">
        <w:trPr>
          <w:trHeight w:val="290"/>
          <w:jc w:val="center"/>
        </w:trPr>
        <w:tc>
          <w:tcPr>
            <w:tcW w:w="1875" w:type="dxa"/>
            <w:shd w:val="clear" w:color="auto" w:fill="auto"/>
            <w:noWrap/>
            <w:vAlign w:val="bottom"/>
            <w:hideMark/>
          </w:tcPr>
          <w:p w14:paraId="75AF8125" w14:textId="77777777" w:rsidR="0079428C" w:rsidRPr="009F3AA0" w:rsidRDefault="0079428C" w:rsidP="00C276D3">
            <w:pPr>
              <w:spacing w:after="0" w:line="240" w:lineRule="auto"/>
              <w:jc w:val="left"/>
              <w:rPr>
                <w:rFonts w:eastAsia="Times New Roman" w:cs="Calibri"/>
                <w:color w:val="000000"/>
                <w:sz w:val="20"/>
                <w:szCs w:val="20"/>
                <w:lang w:val="es-ES" w:eastAsia="es-AR"/>
              </w:rPr>
            </w:pPr>
            <w:r w:rsidRPr="009F3AA0">
              <w:rPr>
                <w:rFonts w:eastAsia="Times New Roman" w:cs="Calibri"/>
                <w:color w:val="000000"/>
                <w:sz w:val="20"/>
                <w:szCs w:val="20"/>
                <w:lang w:val="es-ES" w:eastAsia="es-AR"/>
              </w:rPr>
              <w:t>Gerentes</w:t>
            </w:r>
          </w:p>
        </w:tc>
        <w:tc>
          <w:tcPr>
            <w:tcW w:w="1410" w:type="dxa"/>
            <w:shd w:val="clear" w:color="auto" w:fill="auto"/>
            <w:noWrap/>
            <w:vAlign w:val="bottom"/>
            <w:hideMark/>
          </w:tcPr>
          <w:p w14:paraId="68FA577C" w14:textId="77777777" w:rsidR="0079428C" w:rsidRPr="009F3AA0" w:rsidRDefault="0079428C" w:rsidP="00C276D3">
            <w:pPr>
              <w:spacing w:after="0" w:line="240" w:lineRule="auto"/>
              <w:jc w:val="right"/>
              <w:rPr>
                <w:rFonts w:eastAsia="Times New Roman" w:cs="Calibri"/>
                <w:color w:val="000000"/>
                <w:sz w:val="20"/>
                <w:szCs w:val="20"/>
                <w:lang w:val="es-ES" w:eastAsia="es-AR"/>
              </w:rPr>
            </w:pPr>
            <w:r w:rsidRPr="009F3AA0">
              <w:rPr>
                <w:rFonts w:eastAsia="Times New Roman" w:cs="Calibri"/>
                <w:color w:val="000000"/>
                <w:sz w:val="20"/>
                <w:szCs w:val="20"/>
                <w:lang w:val="es-ES" w:eastAsia="es-AR"/>
              </w:rPr>
              <w:t>30</w:t>
            </w:r>
          </w:p>
        </w:tc>
      </w:tr>
      <w:tr w:rsidR="0079428C" w:rsidRPr="009F3AA0" w14:paraId="0CB61950" w14:textId="77777777" w:rsidTr="0060133B">
        <w:trPr>
          <w:trHeight w:val="290"/>
          <w:jc w:val="center"/>
        </w:trPr>
        <w:tc>
          <w:tcPr>
            <w:tcW w:w="1875" w:type="dxa"/>
            <w:shd w:val="clear" w:color="auto" w:fill="auto"/>
            <w:noWrap/>
            <w:vAlign w:val="bottom"/>
            <w:hideMark/>
          </w:tcPr>
          <w:p w14:paraId="48D68E34" w14:textId="77777777" w:rsidR="0079428C" w:rsidRPr="009F3AA0" w:rsidRDefault="0079428C" w:rsidP="00C276D3">
            <w:pPr>
              <w:spacing w:after="0" w:line="240" w:lineRule="auto"/>
              <w:jc w:val="left"/>
              <w:rPr>
                <w:rFonts w:eastAsia="Times New Roman" w:cs="Calibri"/>
                <w:color w:val="000000"/>
                <w:sz w:val="20"/>
                <w:szCs w:val="20"/>
                <w:lang w:val="es-ES" w:eastAsia="es-AR"/>
              </w:rPr>
            </w:pPr>
            <w:r w:rsidRPr="009F3AA0">
              <w:rPr>
                <w:rFonts w:eastAsia="Times New Roman" w:cs="Calibri"/>
                <w:color w:val="000000"/>
                <w:sz w:val="20"/>
                <w:szCs w:val="20"/>
                <w:lang w:val="es-ES" w:eastAsia="es-AR"/>
              </w:rPr>
              <w:t>Subgerentes</w:t>
            </w:r>
          </w:p>
        </w:tc>
        <w:tc>
          <w:tcPr>
            <w:tcW w:w="1410" w:type="dxa"/>
            <w:shd w:val="clear" w:color="auto" w:fill="auto"/>
            <w:noWrap/>
            <w:vAlign w:val="bottom"/>
            <w:hideMark/>
          </w:tcPr>
          <w:p w14:paraId="6A1A442B" w14:textId="77777777" w:rsidR="0079428C" w:rsidRPr="009F3AA0" w:rsidRDefault="0079428C" w:rsidP="00C276D3">
            <w:pPr>
              <w:spacing w:after="0" w:line="240" w:lineRule="auto"/>
              <w:jc w:val="right"/>
              <w:rPr>
                <w:rFonts w:eastAsia="Times New Roman" w:cs="Calibri"/>
                <w:color w:val="000000"/>
                <w:sz w:val="20"/>
                <w:szCs w:val="20"/>
                <w:lang w:val="es-ES" w:eastAsia="es-AR"/>
              </w:rPr>
            </w:pPr>
            <w:r w:rsidRPr="009F3AA0">
              <w:rPr>
                <w:rFonts w:eastAsia="Times New Roman" w:cs="Calibri"/>
                <w:color w:val="000000"/>
                <w:sz w:val="20"/>
                <w:szCs w:val="20"/>
                <w:lang w:val="es-ES" w:eastAsia="es-AR"/>
              </w:rPr>
              <w:t>25</w:t>
            </w:r>
          </w:p>
        </w:tc>
      </w:tr>
      <w:tr w:rsidR="0079428C" w:rsidRPr="009F3AA0" w14:paraId="4D697EDC" w14:textId="77777777" w:rsidTr="0060133B">
        <w:trPr>
          <w:trHeight w:val="290"/>
          <w:jc w:val="center"/>
        </w:trPr>
        <w:tc>
          <w:tcPr>
            <w:tcW w:w="1875" w:type="dxa"/>
            <w:shd w:val="clear" w:color="auto" w:fill="auto"/>
            <w:noWrap/>
            <w:vAlign w:val="bottom"/>
            <w:hideMark/>
          </w:tcPr>
          <w:p w14:paraId="40F5D6EC" w14:textId="77777777" w:rsidR="0079428C" w:rsidRPr="009F3AA0" w:rsidRDefault="0079428C" w:rsidP="00C276D3">
            <w:pPr>
              <w:spacing w:after="0" w:line="240" w:lineRule="auto"/>
              <w:jc w:val="left"/>
              <w:rPr>
                <w:rFonts w:eastAsia="Times New Roman" w:cs="Calibri"/>
                <w:color w:val="000000"/>
                <w:sz w:val="20"/>
                <w:szCs w:val="20"/>
                <w:lang w:val="es-ES" w:eastAsia="es-AR"/>
              </w:rPr>
            </w:pPr>
            <w:r w:rsidRPr="009F3AA0">
              <w:rPr>
                <w:rFonts w:eastAsia="Times New Roman" w:cs="Calibri"/>
                <w:color w:val="000000"/>
                <w:sz w:val="20"/>
                <w:szCs w:val="20"/>
                <w:lang w:val="es-ES" w:eastAsia="es-AR"/>
              </w:rPr>
              <w:t>Jefes y empleados</w:t>
            </w:r>
          </w:p>
        </w:tc>
        <w:tc>
          <w:tcPr>
            <w:tcW w:w="1410" w:type="dxa"/>
            <w:shd w:val="clear" w:color="auto" w:fill="auto"/>
            <w:noWrap/>
            <w:vAlign w:val="bottom"/>
            <w:hideMark/>
          </w:tcPr>
          <w:p w14:paraId="3242F2CD" w14:textId="77777777" w:rsidR="0079428C" w:rsidRPr="009F3AA0" w:rsidRDefault="0079428C" w:rsidP="00C276D3">
            <w:pPr>
              <w:spacing w:after="0" w:line="240" w:lineRule="auto"/>
              <w:jc w:val="right"/>
              <w:rPr>
                <w:rFonts w:eastAsia="Times New Roman" w:cs="Calibri"/>
                <w:color w:val="000000"/>
                <w:sz w:val="20"/>
                <w:szCs w:val="20"/>
                <w:lang w:val="es-ES" w:eastAsia="es-AR"/>
              </w:rPr>
            </w:pPr>
            <w:r w:rsidRPr="009F3AA0">
              <w:rPr>
                <w:rFonts w:eastAsia="Times New Roman" w:cs="Calibri"/>
                <w:color w:val="000000"/>
                <w:sz w:val="20"/>
                <w:szCs w:val="20"/>
                <w:lang w:val="es-ES" w:eastAsia="es-AR"/>
              </w:rPr>
              <w:t>15</w:t>
            </w:r>
          </w:p>
        </w:tc>
      </w:tr>
    </w:tbl>
    <w:p w14:paraId="63349656" w14:textId="77777777" w:rsidR="0079428C" w:rsidRPr="00B06D23" w:rsidRDefault="0079428C" w:rsidP="0079428C">
      <w:pPr>
        <w:rPr>
          <w:lang w:val="es-ES"/>
        </w:rPr>
      </w:pPr>
    </w:p>
    <w:p w14:paraId="737847F7" w14:textId="77777777" w:rsidR="0079428C" w:rsidRPr="00B06D23" w:rsidRDefault="0079428C" w:rsidP="0079428C">
      <w:pPr>
        <w:rPr>
          <w:lang w:val="es-ES"/>
        </w:rPr>
      </w:pPr>
      <w:r w:rsidRPr="00B06D23">
        <w:rPr>
          <w:lang w:val="es-ES"/>
        </w:rPr>
        <w:t>En función de la dispersión territorial de los activos y los centros operativos se determinó  la cantidad y m2 requeridos de bodegas para la operación y mantenimiento de la empresa.</w:t>
      </w:r>
    </w:p>
    <w:p w14:paraId="686DD00E" w14:textId="77777777" w:rsidR="0079428C" w:rsidRPr="00B06D23" w:rsidRDefault="0079428C" w:rsidP="0079428C">
      <w:pPr>
        <w:rPr>
          <w:lang w:val="es-ES"/>
        </w:rPr>
      </w:pPr>
      <w:r w:rsidRPr="00B06D23">
        <w:rPr>
          <w:lang w:val="es-ES"/>
        </w:rPr>
        <w:t>Se clasificaron las estaciones en acorde de su tamaño (en función de la cantidad de equipamiento)  en muy grandes, grandes, medianas, pequeñas y muy pequeñas.</w:t>
      </w:r>
    </w:p>
    <w:p w14:paraId="57D396B4" w14:textId="77777777" w:rsidR="0079428C" w:rsidRPr="00B06D23" w:rsidRDefault="0079428C" w:rsidP="0079428C">
      <w:pPr>
        <w:rPr>
          <w:lang w:val="es-ES"/>
        </w:rPr>
      </w:pPr>
      <w:r w:rsidRPr="00B06D23">
        <w:rPr>
          <w:lang w:val="es-ES"/>
        </w:rPr>
        <w:t>Se definió la cantidad de m2 de espacio de almacenamiento requerido para cada tamaño de subestación. Los m2 incluyen los depositos ´para sustancias peligrosas, y lugar donde se acopian los materiales y desechos destinados a enajenación y disposición.</w:t>
      </w:r>
    </w:p>
    <w:p w14:paraId="6B496DA0" w14:textId="77777777" w:rsidR="0079428C" w:rsidRPr="00B06D23" w:rsidRDefault="0079428C" w:rsidP="0079428C">
      <w:pPr>
        <w:rPr>
          <w:lang w:val="es-ES"/>
        </w:rPr>
      </w:pPr>
      <w:r w:rsidRPr="00B06D23">
        <w:rPr>
          <w:lang w:val="es-ES"/>
        </w:rPr>
        <w:t>Sobre la base de los m2 por subestación, y la cantidad de estaciones por tamaño de cada regional se estimó la cantidad total de m2 de bodegas para cada regional.</w:t>
      </w:r>
    </w:p>
    <w:p w14:paraId="7AFF8516" w14:textId="77777777" w:rsidR="0079428C" w:rsidRPr="00B06D23" w:rsidRDefault="0079428C" w:rsidP="0079428C">
      <w:pPr>
        <w:rPr>
          <w:lang w:val="es-ES"/>
        </w:rPr>
      </w:pPr>
      <w:r w:rsidRPr="00B06D23">
        <w:rPr>
          <w:lang w:val="es-ES"/>
        </w:rPr>
        <w:t>Para las regionales como más de una sede se consideraró dos bodegas para el total de m2 de la regional.</w:t>
      </w:r>
    </w:p>
    <w:p w14:paraId="37A1A7D6" w14:textId="77777777" w:rsidR="0079428C" w:rsidRPr="00B06D23" w:rsidRDefault="0079428C" w:rsidP="0079428C">
      <w:pPr>
        <w:rPr>
          <w:lang w:val="es-ES"/>
        </w:rPr>
      </w:pPr>
      <w:r w:rsidRPr="00B06D23">
        <w:rPr>
          <w:lang w:val="es-ES"/>
        </w:rPr>
        <w:t>Como resultado de lo señalado surgió la siguiente cantidad de m2 por bodega:</w:t>
      </w:r>
    </w:p>
    <w:tbl>
      <w:tblPr>
        <w:tblW w:w="5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0"/>
        <w:gridCol w:w="1940"/>
        <w:gridCol w:w="1720"/>
      </w:tblGrid>
      <w:tr w:rsidR="0079428C" w:rsidRPr="0060133B" w14:paraId="3148891F" w14:textId="77777777" w:rsidTr="0060133B">
        <w:trPr>
          <w:trHeight w:val="290"/>
          <w:jc w:val="center"/>
        </w:trPr>
        <w:tc>
          <w:tcPr>
            <w:tcW w:w="1860" w:type="dxa"/>
            <w:shd w:val="clear" w:color="auto" w:fill="auto"/>
            <w:noWrap/>
            <w:vAlign w:val="bottom"/>
            <w:hideMark/>
          </w:tcPr>
          <w:p w14:paraId="4FB0868C" w14:textId="77777777" w:rsidR="0079428C" w:rsidRPr="0060133B" w:rsidRDefault="0079428C" w:rsidP="00C276D3">
            <w:pPr>
              <w:spacing w:after="0" w:line="240" w:lineRule="auto"/>
              <w:jc w:val="left"/>
              <w:rPr>
                <w:rFonts w:asciiTheme="minorHAnsi" w:eastAsia="Times New Roman" w:hAnsiTheme="minorHAnsi" w:cstheme="minorHAnsi"/>
                <w:b/>
                <w:bCs/>
                <w:sz w:val="20"/>
                <w:szCs w:val="20"/>
                <w:lang w:val="es-ES" w:eastAsia="es-AR"/>
              </w:rPr>
            </w:pPr>
            <w:r w:rsidRPr="0060133B">
              <w:rPr>
                <w:rFonts w:asciiTheme="minorHAnsi" w:eastAsia="Times New Roman" w:hAnsiTheme="minorHAnsi" w:cstheme="minorHAnsi"/>
                <w:b/>
                <w:bCs/>
                <w:sz w:val="20"/>
                <w:szCs w:val="20"/>
                <w:lang w:val="es-ES" w:eastAsia="es-AR"/>
              </w:rPr>
              <w:t>Bodega</w:t>
            </w:r>
          </w:p>
        </w:tc>
        <w:tc>
          <w:tcPr>
            <w:tcW w:w="1940" w:type="dxa"/>
            <w:shd w:val="clear" w:color="auto" w:fill="auto"/>
            <w:noWrap/>
            <w:vAlign w:val="bottom"/>
            <w:hideMark/>
          </w:tcPr>
          <w:p w14:paraId="42267F7A" w14:textId="77777777" w:rsidR="0079428C" w:rsidRPr="0060133B" w:rsidRDefault="0079428C" w:rsidP="00C276D3">
            <w:pPr>
              <w:spacing w:after="0" w:line="240" w:lineRule="auto"/>
              <w:jc w:val="left"/>
              <w:rPr>
                <w:rFonts w:asciiTheme="minorHAnsi" w:eastAsia="Times New Roman" w:hAnsiTheme="minorHAnsi" w:cstheme="minorHAnsi"/>
                <w:b/>
                <w:bCs/>
                <w:sz w:val="20"/>
                <w:szCs w:val="20"/>
                <w:lang w:val="es-ES" w:eastAsia="es-AR"/>
              </w:rPr>
            </w:pPr>
            <w:r w:rsidRPr="0060133B">
              <w:rPr>
                <w:rFonts w:asciiTheme="minorHAnsi" w:eastAsia="Times New Roman" w:hAnsiTheme="minorHAnsi" w:cstheme="minorHAnsi"/>
                <w:b/>
                <w:bCs/>
                <w:sz w:val="20"/>
                <w:szCs w:val="20"/>
                <w:lang w:val="es-ES" w:eastAsia="es-AR"/>
              </w:rPr>
              <w:t>regional</w:t>
            </w:r>
          </w:p>
        </w:tc>
        <w:tc>
          <w:tcPr>
            <w:tcW w:w="1720" w:type="dxa"/>
            <w:shd w:val="clear" w:color="auto" w:fill="auto"/>
            <w:noWrap/>
            <w:vAlign w:val="bottom"/>
            <w:hideMark/>
          </w:tcPr>
          <w:p w14:paraId="59F54442" w14:textId="77777777" w:rsidR="0079428C" w:rsidRPr="0060133B" w:rsidRDefault="0079428C" w:rsidP="00C276D3">
            <w:pPr>
              <w:spacing w:after="0" w:line="240" w:lineRule="auto"/>
              <w:jc w:val="center"/>
              <w:rPr>
                <w:rFonts w:asciiTheme="minorHAnsi" w:eastAsia="Times New Roman" w:hAnsiTheme="minorHAnsi" w:cstheme="minorHAnsi"/>
                <w:b/>
                <w:bCs/>
                <w:sz w:val="20"/>
                <w:szCs w:val="20"/>
                <w:lang w:val="es-ES" w:eastAsia="es-AR"/>
              </w:rPr>
            </w:pPr>
            <w:r w:rsidRPr="0060133B">
              <w:rPr>
                <w:rFonts w:asciiTheme="minorHAnsi" w:eastAsia="Times New Roman" w:hAnsiTheme="minorHAnsi" w:cstheme="minorHAnsi"/>
                <w:b/>
                <w:bCs/>
                <w:sz w:val="20"/>
                <w:szCs w:val="20"/>
                <w:lang w:val="es-ES" w:eastAsia="es-AR"/>
              </w:rPr>
              <w:t>m2 x bodega</w:t>
            </w:r>
          </w:p>
        </w:tc>
      </w:tr>
      <w:tr w:rsidR="0079428C" w:rsidRPr="0060133B" w14:paraId="4A49F529" w14:textId="77777777" w:rsidTr="0060133B">
        <w:trPr>
          <w:trHeight w:val="290"/>
          <w:jc w:val="center"/>
        </w:trPr>
        <w:tc>
          <w:tcPr>
            <w:tcW w:w="1860" w:type="dxa"/>
            <w:shd w:val="clear" w:color="auto" w:fill="auto"/>
            <w:noWrap/>
            <w:vAlign w:val="bottom"/>
            <w:hideMark/>
          </w:tcPr>
          <w:p w14:paraId="46C12861"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Antofagasta</w:t>
            </w:r>
          </w:p>
        </w:tc>
        <w:tc>
          <w:tcPr>
            <w:tcW w:w="1940" w:type="dxa"/>
            <w:shd w:val="clear" w:color="auto" w:fill="auto"/>
            <w:noWrap/>
            <w:vAlign w:val="bottom"/>
            <w:hideMark/>
          </w:tcPr>
          <w:p w14:paraId="7B36DAF7"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Norte</w:t>
            </w:r>
          </w:p>
        </w:tc>
        <w:tc>
          <w:tcPr>
            <w:tcW w:w="1720" w:type="dxa"/>
            <w:shd w:val="clear" w:color="auto" w:fill="auto"/>
            <w:noWrap/>
            <w:hideMark/>
          </w:tcPr>
          <w:p w14:paraId="027B2BBF"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1.583</w:t>
            </w:r>
          </w:p>
        </w:tc>
      </w:tr>
      <w:tr w:rsidR="0079428C" w:rsidRPr="0060133B" w14:paraId="4B38AFDE" w14:textId="77777777" w:rsidTr="0060133B">
        <w:trPr>
          <w:trHeight w:val="290"/>
          <w:jc w:val="center"/>
        </w:trPr>
        <w:tc>
          <w:tcPr>
            <w:tcW w:w="1860" w:type="dxa"/>
            <w:shd w:val="clear" w:color="auto" w:fill="auto"/>
            <w:noWrap/>
            <w:vAlign w:val="bottom"/>
            <w:hideMark/>
          </w:tcPr>
          <w:p w14:paraId="124EF746"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Coquimbo</w:t>
            </w:r>
          </w:p>
        </w:tc>
        <w:tc>
          <w:tcPr>
            <w:tcW w:w="1940" w:type="dxa"/>
            <w:shd w:val="clear" w:color="auto" w:fill="auto"/>
            <w:noWrap/>
            <w:vAlign w:val="bottom"/>
            <w:hideMark/>
          </w:tcPr>
          <w:p w14:paraId="7A70E695"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Norte</w:t>
            </w:r>
          </w:p>
        </w:tc>
        <w:tc>
          <w:tcPr>
            <w:tcW w:w="1720" w:type="dxa"/>
            <w:shd w:val="clear" w:color="auto" w:fill="auto"/>
            <w:noWrap/>
            <w:hideMark/>
          </w:tcPr>
          <w:p w14:paraId="584ADE22"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1.583</w:t>
            </w:r>
          </w:p>
        </w:tc>
      </w:tr>
      <w:tr w:rsidR="0079428C" w:rsidRPr="0060133B" w14:paraId="33EE1E4E" w14:textId="77777777" w:rsidTr="0060133B">
        <w:trPr>
          <w:trHeight w:val="290"/>
          <w:jc w:val="center"/>
        </w:trPr>
        <w:tc>
          <w:tcPr>
            <w:tcW w:w="1860" w:type="dxa"/>
            <w:shd w:val="clear" w:color="auto" w:fill="auto"/>
            <w:noWrap/>
            <w:vAlign w:val="bottom"/>
            <w:hideMark/>
          </w:tcPr>
          <w:p w14:paraId="58BFB89B"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Metropolitana</w:t>
            </w:r>
          </w:p>
        </w:tc>
        <w:tc>
          <w:tcPr>
            <w:tcW w:w="1940" w:type="dxa"/>
            <w:shd w:val="clear" w:color="auto" w:fill="auto"/>
            <w:noWrap/>
            <w:vAlign w:val="bottom"/>
            <w:hideMark/>
          </w:tcPr>
          <w:p w14:paraId="4E19EDCC"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Centro</w:t>
            </w:r>
          </w:p>
        </w:tc>
        <w:tc>
          <w:tcPr>
            <w:tcW w:w="1720" w:type="dxa"/>
            <w:shd w:val="clear" w:color="auto" w:fill="auto"/>
            <w:noWrap/>
            <w:hideMark/>
          </w:tcPr>
          <w:p w14:paraId="53C47CA1"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1.207</w:t>
            </w:r>
          </w:p>
        </w:tc>
      </w:tr>
      <w:tr w:rsidR="0079428C" w:rsidRPr="0060133B" w14:paraId="67C07B5A" w14:textId="77777777" w:rsidTr="0060133B">
        <w:trPr>
          <w:trHeight w:val="290"/>
          <w:jc w:val="center"/>
        </w:trPr>
        <w:tc>
          <w:tcPr>
            <w:tcW w:w="1860" w:type="dxa"/>
            <w:shd w:val="clear" w:color="auto" w:fill="auto"/>
            <w:noWrap/>
            <w:vAlign w:val="bottom"/>
            <w:hideMark/>
          </w:tcPr>
          <w:p w14:paraId="510D6CCD"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Itahue</w:t>
            </w:r>
          </w:p>
        </w:tc>
        <w:tc>
          <w:tcPr>
            <w:tcW w:w="1940" w:type="dxa"/>
            <w:shd w:val="clear" w:color="auto" w:fill="auto"/>
            <w:noWrap/>
            <w:vAlign w:val="bottom"/>
            <w:hideMark/>
          </w:tcPr>
          <w:p w14:paraId="0B13E5D8"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Centro-Sur</w:t>
            </w:r>
          </w:p>
        </w:tc>
        <w:tc>
          <w:tcPr>
            <w:tcW w:w="1720" w:type="dxa"/>
            <w:shd w:val="clear" w:color="auto" w:fill="auto"/>
            <w:noWrap/>
            <w:hideMark/>
          </w:tcPr>
          <w:p w14:paraId="15653C21"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816</w:t>
            </w:r>
          </w:p>
        </w:tc>
      </w:tr>
      <w:tr w:rsidR="0079428C" w:rsidRPr="0060133B" w14:paraId="3F66DE8F" w14:textId="77777777" w:rsidTr="0060133B">
        <w:trPr>
          <w:trHeight w:val="290"/>
          <w:jc w:val="center"/>
        </w:trPr>
        <w:tc>
          <w:tcPr>
            <w:tcW w:w="1860" w:type="dxa"/>
            <w:shd w:val="clear" w:color="auto" w:fill="auto"/>
            <w:noWrap/>
            <w:vAlign w:val="bottom"/>
            <w:hideMark/>
          </w:tcPr>
          <w:p w14:paraId="5E4922D4"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Concepción</w:t>
            </w:r>
          </w:p>
        </w:tc>
        <w:tc>
          <w:tcPr>
            <w:tcW w:w="1940" w:type="dxa"/>
            <w:shd w:val="clear" w:color="auto" w:fill="auto"/>
            <w:noWrap/>
            <w:vAlign w:val="bottom"/>
            <w:hideMark/>
          </w:tcPr>
          <w:p w14:paraId="36CA17E0"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Sur</w:t>
            </w:r>
          </w:p>
        </w:tc>
        <w:tc>
          <w:tcPr>
            <w:tcW w:w="1720" w:type="dxa"/>
            <w:shd w:val="clear" w:color="auto" w:fill="auto"/>
            <w:noWrap/>
            <w:hideMark/>
          </w:tcPr>
          <w:p w14:paraId="0202C5B2"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520</w:t>
            </w:r>
          </w:p>
        </w:tc>
      </w:tr>
      <w:tr w:rsidR="0079428C" w:rsidRPr="0060133B" w14:paraId="37850203" w14:textId="77777777" w:rsidTr="0060133B">
        <w:trPr>
          <w:trHeight w:val="290"/>
          <w:jc w:val="center"/>
        </w:trPr>
        <w:tc>
          <w:tcPr>
            <w:tcW w:w="1860" w:type="dxa"/>
            <w:shd w:val="clear" w:color="auto" w:fill="auto"/>
            <w:noWrap/>
            <w:vAlign w:val="bottom"/>
            <w:hideMark/>
          </w:tcPr>
          <w:p w14:paraId="6874E3D3"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Temuco</w:t>
            </w:r>
          </w:p>
        </w:tc>
        <w:tc>
          <w:tcPr>
            <w:tcW w:w="1940" w:type="dxa"/>
            <w:shd w:val="clear" w:color="auto" w:fill="auto"/>
            <w:noWrap/>
            <w:vAlign w:val="bottom"/>
            <w:hideMark/>
          </w:tcPr>
          <w:p w14:paraId="6754F842"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Sur</w:t>
            </w:r>
          </w:p>
        </w:tc>
        <w:tc>
          <w:tcPr>
            <w:tcW w:w="1720" w:type="dxa"/>
            <w:shd w:val="clear" w:color="auto" w:fill="auto"/>
            <w:noWrap/>
            <w:hideMark/>
          </w:tcPr>
          <w:p w14:paraId="41C4D750"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520</w:t>
            </w:r>
          </w:p>
        </w:tc>
      </w:tr>
      <w:tr w:rsidR="0079428C" w:rsidRPr="0060133B" w14:paraId="5AA69D9F" w14:textId="77777777" w:rsidTr="0060133B">
        <w:trPr>
          <w:trHeight w:val="290"/>
          <w:jc w:val="center"/>
        </w:trPr>
        <w:tc>
          <w:tcPr>
            <w:tcW w:w="1860" w:type="dxa"/>
            <w:shd w:val="clear" w:color="auto" w:fill="auto"/>
            <w:noWrap/>
            <w:vAlign w:val="bottom"/>
            <w:hideMark/>
          </w:tcPr>
          <w:p w14:paraId="04AB00CA"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Charrua</w:t>
            </w:r>
          </w:p>
        </w:tc>
        <w:tc>
          <w:tcPr>
            <w:tcW w:w="1940" w:type="dxa"/>
            <w:shd w:val="clear" w:color="auto" w:fill="auto"/>
            <w:noWrap/>
            <w:vAlign w:val="bottom"/>
            <w:hideMark/>
          </w:tcPr>
          <w:p w14:paraId="2F49F4BD"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Sur</w:t>
            </w:r>
          </w:p>
        </w:tc>
        <w:tc>
          <w:tcPr>
            <w:tcW w:w="1720" w:type="dxa"/>
            <w:shd w:val="clear" w:color="auto" w:fill="auto"/>
            <w:noWrap/>
            <w:hideMark/>
          </w:tcPr>
          <w:p w14:paraId="433EC8B5"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520</w:t>
            </w:r>
          </w:p>
        </w:tc>
      </w:tr>
      <w:tr w:rsidR="0079428C" w:rsidRPr="0060133B" w14:paraId="0D15CD3D" w14:textId="77777777" w:rsidTr="0060133B">
        <w:trPr>
          <w:trHeight w:val="290"/>
          <w:jc w:val="center"/>
        </w:trPr>
        <w:tc>
          <w:tcPr>
            <w:tcW w:w="1860" w:type="dxa"/>
            <w:shd w:val="clear" w:color="auto" w:fill="auto"/>
            <w:noWrap/>
            <w:vAlign w:val="bottom"/>
            <w:hideMark/>
          </w:tcPr>
          <w:p w14:paraId="44F9BCBF"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Total</w:t>
            </w:r>
          </w:p>
        </w:tc>
        <w:tc>
          <w:tcPr>
            <w:tcW w:w="1940" w:type="dxa"/>
            <w:shd w:val="clear" w:color="auto" w:fill="auto"/>
            <w:noWrap/>
            <w:vAlign w:val="bottom"/>
            <w:hideMark/>
          </w:tcPr>
          <w:p w14:paraId="3BCAB903" w14:textId="77777777" w:rsidR="0079428C" w:rsidRPr="0060133B" w:rsidRDefault="0079428C" w:rsidP="00C276D3">
            <w:pPr>
              <w:spacing w:after="0" w:line="240" w:lineRule="auto"/>
              <w:jc w:val="left"/>
              <w:rPr>
                <w:rFonts w:asciiTheme="minorHAnsi" w:eastAsia="Times New Roman" w:hAnsiTheme="minorHAnsi" w:cstheme="minorHAnsi"/>
                <w:sz w:val="20"/>
                <w:szCs w:val="20"/>
                <w:lang w:val="es-ES" w:eastAsia="es-AR"/>
              </w:rPr>
            </w:pPr>
            <w:r w:rsidRPr="0060133B">
              <w:rPr>
                <w:rFonts w:asciiTheme="minorHAnsi" w:eastAsia="Times New Roman" w:hAnsiTheme="minorHAnsi" w:cstheme="minorHAnsi"/>
                <w:sz w:val="20"/>
                <w:szCs w:val="20"/>
                <w:lang w:val="es-ES" w:eastAsia="es-AR"/>
              </w:rPr>
              <w:t> </w:t>
            </w:r>
          </w:p>
        </w:tc>
        <w:tc>
          <w:tcPr>
            <w:tcW w:w="1720" w:type="dxa"/>
            <w:shd w:val="clear" w:color="auto" w:fill="auto"/>
            <w:noWrap/>
            <w:hideMark/>
          </w:tcPr>
          <w:p w14:paraId="6B2888D2" w14:textId="77777777" w:rsidR="0079428C" w:rsidRPr="0060133B" w:rsidRDefault="0079428C" w:rsidP="00C276D3">
            <w:pPr>
              <w:spacing w:after="0" w:line="240" w:lineRule="auto"/>
              <w:jc w:val="center"/>
              <w:rPr>
                <w:rFonts w:asciiTheme="minorHAnsi" w:eastAsia="Times New Roman" w:hAnsiTheme="minorHAnsi" w:cstheme="minorHAnsi"/>
                <w:sz w:val="20"/>
                <w:szCs w:val="20"/>
                <w:lang w:val="es-ES" w:eastAsia="es-AR"/>
              </w:rPr>
            </w:pPr>
            <w:r w:rsidRPr="0060133B">
              <w:rPr>
                <w:rFonts w:asciiTheme="minorHAnsi" w:hAnsiTheme="minorHAnsi" w:cstheme="minorHAnsi"/>
                <w:sz w:val="20"/>
                <w:szCs w:val="20"/>
              </w:rPr>
              <w:t>6748,8</w:t>
            </w:r>
          </w:p>
        </w:tc>
      </w:tr>
    </w:tbl>
    <w:p w14:paraId="186F54D6" w14:textId="77777777" w:rsidR="0079428C" w:rsidRPr="00B06D23" w:rsidRDefault="0079428C" w:rsidP="0079428C">
      <w:pPr>
        <w:rPr>
          <w:lang w:val="es-ES"/>
        </w:rPr>
      </w:pPr>
    </w:p>
    <w:p w14:paraId="021647A6" w14:textId="77777777" w:rsidR="0079428C" w:rsidRPr="00B06D23" w:rsidRDefault="0079428C" w:rsidP="0079428C">
      <w:pPr>
        <w:rPr>
          <w:lang w:val="es-ES"/>
        </w:rPr>
      </w:pPr>
      <w:r w:rsidRPr="00B06D23">
        <w:rPr>
          <w:lang w:val="es-ES"/>
        </w:rPr>
        <w:t>Para valorizar los bienes inmuebles ya sea de edificios corporativos, regionales, y bodegas se relevaron los precios del mercado chileno en cada emplazamiento y efectuó un análisis de conveniencia económica compra vs arriendo.</w:t>
      </w:r>
    </w:p>
    <w:p w14:paraId="2BC75DBC" w14:textId="77777777" w:rsidR="0079428C" w:rsidRPr="00B06D23" w:rsidRDefault="0079428C" w:rsidP="0079428C">
      <w:pPr>
        <w:rPr>
          <w:lang w:val="es-ES"/>
        </w:rPr>
      </w:pPr>
      <w:r w:rsidRPr="00B06D23">
        <w:rPr>
          <w:lang w:val="es-ES"/>
        </w:rPr>
        <w:t>El análisis consistió en comparar el precio de compra anualizado versus el costo de arriendo y cuyos resultados se muestran en la siguiente tabla:</w:t>
      </w:r>
    </w:p>
    <w:tbl>
      <w:tblPr>
        <w:tblW w:w="4912" w:type="dxa"/>
        <w:jc w:val="center"/>
        <w:tblCellMar>
          <w:left w:w="70" w:type="dxa"/>
          <w:right w:w="70" w:type="dxa"/>
        </w:tblCellMar>
        <w:tblLook w:val="04A0" w:firstRow="1" w:lastRow="0" w:firstColumn="1" w:lastColumn="0" w:noHBand="0" w:noVBand="1"/>
      </w:tblPr>
      <w:tblGrid>
        <w:gridCol w:w="2120"/>
        <w:gridCol w:w="1415"/>
        <w:gridCol w:w="1377"/>
      </w:tblGrid>
      <w:tr w:rsidR="0079428C" w:rsidRPr="0060133B" w14:paraId="73E05D52" w14:textId="77777777" w:rsidTr="0060133B">
        <w:trPr>
          <w:trHeight w:val="290"/>
          <w:jc w:val="center"/>
        </w:trPr>
        <w:tc>
          <w:tcPr>
            <w:tcW w:w="2120" w:type="dxa"/>
            <w:tcBorders>
              <w:top w:val="nil"/>
              <w:left w:val="nil"/>
              <w:bottom w:val="nil"/>
              <w:right w:val="nil"/>
            </w:tcBorders>
            <w:shd w:val="clear" w:color="auto" w:fill="auto"/>
            <w:noWrap/>
            <w:vAlign w:val="bottom"/>
            <w:hideMark/>
          </w:tcPr>
          <w:p w14:paraId="1A63B225" w14:textId="77777777" w:rsidR="0079428C" w:rsidRPr="0060133B" w:rsidRDefault="0079428C" w:rsidP="00C276D3">
            <w:pPr>
              <w:spacing w:after="0" w:line="240" w:lineRule="auto"/>
              <w:jc w:val="left"/>
              <w:rPr>
                <w:rFonts w:eastAsia="Times New Roman" w:cs="Calibri"/>
                <w:color w:val="000000"/>
                <w:sz w:val="20"/>
                <w:szCs w:val="20"/>
                <w:lang w:val="es-ES" w:eastAsia="es-AR"/>
              </w:rPr>
            </w:pP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B5EC6F" w14:textId="77777777" w:rsidR="0079428C" w:rsidRPr="0060133B" w:rsidRDefault="0079428C" w:rsidP="00C276D3">
            <w:pPr>
              <w:spacing w:after="0" w:line="240" w:lineRule="auto"/>
              <w:jc w:val="center"/>
              <w:rPr>
                <w:rFonts w:eastAsia="Times New Roman" w:cs="Calibri"/>
                <w:b/>
                <w:bCs/>
                <w:color w:val="000000"/>
                <w:sz w:val="20"/>
                <w:szCs w:val="20"/>
                <w:lang w:val="es-ES" w:eastAsia="es-AR"/>
              </w:rPr>
            </w:pPr>
            <w:r w:rsidRPr="0060133B">
              <w:rPr>
                <w:rFonts w:eastAsia="Times New Roman" w:cs="Calibri"/>
                <w:b/>
                <w:bCs/>
                <w:color w:val="000000"/>
                <w:sz w:val="20"/>
                <w:szCs w:val="20"/>
                <w:lang w:val="es-ES" w:eastAsia="es-AR"/>
              </w:rPr>
              <w:t>C/A Bodegas</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14:paraId="473C6AF7" w14:textId="77777777" w:rsidR="0079428C" w:rsidRPr="0060133B" w:rsidRDefault="0079428C" w:rsidP="00C276D3">
            <w:pPr>
              <w:spacing w:after="0" w:line="240" w:lineRule="auto"/>
              <w:jc w:val="center"/>
              <w:rPr>
                <w:rFonts w:eastAsia="Times New Roman" w:cs="Calibri"/>
                <w:b/>
                <w:bCs/>
                <w:color w:val="000000"/>
                <w:sz w:val="20"/>
                <w:szCs w:val="20"/>
                <w:lang w:val="es-ES" w:eastAsia="es-AR"/>
              </w:rPr>
            </w:pPr>
            <w:r w:rsidRPr="0060133B">
              <w:rPr>
                <w:rFonts w:eastAsia="Times New Roman" w:cs="Calibri"/>
                <w:b/>
                <w:bCs/>
                <w:color w:val="000000"/>
                <w:sz w:val="20"/>
                <w:szCs w:val="20"/>
                <w:lang w:val="es-ES" w:eastAsia="es-AR"/>
              </w:rPr>
              <w:t>C/A Oficinas</w:t>
            </w:r>
          </w:p>
        </w:tc>
      </w:tr>
      <w:tr w:rsidR="0079428C" w:rsidRPr="0060133B" w14:paraId="255CE154" w14:textId="77777777" w:rsidTr="0060133B">
        <w:trPr>
          <w:trHeight w:val="290"/>
          <w:jc w:val="center"/>
        </w:trPr>
        <w:tc>
          <w:tcPr>
            <w:tcW w:w="2120" w:type="dxa"/>
            <w:tcBorders>
              <w:top w:val="single" w:sz="4" w:space="0" w:color="auto"/>
              <w:left w:val="single" w:sz="4" w:space="0" w:color="auto"/>
              <w:bottom w:val="single" w:sz="4" w:space="0" w:color="auto"/>
              <w:right w:val="nil"/>
            </w:tcBorders>
            <w:shd w:val="clear" w:color="auto" w:fill="auto"/>
            <w:noWrap/>
            <w:vAlign w:val="bottom"/>
            <w:hideMark/>
          </w:tcPr>
          <w:p w14:paraId="0168F998" w14:textId="77777777" w:rsidR="0079428C" w:rsidRPr="0060133B" w:rsidRDefault="0079428C" w:rsidP="00C276D3">
            <w:pPr>
              <w:spacing w:after="0" w:line="240" w:lineRule="auto"/>
              <w:jc w:val="left"/>
              <w:rPr>
                <w:rFonts w:eastAsia="Times New Roman" w:cs="Calibri"/>
                <w:color w:val="000000"/>
                <w:sz w:val="20"/>
                <w:szCs w:val="20"/>
                <w:lang w:val="es-ES" w:eastAsia="es-AR"/>
              </w:rPr>
            </w:pPr>
            <w:r w:rsidRPr="0060133B">
              <w:rPr>
                <w:rFonts w:eastAsia="Times New Roman" w:cs="Calibri"/>
                <w:color w:val="000000"/>
                <w:sz w:val="20"/>
                <w:szCs w:val="20"/>
                <w:lang w:val="es-ES" w:eastAsia="es-AR"/>
              </w:rPr>
              <w:t>Santiago</w:t>
            </w:r>
          </w:p>
        </w:tc>
        <w:tc>
          <w:tcPr>
            <w:tcW w:w="1415" w:type="dxa"/>
            <w:tcBorders>
              <w:top w:val="nil"/>
              <w:left w:val="single" w:sz="4" w:space="0" w:color="auto"/>
              <w:bottom w:val="single" w:sz="4" w:space="0" w:color="auto"/>
              <w:right w:val="single" w:sz="4" w:space="0" w:color="auto"/>
            </w:tcBorders>
            <w:shd w:val="clear" w:color="auto" w:fill="auto"/>
            <w:noWrap/>
            <w:vAlign w:val="bottom"/>
            <w:hideMark/>
          </w:tcPr>
          <w:p w14:paraId="333BF7CA"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0,880</w:t>
            </w:r>
          </w:p>
        </w:tc>
        <w:tc>
          <w:tcPr>
            <w:tcW w:w="1377" w:type="dxa"/>
            <w:tcBorders>
              <w:top w:val="nil"/>
              <w:left w:val="nil"/>
              <w:bottom w:val="single" w:sz="4" w:space="0" w:color="auto"/>
              <w:right w:val="single" w:sz="4" w:space="0" w:color="auto"/>
            </w:tcBorders>
            <w:shd w:val="clear" w:color="auto" w:fill="auto"/>
            <w:noWrap/>
            <w:vAlign w:val="bottom"/>
            <w:hideMark/>
          </w:tcPr>
          <w:p w14:paraId="1E9DC35F"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0,530</w:t>
            </w:r>
          </w:p>
        </w:tc>
      </w:tr>
      <w:tr w:rsidR="0079428C" w:rsidRPr="0060133B" w14:paraId="251E9455" w14:textId="77777777" w:rsidTr="0060133B">
        <w:trPr>
          <w:trHeight w:val="290"/>
          <w:jc w:val="center"/>
        </w:trPr>
        <w:tc>
          <w:tcPr>
            <w:tcW w:w="2120" w:type="dxa"/>
            <w:tcBorders>
              <w:top w:val="nil"/>
              <w:left w:val="single" w:sz="4" w:space="0" w:color="auto"/>
              <w:bottom w:val="single" w:sz="4" w:space="0" w:color="auto"/>
              <w:right w:val="nil"/>
            </w:tcBorders>
            <w:shd w:val="clear" w:color="auto" w:fill="auto"/>
            <w:noWrap/>
            <w:vAlign w:val="bottom"/>
            <w:hideMark/>
          </w:tcPr>
          <w:p w14:paraId="773D0C1F" w14:textId="77777777" w:rsidR="0079428C" w:rsidRPr="0060133B" w:rsidRDefault="0079428C" w:rsidP="00C276D3">
            <w:pPr>
              <w:spacing w:after="0" w:line="240" w:lineRule="auto"/>
              <w:jc w:val="left"/>
              <w:rPr>
                <w:rFonts w:eastAsia="Times New Roman" w:cs="Calibri"/>
                <w:color w:val="000000"/>
                <w:sz w:val="20"/>
                <w:szCs w:val="20"/>
                <w:lang w:val="es-ES" w:eastAsia="es-AR"/>
              </w:rPr>
            </w:pPr>
            <w:r w:rsidRPr="0060133B">
              <w:rPr>
                <w:rFonts w:eastAsia="Times New Roman" w:cs="Calibri"/>
                <w:color w:val="000000"/>
                <w:sz w:val="20"/>
                <w:szCs w:val="20"/>
                <w:lang w:val="es-ES" w:eastAsia="es-AR"/>
              </w:rPr>
              <w:t>Antofagasta</w:t>
            </w:r>
          </w:p>
        </w:tc>
        <w:tc>
          <w:tcPr>
            <w:tcW w:w="1415" w:type="dxa"/>
            <w:tcBorders>
              <w:top w:val="nil"/>
              <w:left w:val="single" w:sz="4" w:space="0" w:color="auto"/>
              <w:bottom w:val="single" w:sz="4" w:space="0" w:color="auto"/>
              <w:right w:val="single" w:sz="4" w:space="0" w:color="auto"/>
            </w:tcBorders>
            <w:shd w:val="clear" w:color="auto" w:fill="auto"/>
            <w:noWrap/>
            <w:vAlign w:val="bottom"/>
            <w:hideMark/>
          </w:tcPr>
          <w:p w14:paraId="7C06F715"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1,030</w:t>
            </w:r>
          </w:p>
        </w:tc>
        <w:tc>
          <w:tcPr>
            <w:tcW w:w="1377" w:type="dxa"/>
            <w:tcBorders>
              <w:top w:val="nil"/>
              <w:left w:val="nil"/>
              <w:bottom w:val="single" w:sz="4" w:space="0" w:color="auto"/>
              <w:right w:val="single" w:sz="4" w:space="0" w:color="auto"/>
            </w:tcBorders>
            <w:shd w:val="clear" w:color="auto" w:fill="auto"/>
            <w:noWrap/>
            <w:vAlign w:val="bottom"/>
            <w:hideMark/>
          </w:tcPr>
          <w:p w14:paraId="3241E5ED"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0,549</w:t>
            </w:r>
          </w:p>
        </w:tc>
      </w:tr>
      <w:tr w:rsidR="0079428C" w:rsidRPr="0060133B" w14:paraId="6D062333" w14:textId="77777777" w:rsidTr="0060133B">
        <w:trPr>
          <w:trHeight w:val="290"/>
          <w:jc w:val="center"/>
        </w:trPr>
        <w:tc>
          <w:tcPr>
            <w:tcW w:w="2120" w:type="dxa"/>
            <w:tcBorders>
              <w:top w:val="nil"/>
              <w:left w:val="single" w:sz="4" w:space="0" w:color="auto"/>
              <w:bottom w:val="single" w:sz="4" w:space="0" w:color="auto"/>
              <w:right w:val="nil"/>
            </w:tcBorders>
            <w:shd w:val="clear" w:color="auto" w:fill="auto"/>
            <w:noWrap/>
            <w:vAlign w:val="bottom"/>
            <w:hideMark/>
          </w:tcPr>
          <w:p w14:paraId="212D558D" w14:textId="77777777" w:rsidR="0079428C" w:rsidRPr="0060133B" w:rsidRDefault="0079428C" w:rsidP="00C276D3">
            <w:pPr>
              <w:spacing w:after="0" w:line="240" w:lineRule="auto"/>
              <w:jc w:val="left"/>
              <w:rPr>
                <w:rFonts w:eastAsia="Times New Roman" w:cs="Calibri"/>
                <w:color w:val="000000"/>
                <w:sz w:val="20"/>
                <w:szCs w:val="20"/>
                <w:lang w:val="es-ES" w:eastAsia="es-AR"/>
              </w:rPr>
            </w:pPr>
            <w:r w:rsidRPr="0060133B">
              <w:rPr>
                <w:rFonts w:eastAsia="Times New Roman" w:cs="Calibri"/>
                <w:color w:val="000000"/>
                <w:sz w:val="20"/>
                <w:szCs w:val="20"/>
                <w:lang w:val="es-ES" w:eastAsia="es-AR"/>
              </w:rPr>
              <w:t>Coquimbo</w:t>
            </w:r>
          </w:p>
        </w:tc>
        <w:tc>
          <w:tcPr>
            <w:tcW w:w="1415" w:type="dxa"/>
            <w:tcBorders>
              <w:top w:val="nil"/>
              <w:left w:val="single" w:sz="4" w:space="0" w:color="auto"/>
              <w:bottom w:val="single" w:sz="4" w:space="0" w:color="auto"/>
              <w:right w:val="single" w:sz="4" w:space="0" w:color="auto"/>
            </w:tcBorders>
            <w:shd w:val="clear" w:color="auto" w:fill="auto"/>
            <w:noWrap/>
            <w:vAlign w:val="bottom"/>
            <w:hideMark/>
          </w:tcPr>
          <w:p w14:paraId="6337BF70"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1,393</w:t>
            </w:r>
          </w:p>
        </w:tc>
        <w:tc>
          <w:tcPr>
            <w:tcW w:w="1377" w:type="dxa"/>
            <w:tcBorders>
              <w:top w:val="nil"/>
              <w:left w:val="nil"/>
              <w:bottom w:val="single" w:sz="4" w:space="0" w:color="auto"/>
              <w:right w:val="single" w:sz="4" w:space="0" w:color="auto"/>
            </w:tcBorders>
            <w:shd w:val="clear" w:color="auto" w:fill="auto"/>
            <w:noWrap/>
            <w:vAlign w:val="bottom"/>
            <w:hideMark/>
          </w:tcPr>
          <w:p w14:paraId="6CB814E2"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0,642</w:t>
            </w:r>
          </w:p>
        </w:tc>
      </w:tr>
      <w:tr w:rsidR="0079428C" w:rsidRPr="0060133B" w14:paraId="1C0084E7" w14:textId="77777777" w:rsidTr="0060133B">
        <w:trPr>
          <w:trHeight w:val="290"/>
          <w:jc w:val="center"/>
        </w:trPr>
        <w:tc>
          <w:tcPr>
            <w:tcW w:w="2120" w:type="dxa"/>
            <w:tcBorders>
              <w:top w:val="nil"/>
              <w:left w:val="single" w:sz="4" w:space="0" w:color="auto"/>
              <w:bottom w:val="single" w:sz="4" w:space="0" w:color="auto"/>
              <w:right w:val="nil"/>
            </w:tcBorders>
            <w:shd w:val="clear" w:color="auto" w:fill="auto"/>
            <w:noWrap/>
            <w:vAlign w:val="bottom"/>
            <w:hideMark/>
          </w:tcPr>
          <w:p w14:paraId="1F815A88" w14:textId="77777777" w:rsidR="0079428C" w:rsidRPr="0060133B" w:rsidRDefault="0079428C" w:rsidP="00C276D3">
            <w:pPr>
              <w:spacing w:after="0" w:line="240" w:lineRule="auto"/>
              <w:jc w:val="left"/>
              <w:rPr>
                <w:rFonts w:eastAsia="Times New Roman" w:cs="Calibri"/>
                <w:color w:val="000000"/>
                <w:sz w:val="20"/>
                <w:szCs w:val="20"/>
                <w:lang w:val="es-ES" w:eastAsia="es-AR"/>
              </w:rPr>
            </w:pPr>
            <w:r w:rsidRPr="0060133B">
              <w:rPr>
                <w:rFonts w:eastAsia="Times New Roman" w:cs="Calibri"/>
                <w:color w:val="000000"/>
                <w:sz w:val="20"/>
                <w:szCs w:val="20"/>
                <w:lang w:val="es-ES" w:eastAsia="es-AR"/>
              </w:rPr>
              <w:t>Itahue</w:t>
            </w:r>
          </w:p>
        </w:tc>
        <w:tc>
          <w:tcPr>
            <w:tcW w:w="1415" w:type="dxa"/>
            <w:tcBorders>
              <w:top w:val="nil"/>
              <w:left w:val="single" w:sz="4" w:space="0" w:color="auto"/>
              <w:bottom w:val="single" w:sz="4" w:space="0" w:color="auto"/>
              <w:right w:val="single" w:sz="4" w:space="0" w:color="auto"/>
            </w:tcBorders>
            <w:shd w:val="clear" w:color="auto" w:fill="auto"/>
            <w:noWrap/>
            <w:vAlign w:val="bottom"/>
            <w:hideMark/>
          </w:tcPr>
          <w:p w14:paraId="407AE8C0"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0,751</w:t>
            </w:r>
          </w:p>
        </w:tc>
        <w:tc>
          <w:tcPr>
            <w:tcW w:w="1377" w:type="dxa"/>
            <w:tcBorders>
              <w:top w:val="nil"/>
              <w:left w:val="nil"/>
              <w:bottom w:val="single" w:sz="4" w:space="0" w:color="auto"/>
              <w:right w:val="single" w:sz="4" w:space="0" w:color="auto"/>
            </w:tcBorders>
            <w:shd w:val="clear" w:color="auto" w:fill="auto"/>
            <w:noWrap/>
            <w:vAlign w:val="bottom"/>
            <w:hideMark/>
          </w:tcPr>
          <w:p w14:paraId="463FE351"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1,006</w:t>
            </w:r>
          </w:p>
        </w:tc>
      </w:tr>
      <w:tr w:rsidR="0079428C" w:rsidRPr="0060133B" w14:paraId="75755A21" w14:textId="77777777" w:rsidTr="0060133B">
        <w:trPr>
          <w:trHeight w:val="290"/>
          <w:jc w:val="center"/>
        </w:trPr>
        <w:tc>
          <w:tcPr>
            <w:tcW w:w="2120" w:type="dxa"/>
            <w:tcBorders>
              <w:top w:val="nil"/>
              <w:left w:val="single" w:sz="4" w:space="0" w:color="auto"/>
              <w:bottom w:val="single" w:sz="4" w:space="0" w:color="auto"/>
              <w:right w:val="nil"/>
            </w:tcBorders>
            <w:shd w:val="clear" w:color="auto" w:fill="auto"/>
            <w:noWrap/>
            <w:vAlign w:val="bottom"/>
            <w:hideMark/>
          </w:tcPr>
          <w:p w14:paraId="5AF749AA" w14:textId="77777777" w:rsidR="0079428C" w:rsidRPr="0060133B" w:rsidRDefault="0079428C" w:rsidP="00C276D3">
            <w:pPr>
              <w:spacing w:after="0" w:line="240" w:lineRule="auto"/>
              <w:jc w:val="left"/>
              <w:rPr>
                <w:rFonts w:eastAsia="Times New Roman" w:cs="Calibri"/>
                <w:color w:val="000000"/>
                <w:sz w:val="20"/>
                <w:szCs w:val="20"/>
                <w:lang w:val="es-ES" w:eastAsia="es-AR"/>
              </w:rPr>
            </w:pPr>
            <w:r w:rsidRPr="0060133B">
              <w:rPr>
                <w:rFonts w:eastAsia="Times New Roman" w:cs="Calibri"/>
                <w:color w:val="000000"/>
                <w:sz w:val="20"/>
                <w:szCs w:val="20"/>
                <w:lang w:val="es-ES" w:eastAsia="es-AR"/>
              </w:rPr>
              <w:t>Concepción</w:t>
            </w:r>
          </w:p>
        </w:tc>
        <w:tc>
          <w:tcPr>
            <w:tcW w:w="1415" w:type="dxa"/>
            <w:tcBorders>
              <w:top w:val="nil"/>
              <w:left w:val="single" w:sz="4" w:space="0" w:color="auto"/>
              <w:bottom w:val="single" w:sz="4" w:space="0" w:color="auto"/>
              <w:right w:val="single" w:sz="4" w:space="0" w:color="auto"/>
            </w:tcBorders>
            <w:shd w:val="clear" w:color="auto" w:fill="auto"/>
            <w:noWrap/>
            <w:vAlign w:val="bottom"/>
            <w:hideMark/>
          </w:tcPr>
          <w:p w14:paraId="5BD1DDFE"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0,792</w:t>
            </w:r>
          </w:p>
        </w:tc>
        <w:tc>
          <w:tcPr>
            <w:tcW w:w="1377" w:type="dxa"/>
            <w:tcBorders>
              <w:top w:val="nil"/>
              <w:left w:val="nil"/>
              <w:bottom w:val="single" w:sz="4" w:space="0" w:color="auto"/>
              <w:right w:val="single" w:sz="4" w:space="0" w:color="auto"/>
            </w:tcBorders>
            <w:shd w:val="clear" w:color="auto" w:fill="auto"/>
            <w:noWrap/>
            <w:vAlign w:val="bottom"/>
            <w:hideMark/>
          </w:tcPr>
          <w:p w14:paraId="1D3E2DF2"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0,941</w:t>
            </w:r>
          </w:p>
        </w:tc>
      </w:tr>
      <w:tr w:rsidR="0079428C" w:rsidRPr="0060133B" w14:paraId="34A08A4F" w14:textId="77777777" w:rsidTr="0060133B">
        <w:trPr>
          <w:trHeight w:val="290"/>
          <w:jc w:val="center"/>
        </w:trPr>
        <w:tc>
          <w:tcPr>
            <w:tcW w:w="2120" w:type="dxa"/>
            <w:tcBorders>
              <w:top w:val="nil"/>
              <w:left w:val="single" w:sz="4" w:space="0" w:color="auto"/>
              <w:bottom w:val="single" w:sz="4" w:space="0" w:color="auto"/>
              <w:right w:val="nil"/>
            </w:tcBorders>
            <w:shd w:val="clear" w:color="auto" w:fill="auto"/>
            <w:noWrap/>
            <w:vAlign w:val="bottom"/>
            <w:hideMark/>
          </w:tcPr>
          <w:p w14:paraId="320F8D30" w14:textId="77777777" w:rsidR="0079428C" w:rsidRPr="0060133B" w:rsidRDefault="0079428C" w:rsidP="00C276D3">
            <w:pPr>
              <w:spacing w:after="0" w:line="240" w:lineRule="auto"/>
              <w:jc w:val="left"/>
              <w:rPr>
                <w:rFonts w:eastAsia="Times New Roman" w:cs="Calibri"/>
                <w:color w:val="000000"/>
                <w:sz w:val="20"/>
                <w:szCs w:val="20"/>
                <w:lang w:val="es-ES" w:eastAsia="es-AR"/>
              </w:rPr>
            </w:pPr>
            <w:r w:rsidRPr="0060133B">
              <w:rPr>
                <w:rFonts w:eastAsia="Times New Roman" w:cs="Calibri"/>
                <w:color w:val="000000"/>
                <w:sz w:val="20"/>
                <w:szCs w:val="20"/>
                <w:lang w:val="es-ES" w:eastAsia="es-AR"/>
              </w:rPr>
              <w:t>Temuco</w:t>
            </w:r>
          </w:p>
        </w:tc>
        <w:tc>
          <w:tcPr>
            <w:tcW w:w="1415" w:type="dxa"/>
            <w:tcBorders>
              <w:top w:val="nil"/>
              <w:left w:val="single" w:sz="4" w:space="0" w:color="auto"/>
              <w:bottom w:val="single" w:sz="4" w:space="0" w:color="auto"/>
              <w:right w:val="single" w:sz="4" w:space="0" w:color="auto"/>
            </w:tcBorders>
            <w:shd w:val="clear" w:color="auto" w:fill="auto"/>
            <w:noWrap/>
            <w:vAlign w:val="bottom"/>
            <w:hideMark/>
          </w:tcPr>
          <w:p w14:paraId="19A8452E"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1,041</w:t>
            </w:r>
          </w:p>
        </w:tc>
        <w:tc>
          <w:tcPr>
            <w:tcW w:w="1377" w:type="dxa"/>
            <w:tcBorders>
              <w:top w:val="nil"/>
              <w:left w:val="nil"/>
              <w:bottom w:val="single" w:sz="4" w:space="0" w:color="auto"/>
              <w:right w:val="single" w:sz="4" w:space="0" w:color="auto"/>
            </w:tcBorders>
            <w:shd w:val="clear" w:color="auto" w:fill="auto"/>
            <w:noWrap/>
            <w:vAlign w:val="bottom"/>
            <w:hideMark/>
          </w:tcPr>
          <w:p w14:paraId="6772A7E9" w14:textId="77777777" w:rsidR="0079428C" w:rsidRPr="0060133B" w:rsidRDefault="0079428C" w:rsidP="00C276D3">
            <w:pPr>
              <w:spacing w:after="0" w:line="240" w:lineRule="auto"/>
              <w:jc w:val="right"/>
              <w:rPr>
                <w:rFonts w:eastAsia="Times New Roman" w:cs="Calibri"/>
                <w:color w:val="000000"/>
                <w:sz w:val="20"/>
                <w:szCs w:val="20"/>
                <w:lang w:val="es-ES" w:eastAsia="es-AR"/>
              </w:rPr>
            </w:pPr>
            <w:r w:rsidRPr="0060133B">
              <w:rPr>
                <w:rFonts w:eastAsia="Times New Roman" w:cs="Calibri"/>
                <w:color w:val="000000"/>
                <w:sz w:val="20"/>
                <w:szCs w:val="20"/>
                <w:lang w:val="es-ES" w:eastAsia="es-AR"/>
              </w:rPr>
              <w:t>0,905</w:t>
            </w:r>
          </w:p>
        </w:tc>
      </w:tr>
    </w:tbl>
    <w:p w14:paraId="0454719E" w14:textId="28104EEF" w:rsidR="0079428C" w:rsidRPr="0060133B" w:rsidRDefault="0079428C" w:rsidP="0060133B">
      <w:pPr>
        <w:ind w:left="2127" w:firstLine="709"/>
        <w:rPr>
          <w:sz w:val="20"/>
          <w:szCs w:val="20"/>
          <w:lang w:val="es-ES"/>
        </w:rPr>
      </w:pPr>
      <w:r w:rsidRPr="0060133B">
        <w:rPr>
          <w:sz w:val="20"/>
          <w:szCs w:val="20"/>
          <w:lang w:val="es-ES"/>
        </w:rPr>
        <w:t>C: compra</w:t>
      </w:r>
      <w:r w:rsidR="0060133B" w:rsidRPr="0060133B">
        <w:rPr>
          <w:sz w:val="20"/>
          <w:szCs w:val="20"/>
          <w:lang w:val="es-ES"/>
        </w:rPr>
        <w:t xml:space="preserve">; </w:t>
      </w:r>
      <w:r w:rsidRPr="0060133B">
        <w:rPr>
          <w:sz w:val="20"/>
          <w:szCs w:val="20"/>
          <w:lang w:val="es-ES"/>
        </w:rPr>
        <w:t>A: Alquiler</w:t>
      </w:r>
    </w:p>
    <w:p w14:paraId="36976509" w14:textId="77777777" w:rsidR="0079428C" w:rsidRPr="00B06D23" w:rsidRDefault="0079428C" w:rsidP="0079428C">
      <w:pPr>
        <w:rPr>
          <w:lang w:val="es-ES"/>
        </w:rPr>
      </w:pPr>
      <w:r w:rsidRPr="00B06D23">
        <w:rPr>
          <w:lang w:val="es-ES"/>
        </w:rPr>
        <w:t>En el análisis cuantitativo se observa en general la conveniencia de compra vs arriendo, salvo el caso de Coquimbo. No obstante existen otras razones no cuantificables en la selección de la alternativa de compra, como la disponibilidad del edificio/bodega cuando es requerido, la posibilidad de almacenar sustancias peligrosas, etc.</w:t>
      </w:r>
    </w:p>
    <w:p w14:paraId="690BCB4E" w14:textId="77777777" w:rsidR="0079428C" w:rsidRPr="00B06D23" w:rsidRDefault="0079428C" w:rsidP="0079428C">
      <w:pPr>
        <w:rPr>
          <w:lang w:val="es-ES"/>
        </w:rPr>
      </w:pPr>
      <w:r w:rsidRPr="00B06D23">
        <w:rPr>
          <w:lang w:val="es-ES"/>
        </w:rPr>
        <w:t>En el Anexo COMA_3 Modelo/Datos/ Costo Compra y Arriendo Oficinas y Bodegas, se encuentra el detalle de los cálculos realizados.</w:t>
      </w:r>
    </w:p>
    <w:p w14:paraId="048362A8" w14:textId="77777777" w:rsidR="0079428C" w:rsidRPr="00FD055F" w:rsidRDefault="0079428C" w:rsidP="0079428C">
      <w:pPr>
        <w:pStyle w:val="Ttulo4"/>
      </w:pPr>
      <w:bookmarkStart w:id="211" w:name="_Toc32390200"/>
      <w:bookmarkStart w:id="212" w:name="_Toc34398147"/>
      <w:bookmarkStart w:id="213" w:name="_Toc34687241"/>
      <w:r w:rsidRPr="00FD055F">
        <w:t>Equipamiento de operación y mantenimiento no fungible</w:t>
      </w:r>
      <w:bookmarkEnd w:id="211"/>
      <w:bookmarkEnd w:id="212"/>
      <w:bookmarkEnd w:id="213"/>
    </w:p>
    <w:p w14:paraId="3F6C690D" w14:textId="77777777" w:rsidR="0079428C" w:rsidRPr="00B06D23" w:rsidRDefault="0079428C" w:rsidP="0079428C">
      <w:pPr>
        <w:rPr>
          <w:lang w:val="es-ES"/>
        </w:rPr>
      </w:pPr>
      <w:r w:rsidRPr="00B06D23">
        <w:rPr>
          <w:lang w:val="es-ES"/>
        </w:rPr>
        <w:t>Este ítem incluye los equipos especializados de OyM que utiliza el personal tercerizado y el personal de plantilla de la empresa que realiza tareas operativas.</w:t>
      </w:r>
    </w:p>
    <w:p w14:paraId="3D06DD08" w14:textId="77777777" w:rsidR="0079428C" w:rsidRPr="00B06D23" w:rsidRDefault="0079428C" w:rsidP="0079428C">
      <w:pPr>
        <w:rPr>
          <w:lang w:val="es-ES"/>
        </w:rPr>
      </w:pPr>
      <w:r w:rsidRPr="00B06D23">
        <w:rPr>
          <w:lang w:val="es-ES"/>
        </w:rPr>
        <w:t>El equipamiento de operación y mantenimiento no fungible se agrupa en KITs por tipo de cuadrilla en función de las tareas que realiza cada tipo de cuadrilla.</w:t>
      </w:r>
    </w:p>
    <w:p w14:paraId="4B5A566B" w14:textId="77777777" w:rsidR="0079428C" w:rsidRPr="00B06D23" w:rsidRDefault="0079428C" w:rsidP="0079428C">
      <w:pPr>
        <w:rPr>
          <w:lang w:val="es-ES"/>
        </w:rPr>
      </w:pPr>
      <w:r w:rsidRPr="00B06D23">
        <w:rPr>
          <w:lang w:val="es-ES"/>
        </w:rPr>
        <w:t>Los KITH comprenden las herramientas, equipos e instrumentos para efectuar reparaciones, controles y/o mediciones con fines de diagnóstico en las diferentes instalaciones del sistema y que son de uso común por las cuadrillas que lo requieren para sus tareas de OyM.</w:t>
      </w:r>
    </w:p>
    <w:p w14:paraId="63B230E5" w14:textId="77777777" w:rsidR="0079428C" w:rsidRPr="00B06D23" w:rsidRDefault="0079428C" w:rsidP="0079428C">
      <w:pPr>
        <w:rPr>
          <w:lang w:val="es-ES"/>
        </w:rPr>
      </w:pPr>
      <w:r w:rsidRPr="00B06D23">
        <w:rPr>
          <w:lang w:val="es-ES"/>
        </w:rPr>
        <w:t>Los KITS comprenden los elementos de seguridad personal que son requeridos por cada integrante de la cuadrilla.</w:t>
      </w:r>
    </w:p>
    <w:p w14:paraId="460A9BDB" w14:textId="77777777" w:rsidR="0079428C" w:rsidRPr="00B06D23" w:rsidRDefault="0079428C" w:rsidP="0079428C">
      <w:pPr>
        <w:rPr>
          <w:lang w:val="es-ES"/>
        </w:rPr>
      </w:pPr>
      <w:r w:rsidRPr="00B06D23">
        <w:rPr>
          <w:lang w:val="es-ES"/>
        </w:rPr>
        <w:t>En el Anexo COMA_3 Modelo/Datos/ Herramientas cuadrillas, se encuentran detallados los elementos que comprenden los KITH y los KITS para cada cuadrillay para cada operario integrante de la cuadrilla, con sus costos unitarios.</w:t>
      </w:r>
    </w:p>
    <w:p w14:paraId="2009F228" w14:textId="77777777" w:rsidR="0079428C" w:rsidRPr="00B06D23" w:rsidRDefault="0079428C" w:rsidP="0079428C">
      <w:pPr>
        <w:rPr>
          <w:lang w:val="es-ES"/>
        </w:rPr>
      </w:pPr>
      <w:r w:rsidRPr="00B06D23">
        <w:rPr>
          <w:lang w:val="es-ES"/>
        </w:rPr>
        <w:t>El KITH de la cuadrilla CREL integrada por personal propio que realiza mantenimiento de protecciones, comunicaciones y control se encuentra integrado al V.I del C.O.M.A. El detalle del equipamiento de esta cuadrilla se encuentra en Anexo COMA _3/Datos/ Equipos Mantenimiento Protecciones-Telec-Control. En dicho archivo se encuentran las especificaciones del equipamiento y los costos unitarios referenciales.</w:t>
      </w:r>
    </w:p>
    <w:p w14:paraId="389BBAF4" w14:textId="77777777" w:rsidR="0079428C" w:rsidRPr="00B06D23" w:rsidRDefault="0079428C" w:rsidP="0079428C">
      <w:pPr>
        <w:rPr>
          <w:lang w:val="es-ES"/>
        </w:rPr>
      </w:pPr>
      <w:r w:rsidRPr="00B06D23">
        <w:rPr>
          <w:lang w:val="es-ES"/>
        </w:rPr>
        <w:t>Para las cuadrillas que se consideran tercerizadas, el equipamiento de operación y mantenimiento no fungible se anualiza y se integra como parte del costo de la cuadrilla.</w:t>
      </w:r>
    </w:p>
    <w:p w14:paraId="495FF4FD" w14:textId="77777777" w:rsidR="0079428C" w:rsidRPr="00FD055F" w:rsidRDefault="0079428C" w:rsidP="0079428C">
      <w:pPr>
        <w:pStyle w:val="Ttulo4"/>
      </w:pPr>
      <w:bookmarkStart w:id="214" w:name="_Toc32390201"/>
      <w:bookmarkStart w:id="215" w:name="_Toc34398148"/>
      <w:bookmarkStart w:id="216" w:name="_Toc34687242"/>
      <w:r w:rsidRPr="00FD055F">
        <w:t>Equipamiento de oficina no fungible</w:t>
      </w:r>
      <w:bookmarkEnd w:id="214"/>
      <w:bookmarkEnd w:id="215"/>
      <w:bookmarkEnd w:id="216"/>
    </w:p>
    <w:p w14:paraId="0146594B" w14:textId="77777777" w:rsidR="0079428C" w:rsidRPr="00B06D23" w:rsidRDefault="0079428C" w:rsidP="0079428C">
      <w:pPr>
        <w:rPr>
          <w:lang w:val="es-ES"/>
        </w:rPr>
      </w:pPr>
      <w:r w:rsidRPr="00B06D23">
        <w:rPr>
          <w:lang w:val="es-ES"/>
        </w:rPr>
        <w:t>Este ítem incluye la infraestructura de las oficinas requeridas por el personal propio para la prestación eficiente del servicio y comprende el mobiliario de cada empleado y el mobiliario de áreas comunes de cadad gerencia, o departamento.</w:t>
      </w:r>
    </w:p>
    <w:p w14:paraId="02DC3B63" w14:textId="77777777" w:rsidR="0079428C" w:rsidRPr="00B06D23" w:rsidRDefault="0079428C" w:rsidP="0079428C">
      <w:pPr>
        <w:rPr>
          <w:lang w:val="es-ES"/>
        </w:rPr>
      </w:pPr>
      <w:r w:rsidRPr="00B06D23">
        <w:rPr>
          <w:lang w:val="es-ES"/>
        </w:rPr>
        <w:t xml:space="preserve">Mobiliario de cada empleado: se refiere a la cantidad de escritorios, sillas, sillones,  etc., y demás infraestructura para que el personal desarrolle sus tareas de oficina. </w:t>
      </w:r>
    </w:p>
    <w:p w14:paraId="55DEEDBA" w14:textId="77777777" w:rsidR="0079428C" w:rsidRPr="00B06D23" w:rsidRDefault="0079428C" w:rsidP="0079428C">
      <w:pPr>
        <w:rPr>
          <w:lang w:val="es-ES"/>
        </w:rPr>
      </w:pPr>
      <w:r w:rsidRPr="00B06D23">
        <w:rPr>
          <w:lang w:val="es-ES"/>
        </w:rPr>
        <w:t>Mobiliario del área: se refiere a la cantidad de elementos comunes de cada área como proyectores, mesa de reuniones, refrigerador, etc.</w:t>
      </w:r>
    </w:p>
    <w:p w14:paraId="6452D6B7" w14:textId="77777777" w:rsidR="0079428C" w:rsidRPr="00B06D23" w:rsidRDefault="0079428C" w:rsidP="0079428C">
      <w:pPr>
        <w:rPr>
          <w:lang w:val="es-ES"/>
        </w:rPr>
      </w:pPr>
      <w:r w:rsidRPr="00B06D23">
        <w:rPr>
          <w:lang w:val="es-ES"/>
        </w:rPr>
        <w:t>El equipamiento de oficina se dimensionó en función de la cantidad de empleados de la plantilla de personal y su función y nivel jerárquico dentro de la empresa a partir de ratios eficientes los que luego son valorizados a costos de mercado.</w:t>
      </w:r>
    </w:p>
    <w:p w14:paraId="5904096A" w14:textId="77777777" w:rsidR="0079428C" w:rsidRPr="00B06D23" w:rsidRDefault="0079428C" w:rsidP="0079428C">
      <w:pPr>
        <w:rPr>
          <w:lang w:val="es-ES"/>
        </w:rPr>
      </w:pPr>
      <w:r w:rsidRPr="00B06D23">
        <w:rPr>
          <w:lang w:val="es-ES"/>
        </w:rPr>
        <w:t>Los costos de los elementos considerados se pueden ver en Anexo COMA_3 Modelo/Datos/Precios de insumos no electricos/Mobiliario</w:t>
      </w:r>
    </w:p>
    <w:p w14:paraId="0AEA06AC" w14:textId="77777777" w:rsidR="0079428C" w:rsidRPr="00FD055F" w:rsidRDefault="0079428C" w:rsidP="0079428C">
      <w:pPr>
        <w:pStyle w:val="Ttulo4"/>
      </w:pPr>
      <w:bookmarkStart w:id="217" w:name="_Toc32390202"/>
      <w:bookmarkStart w:id="218" w:name="_Toc34398149"/>
      <w:bookmarkStart w:id="219" w:name="_Toc34687243"/>
      <w:r w:rsidRPr="00FD055F">
        <w:t>Equipamiento computacional</w:t>
      </w:r>
      <w:bookmarkEnd w:id="217"/>
      <w:bookmarkEnd w:id="218"/>
      <w:bookmarkEnd w:id="219"/>
      <w:r w:rsidRPr="00FD055F">
        <w:t xml:space="preserve"> </w:t>
      </w:r>
    </w:p>
    <w:p w14:paraId="4F0E9BD2" w14:textId="77777777" w:rsidR="0079428C" w:rsidRPr="00B06D23" w:rsidRDefault="0079428C" w:rsidP="0079428C">
      <w:pPr>
        <w:rPr>
          <w:lang w:val="es-ES"/>
        </w:rPr>
      </w:pPr>
      <w:r w:rsidRPr="00B06D23">
        <w:rPr>
          <w:lang w:val="es-ES"/>
        </w:rPr>
        <w:t>Este ítem incluye el software y hardware de microinformática y macroinformática como se especifica a continuación.</w:t>
      </w:r>
    </w:p>
    <w:p w14:paraId="7E7CAEFD" w14:textId="77777777" w:rsidR="0079428C" w:rsidRPr="00B06D23" w:rsidRDefault="0079428C" w:rsidP="0079428C">
      <w:pPr>
        <w:pStyle w:val="Ttulo5"/>
        <w:rPr>
          <w:color w:val="auto"/>
          <w:lang w:val="es-ES"/>
        </w:rPr>
      </w:pPr>
      <w:bookmarkStart w:id="220" w:name="_Toc32390203"/>
      <w:r w:rsidRPr="00B06D23">
        <w:rPr>
          <w:color w:val="auto"/>
          <w:lang w:val="es-ES"/>
        </w:rPr>
        <w:t>Microinformática (software y hardware)</w:t>
      </w:r>
      <w:bookmarkEnd w:id="220"/>
    </w:p>
    <w:p w14:paraId="105208BD" w14:textId="77777777" w:rsidR="0079428C" w:rsidRPr="00B06D23" w:rsidRDefault="0079428C" w:rsidP="0079428C">
      <w:pPr>
        <w:rPr>
          <w:lang w:val="es-ES"/>
        </w:rPr>
      </w:pPr>
      <w:r w:rsidRPr="00B06D23">
        <w:rPr>
          <w:lang w:val="es-ES"/>
        </w:rPr>
        <w:t>Comprende los recursos de tecnologías de información que se utilizan comúnmente en la oficina (oficina central, y regionales), que corresponde principalmente a los siguientes elementos: PCs, notebooks, impresoras, Plotter.</w:t>
      </w:r>
    </w:p>
    <w:p w14:paraId="3625F2A2" w14:textId="77777777" w:rsidR="0079428C" w:rsidRPr="00B06D23" w:rsidRDefault="0079428C" w:rsidP="0079428C">
      <w:pPr>
        <w:rPr>
          <w:lang w:val="es-ES"/>
        </w:rPr>
      </w:pPr>
      <w:r w:rsidRPr="00B06D23">
        <w:rPr>
          <w:lang w:val="es-ES"/>
        </w:rPr>
        <w:t>El software para microinformática para equipar el hardware tales como sistemas operativos, y programas específicos para cada una de las áreas de la empresa.</w:t>
      </w:r>
    </w:p>
    <w:p w14:paraId="68D9FEA0" w14:textId="77777777" w:rsidR="0079428C" w:rsidRPr="00B06D23" w:rsidRDefault="0079428C" w:rsidP="0079428C">
      <w:pPr>
        <w:rPr>
          <w:lang w:val="es-ES"/>
        </w:rPr>
      </w:pPr>
      <w:r w:rsidRPr="00B06D23">
        <w:rPr>
          <w:lang w:val="es-ES"/>
        </w:rPr>
        <w:t>Se han considerado el siguiente Software:</w:t>
      </w:r>
    </w:p>
    <w:p w14:paraId="0E0A2ECC" w14:textId="77777777" w:rsidR="0079428C" w:rsidRPr="00B06D23" w:rsidRDefault="0079428C" w:rsidP="002E20CA">
      <w:pPr>
        <w:pStyle w:val="Prrafodelista"/>
        <w:numPr>
          <w:ilvl w:val="0"/>
          <w:numId w:val="61"/>
        </w:numPr>
        <w:rPr>
          <w:lang w:val="es-ES"/>
        </w:rPr>
      </w:pPr>
      <w:r w:rsidRPr="00B06D23">
        <w:rPr>
          <w:lang w:val="es-ES"/>
        </w:rPr>
        <w:t>Project</w:t>
      </w:r>
    </w:p>
    <w:p w14:paraId="37B20673" w14:textId="77777777" w:rsidR="0079428C" w:rsidRPr="00B06D23" w:rsidRDefault="0079428C" w:rsidP="002E20CA">
      <w:pPr>
        <w:pStyle w:val="Prrafodelista"/>
        <w:numPr>
          <w:ilvl w:val="0"/>
          <w:numId w:val="61"/>
        </w:numPr>
        <w:rPr>
          <w:lang w:val="es-ES"/>
        </w:rPr>
      </w:pPr>
      <w:r w:rsidRPr="00B06D23">
        <w:rPr>
          <w:lang w:val="es-ES"/>
        </w:rPr>
        <w:t>Arcgis</w:t>
      </w:r>
    </w:p>
    <w:p w14:paraId="43AE4869" w14:textId="77777777" w:rsidR="0079428C" w:rsidRPr="00B06D23" w:rsidRDefault="0079428C" w:rsidP="002E20CA">
      <w:pPr>
        <w:pStyle w:val="Prrafodelista"/>
        <w:numPr>
          <w:ilvl w:val="0"/>
          <w:numId w:val="61"/>
        </w:numPr>
        <w:rPr>
          <w:lang w:val="es-ES"/>
        </w:rPr>
      </w:pPr>
      <w:r w:rsidRPr="00B06D23">
        <w:rPr>
          <w:lang w:val="es-ES"/>
        </w:rPr>
        <w:t>Autocad</w:t>
      </w:r>
    </w:p>
    <w:p w14:paraId="101CCDCC" w14:textId="77777777" w:rsidR="0079428C" w:rsidRPr="00B06D23" w:rsidRDefault="0079428C" w:rsidP="002E20CA">
      <w:pPr>
        <w:pStyle w:val="Prrafodelista"/>
        <w:numPr>
          <w:ilvl w:val="0"/>
          <w:numId w:val="61"/>
        </w:numPr>
        <w:rPr>
          <w:lang w:val="es-ES"/>
        </w:rPr>
      </w:pPr>
      <w:r w:rsidRPr="00B06D23">
        <w:rPr>
          <w:lang w:val="es-ES"/>
        </w:rPr>
        <w:t>Matlab</w:t>
      </w:r>
    </w:p>
    <w:p w14:paraId="3C0FC2EE" w14:textId="77777777" w:rsidR="0079428C" w:rsidRPr="00B06D23" w:rsidRDefault="0079428C" w:rsidP="002E20CA">
      <w:pPr>
        <w:pStyle w:val="Prrafodelista"/>
        <w:numPr>
          <w:ilvl w:val="0"/>
          <w:numId w:val="61"/>
        </w:numPr>
        <w:rPr>
          <w:lang w:val="es-ES"/>
        </w:rPr>
      </w:pPr>
      <w:r w:rsidRPr="00B06D23">
        <w:rPr>
          <w:lang w:val="es-ES"/>
        </w:rPr>
        <w:t>Microsoft Office</w:t>
      </w:r>
    </w:p>
    <w:p w14:paraId="43B60AAA" w14:textId="77777777" w:rsidR="0079428C" w:rsidRPr="00B06D23" w:rsidRDefault="0079428C" w:rsidP="0079428C">
      <w:pPr>
        <w:rPr>
          <w:lang w:val="es-ES"/>
        </w:rPr>
      </w:pPr>
      <w:r w:rsidRPr="00B06D23">
        <w:rPr>
          <w:lang w:val="es-ES"/>
        </w:rPr>
        <w:t>El equipamiento de microinformática se dimensionó  en función de la cantidad de empleados de la plantilla de personal y su función dentro de la empresa a partir de ratios eficientes.</w:t>
      </w:r>
    </w:p>
    <w:p w14:paraId="39C3EC4E" w14:textId="77777777" w:rsidR="0079428C" w:rsidRPr="00B06D23" w:rsidRDefault="0079428C" w:rsidP="0079428C">
      <w:pPr>
        <w:rPr>
          <w:lang w:val="es-ES"/>
        </w:rPr>
      </w:pPr>
      <w:r w:rsidRPr="00B06D23">
        <w:rPr>
          <w:lang w:val="es-ES"/>
        </w:rPr>
        <w:t>En el Anexo COMA_3 Modelo/Datos/Precios insumos no eléctricos/ Microinformatica, se detallan los costos unitarios del Hardware de los equipos considerados.</w:t>
      </w:r>
    </w:p>
    <w:p w14:paraId="2C4D504B" w14:textId="77777777" w:rsidR="0079428C" w:rsidRPr="00B06D23" w:rsidRDefault="0079428C" w:rsidP="0079428C">
      <w:pPr>
        <w:rPr>
          <w:lang w:val="es-ES"/>
        </w:rPr>
      </w:pPr>
      <w:r w:rsidRPr="00B06D23">
        <w:rPr>
          <w:lang w:val="es-ES"/>
        </w:rPr>
        <w:t>En el Anexo COMA_3 Modelo/Datos/ Equipamiento Informático se encuentra detallado el  Software considerado para microinformática.</w:t>
      </w:r>
    </w:p>
    <w:p w14:paraId="2D0E0C90" w14:textId="77777777" w:rsidR="0079428C" w:rsidRPr="0060133B" w:rsidRDefault="0079428C" w:rsidP="0060133B">
      <w:pPr>
        <w:pStyle w:val="Ttulo5"/>
      </w:pPr>
      <w:r w:rsidRPr="0060133B">
        <w:t>Software específicos para estudios eléctricos de transmisión</w:t>
      </w:r>
    </w:p>
    <w:p w14:paraId="0F04B673" w14:textId="77777777" w:rsidR="0079428C" w:rsidRPr="00B06D23" w:rsidRDefault="0079428C" w:rsidP="0079428C">
      <w:pPr>
        <w:spacing w:after="0" w:line="240" w:lineRule="auto"/>
        <w:jc w:val="left"/>
        <w:rPr>
          <w:rFonts w:ascii="Franklin Gothic Book" w:eastAsia="Times New Roman" w:hAnsi="Franklin Gothic Book" w:cs="Calibri"/>
          <w:sz w:val="22"/>
          <w:szCs w:val="22"/>
          <w:lang w:val="es-ES" w:eastAsia="es-AR"/>
        </w:rPr>
      </w:pPr>
    </w:p>
    <w:p w14:paraId="42D80DDA" w14:textId="77777777" w:rsidR="0079428C" w:rsidRPr="00B06D23" w:rsidRDefault="0079428C" w:rsidP="0079428C">
      <w:pPr>
        <w:spacing w:after="0" w:line="240" w:lineRule="auto"/>
        <w:jc w:val="left"/>
        <w:rPr>
          <w:rFonts w:ascii="Franklin Gothic Book" w:eastAsia="Times New Roman" w:hAnsi="Franklin Gothic Book" w:cs="Calibri"/>
          <w:lang w:val="es-ES" w:eastAsia="es-AR"/>
        </w:rPr>
      </w:pPr>
      <w:r w:rsidRPr="00B06D23">
        <w:rPr>
          <w:rFonts w:ascii="Franklin Gothic Book" w:eastAsia="Times New Roman" w:hAnsi="Franklin Gothic Book" w:cs="Calibri"/>
          <w:lang w:val="es-ES" w:eastAsia="es-AR"/>
        </w:rPr>
        <w:t>Se han considerado los siguientes para el personal específico de estudios de la subgerencia de ingeniería:</w:t>
      </w:r>
    </w:p>
    <w:p w14:paraId="7598473F" w14:textId="77777777" w:rsidR="0079428C" w:rsidRPr="00B06D23" w:rsidRDefault="0079428C" w:rsidP="0079428C">
      <w:pPr>
        <w:spacing w:after="0" w:line="240" w:lineRule="auto"/>
        <w:jc w:val="left"/>
        <w:rPr>
          <w:rFonts w:ascii="Franklin Gothic Book" w:eastAsia="Times New Roman" w:hAnsi="Franklin Gothic Book" w:cs="Calibri"/>
          <w:lang w:val="es-ES" w:eastAsia="es-AR"/>
        </w:rPr>
      </w:pPr>
    </w:p>
    <w:p w14:paraId="6DF24108" w14:textId="77777777" w:rsidR="0079428C" w:rsidRPr="00B06D23" w:rsidRDefault="0079428C" w:rsidP="002E20CA">
      <w:pPr>
        <w:pStyle w:val="Prrafodelista"/>
        <w:numPr>
          <w:ilvl w:val="0"/>
          <w:numId w:val="62"/>
        </w:numPr>
        <w:spacing w:after="0" w:line="240" w:lineRule="auto"/>
        <w:jc w:val="left"/>
        <w:rPr>
          <w:rFonts w:ascii="Franklin Gothic Book" w:eastAsia="Times New Roman" w:hAnsi="Franklin Gothic Book" w:cs="Calibri"/>
          <w:lang w:val="es-ES" w:eastAsia="es-AR"/>
        </w:rPr>
      </w:pPr>
      <w:r w:rsidRPr="00B06D23">
        <w:rPr>
          <w:rFonts w:ascii="Franklin Gothic Book" w:eastAsia="Times New Roman" w:hAnsi="Franklin Gothic Book" w:cs="Calibri"/>
          <w:lang w:val="es-ES" w:eastAsia="es-AR"/>
        </w:rPr>
        <w:t>Digsilent (flujos, estabilidad y transitorios, cortocircuito)</w:t>
      </w:r>
    </w:p>
    <w:p w14:paraId="01B5C792" w14:textId="77777777" w:rsidR="0079428C" w:rsidRPr="00B06D23" w:rsidRDefault="0079428C" w:rsidP="002E20CA">
      <w:pPr>
        <w:pStyle w:val="Prrafodelista"/>
        <w:numPr>
          <w:ilvl w:val="0"/>
          <w:numId w:val="62"/>
        </w:numPr>
        <w:spacing w:after="0" w:line="240" w:lineRule="auto"/>
        <w:jc w:val="left"/>
        <w:rPr>
          <w:rFonts w:eastAsia="Times New Roman" w:cs="Calibri"/>
          <w:lang w:val="es-ES" w:eastAsia="es-AR"/>
        </w:rPr>
      </w:pPr>
      <w:r w:rsidRPr="00B06D23">
        <w:rPr>
          <w:rFonts w:eastAsia="Times New Roman" w:cs="Calibri"/>
          <w:lang w:val="es-ES" w:eastAsia="es-AR"/>
        </w:rPr>
        <w:t>Aveva HMI</w:t>
      </w:r>
    </w:p>
    <w:p w14:paraId="35B5E2AA" w14:textId="77777777" w:rsidR="0079428C" w:rsidRPr="00B06D23" w:rsidRDefault="0079428C" w:rsidP="002E20CA">
      <w:pPr>
        <w:pStyle w:val="Prrafodelista"/>
        <w:numPr>
          <w:ilvl w:val="0"/>
          <w:numId w:val="62"/>
        </w:numPr>
        <w:spacing w:after="0" w:line="240" w:lineRule="auto"/>
        <w:jc w:val="left"/>
        <w:rPr>
          <w:rFonts w:eastAsia="Times New Roman" w:cs="Calibri"/>
          <w:lang w:val="es-ES" w:eastAsia="es-AR"/>
        </w:rPr>
      </w:pPr>
      <w:r w:rsidRPr="00B06D23">
        <w:rPr>
          <w:rFonts w:eastAsia="Times New Roman" w:cs="Calibri"/>
          <w:lang w:val="es-ES" w:eastAsia="es-AR"/>
        </w:rPr>
        <w:t>Despacho económico</w:t>
      </w:r>
    </w:p>
    <w:p w14:paraId="1DC55733" w14:textId="77777777" w:rsidR="0079428C" w:rsidRPr="00B06D23" w:rsidRDefault="0079428C" w:rsidP="002E20CA">
      <w:pPr>
        <w:pStyle w:val="Prrafodelista"/>
        <w:numPr>
          <w:ilvl w:val="0"/>
          <w:numId w:val="62"/>
        </w:numPr>
        <w:spacing w:after="0" w:line="240" w:lineRule="auto"/>
        <w:jc w:val="left"/>
        <w:rPr>
          <w:rFonts w:eastAsia="Times New Roman" w:cs="Calibri"/>
          <w:lang w:val="es-ES" w:eastAsia="es-AR"/>
        </w:rPr>
      </w:pPr>
      <w:r w:rsidRPr="00B06D23">
        <w:rPr>
          <w:rFonts w:eastAsia="Times New Roman" w:cs="Calibri"/>
          <w:lang w:val="es-ES" w:eastAsia="es-AR"/>
        </w:rPr>
        <w:t>EMTP</w:t>
      </w:r>
    </w:p>
    <w:p w14:paraId="36AEF5ED" w14:textId="77777777" w:rsidR="0079428C" w:rsidRPr="00B06D23" w:rsidRDefault="0079428C" w:rsidP="0079428C">
      <w:pPr>
        <w:rPr>
          <w:lang w:val="es-ES"/>
        </w:rPr>
      </w:pPr>
    </w:p>
    <w:p w14:paraId="711D59FD" w14:textId="77777777" w:rsidR="0079428C" w:rsidRPr="0060133B" w:rsidRDefault="0079428C" w:rsidP="0079428C">
      <w:pPr>
        <w:pStyle w:val="Ttulo5"/>
      </w:pPr>
      <w:bookmarkStart w:id="221" w:name="_Toc32390204"/>
      <w:r w:rsidRPr="0060133B">
        <w:t>Macroinformática (software y hardware)</w:t>
      </w:r>
      <w:bookmarkEnd w:id="221"/>
    </w:p>
    <w:p w14:paraId="26A987C8" w14:textId="77777777" w:rsidR="0060133B" w:rsidRDefault="0060133B" w:rsidP="0079428C">
      <w:pPr>
        <w:rPr>
          <w:lang w:val="es-ES"/>
        </w:rPr>
      </w:pPr>
    </w:p>
    <w:p w14:paraId="0E123766" w14:textId="0673E1C9" w:rsidR="0079428C" w:rsidRPr="00B06D23" w:rsidRDefault="0079428C" w:rsidP="0079428C">
      <w:pPr>
        <w:rPr>
          <w:lang w:val="es-ES"/>
        </w:rPr>
      </w:pPr>
      <w:r w:rsidRPr="00B06D23">
        <w:rPr>
          <w:lang w:val="es-ES"/>
        </w:rPr>
        <w:t>Comprende el software para el Planeamiento de Recursos Empresariales usualmente denominado ERP (</w:t>
      </w:r>
      <w:bookmarkStart w:id="222" w:name="_Toc80300464"/>
      <w:bookmarkStart w:id="223" w:name="_Toc206414880"/>
      <w:bookmarkStart w:id="224" w:name="_Toc206415022"/>
      <w:r w:rsidRPr="00B06D23">
        <w:rPr>
          <w:lang w:val="es-ES"/>
        </w:rPr>
        <w:t>Sistema Enterprise Resource Planning)</w:t>
      </w:r>
      <w:bookmarkEnd w:id="222"/>
      <w:bookmarkEnd w:id="223"/>
      <w:bookmarkEnd w:id="224"/>
    </w:p>
    <w:p w14:paraId="6BE3FA86" w14:textId="77777777" w:rsidR="0079428C" w:rsidRPr="00B06D23" w:rsidRDefault="0079428C" w:rsidP="0079428C">
      <w:pPr>
        <w:rPr>
          <w:lang w:val="es-ES"/>
        </w:rPr>
      </w:pPr>
      <w:r w:rsidRPr="00B06D23">
        <w:rPr>
          <w:lang w:val="es-ES"/>
        </w:rPr>
        <w:t>El ERP es una forma de utilizar la información a través de la organización para la gestión de áreas claves- como compras, administración de inventario y cadena de suministros, control financiero, administración de recursos humanos, logística y distribución, y administración de relaciones con clientes. Los sistemas ERP básicamente se componen de los siguientes subsistemas:</w:t>
      </w:r>
    </w:p>
    <w:p w14:paraId="240EE8E8" w14:textId="50B8B757" w:rsidR="0079428C" w:rsidRPr="00B06D23" w:rsidRDefault="0079428C" w:rsidP="0079428C">
      <w:pPr>
        <w:spacing w:after="120"/>
        <w:jc w:val="center"/>
        <w:rPr>
          <w:b/>
          <w:bCs/>
          <w:sz w:val="20"/>
          <w:szCs w:val="20"/>
          <w:lang w:val="es-ES"/>
        </w:rPr>
      </w:pPr>
      <w:bookmarkStart w:id="225" w:name="_Toc27147878"/>
      <w:r w:rsidRPr="00B06D23">
        <w:rPr>
          <w:b/>
          <w:bCs/>
          <w:sz w:val="20"/>
          <w:szCs w:val="20"/>
          <w:lang w:val="es-ES"/>
        </w:rPr>
        <w:t xml:space="preserve">Tabla Nº </w:t>
      </w:r>
      <w:r w:rsidRPr="00B06D23">
        <w:rPr>
          <w:b/>
          <w:bCs/>
          <w:sz w:val="20"/>
          <w:szCs w:val="20"/>
          <w:lang w:val="es-ES"/>
        </w:rPr>
        <w:fldChar w:fldCharType="begin"/>
      </w:r>
      <w:r w:rsidRPr="00B06D23">
        <w:rPr>
          <w:b/>
          <w:bCs/>
          <w:sz w:val="20"/>
          <w:szCs w:val="20"/>
          <w:lang w:val="es-ES"/>
        </w:rPr>
        <w:instrText xml:space="preserve"> SEQ Tabla_Nº \* ARABIC </w:instrText>
      </w:r>
      <w:r w:rsidRPr="00B06D23">
        <w:rPr>
          <w:b/>
          <w:bCs/>
          <w:sz w:val="20"/>
          <w:szCs w:val="20"/>
          <w:lang w:val="es-ES"/>
        </w:rPr>
        <w:fldChar w:fldCharType="separate"/>
      </w:r>
      <w:r w:rsidR="00F14BED">
        <w:rPr>
          <w:b/>
          <w:bCs/>
          <w:noProof/>
          <w:sz w:val="20"/>
          <w:szCs w:val="20"/>
          <w:lang w:val="es-ES"/>
        </w:rPr>
        <w:t>1</w:t>
      </w:r>
      <w:r w:rsidRPr="00B06D23">
        <w:rPr>
          <w:b/>
          <w:bCs/>
          <w:sz w:val="20"/>
          <w:szCs w:val="20"/>
          <w:lang w:val="es-ES"/>
        </w:rPr>
        <w:fldChar w:fldCharType="end"/>
      </w:r>
      <w:r w:rsidRPr="00B06D23">
        <w:rPr>
          <w:b/>
          <w:bCs/>
          <w:sz w:val="20"/>
          <w:szCs w:val="20"/>
          <w:lang w:val="es-ES"/>
        </w:rPr>
        <w:t xml:space="preserve"> subsistemas de los sistemas ERP</w:t>
      </w:r>
      <w:bookmarkEnd w:id="225"/>
    </w:p>
    <w:tbl>
      <w:tblPr>
        <w:tblW w:w="9287" w:type="dxa"/>
        <w:tblInd w:w="21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88"/>
        <w:gridCol w:w="6699"/>
      </w:tblGrid>
      <w:tr w:rsidR="0079428C" w:rsidRPr="00B06D23" w14:paraId="4D653112" w14:textId="77777777" w:rsidTr="00C276D3">
        <w:tc>
          <w:tcPr>
            <w:tcW w:w="2588" w:type="dxa"/>
            <w:tcBorders>
              <w:top w:val="single" w:sz="6" w:space="0" w:color="auto"/>
              <w:left w:val="single" w:sz="6" w:space="0" w:color="auto"/>
              <w:bottom w:val="single" w:sz="6" w:space="0" w:color="auto"/>
              <w:right w:val="single" w:sz="6" w:space="0" w:color="auto"/>
            </w:tcBorders>
            <w:vAlign w:val="center"/>
          </w:tcPr>
          <w:p w14:paraId="6B09DA6E" w14:textId="77777777" w:rsidR="0079428C" w:rsidRPr="00B06D23" w:rsidRDefault="0079428C" w:rsidP="00C276D3">
            <w:pPr>
              <w:spacing w:before="20" w:after="40" w:line="240" w:lineRule="auto"/>
              <w:rPr>
                <w:sz w:val="20"/>
                <w:szCs w:val="20"/>
                <w:lang w:val="es-ES"/>
              </w:rPr>
            </w:pPr>
            <w:r w:rsidRPr="00B06D23">
              <w:rPr>
                <w:sz w:val="20"/>
                <w:szCs w:val="20"/>
                <w:lang w:val="es-ES"/>
              </w:rPr>
              <w:t>Presupuesto y Control de Gestión</w:t>
            </w:r>
          </w:p>
        </w:tc>
        <w:tc>
          <w:tcPr>
            <w:tcW w:w="6699" w:type="dxa"/>
            <w:tcBorders>
              <w:top w:val="single" w:sz="6" w:space="0" w:color="auto"/>
              <w:left w:val="single" w:sz="6" w:space="0" w:color="auto"/>
              <w:bottom w:val="single" w:sz="6" w:space="0" w:color="auto"/>
              <w:right w:val="single" w:sz="6" w:space="0" w:color="auto"/>
            </w:tcBorders>
          </w:tcPr>
          <w:p w14:paraId="740D991B" w14:textId="77777777" w:rsidR="0079428C" w:rsidRPr="00B06D23" w:rsidRDefault="0079428C" w:rsidP="00C276D3">
            <w:pPr>
              <w:spacing w:before="20" w:after="40" w:line="240" w:lineRule="auto"/>
              <w:rPr>
                <w:sz w:val="20"/>
                <w:szCs w:val="20"/>
                <w:lang w:val="es-ES"/>
              </w:rPr>
            </w:pPr>
            <w:r w:rsidRPr="00B06D23">
              <w:rPr>
                <w:sz w:val="20"/>
                <w:szCs w:val="20"/>
                <w:lang w:val="es-ES"/>
              </w:rPr>
              <w:t>Manutención de Árbol de Inversiones</w:t>
            </w:r>
          </w:p>
          <w:p w14:paraId="48B7976B" w14:textId="77777777" w:rsidR="0079428C" w:rsidRPr="00B06D23" w:rsidRDefault="0079428C" w:rsidP="00C276D3">
            <w:pPr>
              <w:spacing w:before="20" w:after="40" w:line="240" w:lineRule="auto"/>
              <w:rPr>
                <w:sz w:val="20"/>
                <w:szCs w:val="20"/>
                <w:lang w:val="es-ES"/>
              </w:rPr>
            </w:pPr>
            <w:r w:rsidRPr="00B06D23">
              <w:rPr>
                <w:sz w:val="20"/>
                <w:szCs w:val="20"/>
                <w:lang w:val="es-ES"/>
              </w:rPr>
              <w:t>Manutención de Órdenes Internas</w:t>
            </w:r>
          </w:p>
          <w:p w14:paraId="4638D264" w14:textId="77777777" w:rsidR="0079428C" w:rsidRPr="00B06D23" w:rsidRDefault="0079428C" w:rsidP="00C276D3">
            <w:pPr>
              <w:spacing w:before="20" w:after="40" w:line="240" w:lineRule="auto"/>
              <w:rPr>
                <w:sz w:val="20"/>
                <w:szCs w:val="20"/>
                <w:lang w:val="es-ES"/>
              </w:rPr>
            </w:pPr>
            <w:r w:rsidRPr="00B06D23">
              <w:rPr>
                <w:sz w:val="20"/>
                <w:szCs w:val="20"/>
                <w:lang w:val="es-ES"/>
              </w:rPr>
              <w:t>Gerenciamiento de la Planificación</w:t>
            </w:r>
          </w:p>
          <w:p w14:paraId="0CEC1D19" w14:textId="77777777" w:rsidR="0079428C" w:rsidRPr="00B06D23" w:rsidRDefault="0079428C" w:rsidP="00C276D3">
            <w:pPr>
              <w:spacing w:before="20" w:after="40" w:line="240" w:lineRule="auto"/>
              <w:rPr>
                <w:sz w:val="20"/>
                <w:szCs w:val="20"/>
                <w:lang w:val="es-ES"/>
              </w:rPr>
            </w:pPr>
            <w:r w:rsidRPr="00B06D23">
              <w:rPr>
                <w:sz w:val="20"/>
                <w:szCs w:val="20"/>
                <w:lang w:val="es-ES"/>
              </w:rPr>
              <w:t>Gerenciamiento de la Inversión</w:t>
            </w:r>
          </w:p>
          <w:p w14:paraId="59250898" w14:textId="77777777" w:rsidR="0079428C" w:rsidRPr="00B06D23" w:rsidRDefault="0079428C" w:rsidP="00C276D3">
            <w:pPr>
              <w:spacing w:before="20" w:after="40" w:line="240" w:lineRule="auto"/>
              <w:rPr>
                <w:sz w:val="20"/>
                <w:szCs w:val="20"/>
                <w:lang w:val="es-ES"/>
              </w:rPr>
            </w:pPr>
            <w:r w:rsidRPr="00B06D23">
              <w:rPr>
                <w:sz w:val="20"/>
                <w:szCs w:val="20"/>
                <w:lang w:val="es-ES"/>
              </w:rPr>
              <w:t>Gerenciamiento de Gastos</w:t>
            </w:r>
          </w:p>
          <w:p w14:paraId="7CC7981D" w14:textId="77777777" w:rsidR="0079428C" w:rsidRPr="00B06D23" w:rsidRDefault="0079428C" w:rsidP="00C276D3">
            <w:pPr>
              <w:spacing w:before="20" w:after="40" w:line="240" w:lineRule="auto"/>
              <w:rPr>
                <w:sz w:val="20"/>
                <w:szCs w:val="20"/>
                <w:lang w:val="es-ES"/>
              </w:rPr>
            </w:pPr>
            <w:r w:rsidRPr="00B06D23">
              <w:rPr>
                <w:sz w:val="20"/>
                <w:szCs w:val="20"/>
                <w:lang w:val="es-ES"/>
              </w:rPr>
              <w:t>Emitir órdenes de gastos reales</w:t>
            </w:r>
          </w:p>
          <w:p w14:paraId="10239C21" w14:textId="77777777" w:rsidR="0079428C" w:rsidRPr="00B06D23" w:rsidRDefault="0079428C" w:rsidP="00C276D3">
            <w:pPr>
              <w:spacing w:before="20" w:after="40" w:line="240" w:lineRule="auto"/>
              <w:rPr>
                <w:sz w:val="20"/>
                <w:szCs w:val="20"/>
                <w:lang w:val="es-ES"/>
              </w:rPr>
            </w:pPr>
            <w:r w:rsidRPr="00B06D23">
              <w:rPr>
                <w:sz w:val="20"/>
                <w:szCs w:val="20"/>
                <w:lang w:val="es-ES"/>
              </w:rPr>
              <w:t xml:space="preserve">Emitir órdenes de inversiones reales </w:t>
            </w:r>
          </w:p>
          <w:p w14:paraId="412960C0" w14:textId="77777777" w:rsidR="0079428C" w:rsidRPr="00B06D23" w:rsidRDefault="0079428C" w:rsidP="00C276D3">
            <w:pPr>
              <w:spacing w:before="20" w:after="40" w:line="240" w:lineRule="auto"/>
              <w:rPr>
                <w:sz w:val="20"/>
                <w:szCs w:val="20"/>
                <w:lang w:val="es-ES"/>
              </w:rPr>
            </w:pPr>
            <w:r w:rsidRPr="00B06D23">
              <w:rPr>
                <w:sz w:val="20"/>
                <w:szCs w:val="20"/>
                <w:lang w:val="es-ES"/>
              </w:rPr>
              <w:t>Seguimiento de gastos</w:t>
            </w:r>
          </w:p>
          <w:p w14:paraId="6B717984" w14:textId="77777777" w:rsidR="0079428C" w:rsidRPr="00B06D23" w:rsidRDefault="0079428C" w:rsidP="00C276D3">
            <w:pPr>
              <w:spacing w:before="20" w:after="40" w:line="240" w:lineRule="auto"/>
              <w:rPr>
                <w:sz w:val="20"/>
                <w:szCs w:val="20"/>
                <w:lang w:val="es-ES"/>
              </w:rPr>
            </w:pPr>
            <w:r w:rsidRPr="00B06D23">
              <w:rPr>
                <w:sz w:val="20"/>
                <w:szCs w:val="20"/>
                <w:lang w:val="es-ES"/>
              </w:rPr>
              <w:t>Seguimiento de inversiones</w:t>
            </w:r>
          </w:p>
          <w:p w14:paraId="7B4FC000" w14:textId="77777777" w:rsidR="0079428C" w:rsidRPr="00B06D23" w:rsidRDefault="0079428C" w:rsidP="00C276D3">
            <w:pPr>
              <w:spacing w:before="20" w:after="40" w:line="240" w:lineRule="auto"/>
              <w:rPr>
                <w:sz w:val="20"/>
                <w:szCs w:val="20"/>
                <w:lang w:val="es-ES"/>
              </w:rPr>
            </w:pPr>
            <w:r w:rsidRPr="00B06D23">
              <w:rPr>
                <w:sz w:val="20"/>
                <w:szCs w:val="20"/>
                <w:lang w:val="es-ES"/>
              </w:rPr>
              <w:t>Seguimiento de Ingresos</w:t>
            </w:r>
          </w:p>
          <w:p w14:paraId="3D85B45D" w14:textId="77777777" w:rsidR="0079428C" w:rsidRPr="00B06D23" w:rsidRDefault="0079428C" w:rsidP="00C276D3">
            <w:pPr>
              <w:spacing w:before="20" w:after="40" w:line="240" w:lineRule="auto"/>
              <w:rPr>
                <w:sz w:val="20"/>
                <w:szCs w:val="20"/>
                <w:lang w:val="es-ES"/>
              </w:rPr>
            </w:pPr>
            <w:r w:rsidRPr="00B06D23">
              <w:rPr>
                <w:sz w:val="20"/>
                <w:szCs w:val="20"/>
                <w:lang w:val="es-ES"/>
              </w:rPr>
              <w:t>Efectuar liquidaciones de inversiones</w:t>
            </w:r>
          </w:p>
        </w:tc>
      </w:tr>
      <w:tr w:rsidR="0079428C" w:rsidRPr="00B06D23" w14:paraId="1D5F7EC8" w14:textId="77777777" w:rsidTr="00C276D3">
        <w:tc>
          <w:tcPr>
            <w:tcW w:w="2588" w:type="dxa"/>
            <w:tcBorders>
              <w:top w:val="single" w:sz="6" w:space="0" w:color="auto"/>
              <w:left w:val="single" w:sz="6" w:space="0" w:color="auto"/>
              <w:bottom w:val="single" w:sz="6" w:space="0" w:color="auto"/>
              <w:right w:val="single" w:sz="6" w:space="0" w:color="auto"/>
            </w:tcBorders>
            <w:vAlign w:val="center"/>
          </w:tcPr>
          <w:p w14:paraId="3E185ED9" w14:textId="77777777" w:rsidR="0079428C" w:rsidRPr="00B06D23" w:rsidRDefault="0079428C" w:rsidP="00C276D3">
            <w:pPr>
              <w:spacing w:before="20" w:after="40" w:line="240" w:lineRule="auto"/>
              <w:rPr>
                <w:sz w:val="20"/>
                <w:szCs w:val="20"/>
                <w:lang w:val="es-ES"/>
              </w:rPr>
            </w:pPr>
            <w:r w:rsidRPr="00B06D23">
              <w:rPr>
                <w:sz w:val="20"/>
                <w:szCs w:val="20"/>
                <w:lang w:val="es-ES"/>
              </w:rPr>
              <w:t>Abastecimiento – Gestión de Materiales</w:t>
            </w:r>
          </w:p>
        </w:tc>
        <w:tc>
          <w:tcPr>
            <w:tcW w:w="6699" w:type="dxa"/>
            <w:tcBorders>
              <w:top w:val="single" w:sz="6" w:space="0" w:color="auto"/>
              <w:left w:val="single" w:sz="6" w:space="0" w:color="auto"/>
              <w:bottom w:val="single" w:sz="6" w:space="0" w:color="auto"/>
              <w:right w:val="single" w:sz="6" w:space="0" w:color="auto"/>
            </w:tcBorders>
          </w:tcPr>
          <w:p w14:paraId="47FB8678" w14:textId="77777777" w:rsidR="0079428C" w:rsidRPr="00B06D23" w:rsidRDefault="0079428C" w:rsidP="00C276D3">
            <w:pPr>
              <w:spacing w:before="20" w:after="40" w:line="240" w:lineRule="auto"/>
              <w:rPr>
                <w:sz w:val="20"/>
                <w:szCs w:val="20"/>
                <w:lang w:val="es-ES"/>
              </w:rPr>
            </w:pPr>
            <w:r w:rsidRPr="00B06D23">
              <w:rPr>
                <w:sz w:val="20"/>
                <w:szCs w:val="20"/>
                <w:lang w:val="es-ES"/>
              </w:rPr>
              <w:t>Registro de Materiales</w:t>
            </w:r>
          </w:p>
          <w:p w14:paraId="1762890E" w14:textId="77777777" w:rsidR="0079428C" w:rsidRPr="00B06D23" w:rsidRDefault="0079428C" w:rsidP="00C276D3">
            <w:pPr>
              <w:spacing w:before="20" w:after="40" w:line="240" w:lineRule="auto"/>
              <w:rPr>
                <w:sz w:val="20"/>
                <w:szCs w:val="20"/>
                <w:lang w:val="es-ES"/>
              </w:rPr>
            </w:pPr>
            <w:r w:rsidRPr="00B06D23">
              <w:rPr>
                <w:sz w:val="20"/>
                <w:szCs w:val="20"/>
                <w:lang w:val="es-ES"/>
              </w:rPr>
              <w:t>Registro de Servicios</w:t>
            </w:r>
          </w:p>
          <w:p w14:paraId="3A30A14C" w14:textId="77777777" w:rsidR="0079428C" w:rsidRPr="00B06D23" w:rsidRDefault="0079428C" w:rsidP="00C276D3">
            <w:pPr>
              <w:spacing w:before="20" w:after="40" w:line="240" w:lineRule="auto"/>
              <w:rPr>
                <w:sz w:val="20"/>
                <w:szCs w:val="20"/>
                <w:lang w:val="es-ES"/>
              </w:rPr>
            </w:pPr>
            <w:r w:rsidRPr="00B06D23">
              <w:rPr>
                <w:sz w:val="20"/>
                <w:szCs w:val="20"/>
                <w:lang w:val="es-ES"/>
              </w:rPr>
              <w:t>Registro de Compras (proveedores)</w:t>
            </w:r>
          </w:p>
          <w:p w14:paraId="76A8B7D3" w14:textId="77777777" w:rsidR="0079428C" w:rsidRPr="00B06D23" w:rsidRDefault="0079428C" w:rsidP="00C276D3">
            <w:pPr>
              <w:spacing w:before="20" w:after="40" w:line="240" w:lineRule="auto"/>
              <w:rPr>
                <w:sz w:val="20"/>
                <w:szCs w:val="20"/>
                <w:lang w:val="es-ES"/>
              </w:rPr>
            </w:pPr>
            <w:r w:rsidRPr="00B06D23">
              <w:rPr>
                <w:sz w:val="20"/>
                <w:szCs w:val="20"/>
                <w:lang w:val="es-ES"/>
              </w:rPr>
              <w:t>Reposición de Stock</w:t>
            </w:r>
          </w:p>
          <w:p w14:paraId="41A103FA" w14:textId="77777777" w:rsidR="0079428C" w:rsidRPr="00B06D23" w:rsidRDefault="0079428C" w:rsidP="00C276D3">
            <w:pPr>
              <w:spacing w:before="20" w:after="40" w:line="240" w:lineRule="auto"/>
              <w:rPr>
                <w:sz w:val="20"/>
                <w:szCs w:val="20"/>
                <w:lang w:val="es-ES"/>
              </w:rPr>
            </w:pPr>
            <w:r w:rsidRPr="00B06D23">
              <w:rPr>
                <w:sz w:val="20"/>
                <w:szCs w:val="20"/>
                <w:lang w:val="es-ES"/>
              </w:rPr>
              <w:t>Compra de materiales</w:t>
            </w:r>
          </w:p>
          <w:p w14:paraId="59225E11" w14:textId="77777777" w:rsidR="0079428C" w:rsidRPr="00B06D23" w:rsidRDefault="0079428C" w:rsidP="00C276D3">
            <w:pPr>
              <w:spacing w:before="20" w:after="40" w:line="240" w:lineRule="auto"/>
              <w:rPr>
                <w:sz w:val="20"/>
                <w:szCs w:val="20"/>
                <w:lang w:val="es-ES"/>
              </w:rPr>
            </w:pPr>
            <w:r w:rsidRPr="00B06D23">
              <w:rPr>
                <w:sz w:val="20"/>
                <w:szCs w:val="20"/>
                <w:lang w:val="es-ES"/>
              </w:rPr>
              <w:t>Compra de Servicios</w:t>
            </w:r>
          </w:p>
          <w:p w14:paraId="167FA09F" w14:textId="77777777" w:rsidR="0079428C" w:rsidRPr="00B06D23" w:rsidRDefault="0079428C" w:rsidP="00C276D3">
            <w:pPr>
              <w:spacing w:before="20" w:after="40" w:line="240" w:lineRule="auto"/>
              <w:rPr>
                <w:sz w:val="20"/>
                <w:szCs w:val="20"/>
                <w:lang w:val="es-ES"/>
              </w:rPr>
            </w:pPr>
            <w:r w:rsidRPr="00B06D23">
              <w:rPr>
                <w:sz w:val="20"/>
                <w:szCs w:val="20"/>
                <w:lang w:val="es-ES"/>
              </w:rPr>
              <w:t>Procesamiento de reconciliación</w:t>
            </w:r>
          </w:p>
          <w:p w14:paraId="3941C390" w14:textId="77777777" w:rsidR="0079428C" w:rsidRPr="00B06D23" w:rsidRDefault="0079428C" w:rsidP="00C276D3">
            <w:pPr>
              <w:spacing w:before="20" w:after="40" w:line="240" w:lineRule="auto"/>
              <w:rPr>
                <w:sz w:val="20"/>
                <w:szCs w:val="20"/>
                <w:lang w:val="es-ES"/>
              </w:rPr>
            </w:pPr>
            <w:r w:rsidRPr="00B06D23">
              <w:rPr>
                <w:sz w:val="20"/>
                <w:szCs w:val="20"/>
                <w:lang w:val="es-ES"/>
              </w:rPr>
              <w:t>Contratación de Obras llave en mano</w:t>
            </w:r>
          </w:p>
          <w:p w14:paraId="2AF82FF3" w14:textId="77777777" w:rsidR="0079428C" w:rsidRPr="00B06D23" w:rsidRDefault="0079428C" w:rsidP="00C276D3">
            <w:pPr>
              <w:spacing w:before="20" w:after="40" w:line="240" w:lineRule="auto"/>
              <w:rPr>
                <w:sz w:val="20"/>
                <w:szCs w:val="20"/>
                <w:lang w:val="es-ES"/>
              </w:rPr>
            </w:pPr>
            <w:r w:rsidRPr="00B06D23">
              <w:rPr>
                <w:sz w:val="20"/>
                <w:szCs w:val="20"/>
                <w:lang w:val="es-ES"/>
              </w:rPr>
              <w:t>Atención de necesidades de manutención</w:t>
            </w:r>
          </w:p>
          <w:p w14:paraId="0E543F71" w14:textId="77777777" w:rsidR="0079428C" w:rsidRPr="00B06D23" w:rsidRDefault="0079428C" w:rsidP="00C276D3">
            <w:pPr>
              <w:spacing w:before="20" w:after="40" w:line="240" w:lineRule="auto"/>
              <w:rPr>
                <w:sz w:val="20"/>
                <w:szCs w:val="20"/>
                <w:lang w:val="es-ES"/>
              </w:rPr>
            </w:pPr>
            <w:r w:rsidRPr="00B06D23">
              <w:rPr>
                <w:sz w:val="20"/>
                <w:szCs w:val="20"/>
                <w:lang w:val="es-ES"/>
              </w:rPr>
              <w:t>Distribución de materiales</w:t>
            </w:r>
          </w:p>
          <w:p w14:paraId="51129470" w14:textId="77777777" w:rsidR="0079428C" w:rsidRPr="00B06D23" w:rsidRDefault="0079428C" w:rsidP="00C276D3">
            <w:pPr>
              <w:spacing w:before="20" w:after="40" w:line="240" w:lineRule="auto"/>
              <w:rPr>
                <w:sz w:val="20"/>
                <w:szCs w:val="20"/>
                <w:lang w:val="es-ES"/>
              </w:rPr>
            </w:pPr>
            <w:r w:rsidRPr="00B06D23">
              <w:rPr>
                <w:sz w:val="20"/>
                <w:szCs w:val="20"/>
                <w:lang w:val="es-ES"/>
              </w:rPr>
              <w:t>Devolución de materiales a recuperar</w:t>
            </w:r>
          </w:p>
          <w:p w14:paraId="50D563FA" w14:textId="77777777" w:rsidR="0079428C" w:rsidRPr="00B06D23" w:rsidRDefault="0079428C" w:rsidP="00C276D3">
            <w:pPr>
              <w:spacing w:before="20" w:after="40" w:line="240" w:lineRule="auto"/>
              <w:rPr>
                <w:sz w:val="20"/>
                <w:szCs w:val="20"/>
                <w:lang w:val="es-ES"/>
              </w:rPr>
            </w:pPr>
            <w:r w:rsidRPr="00B06D23">
              <w:rPr>
                <w:sz w:val="20"/>
                <w:szCs w:val="20"/>
                <w:lang w:val="es-ES"/>
              </w:rPr>
              <w:t>Inventario de stock</w:t>
            </w:r>
          </w:p>
          <w:p w14:paraId="25695F1D" w14:textId="77777777" w:rsidR="0079428C" w:rsidRPr="00B06D23" w:rsidRDefault="0079428C" w:rsidP="00C276D3">
            <w:pPr>
              <w:spacing w:before="20" w:after="40" w:line="240" w:lineRule="auto"/>
              <w:rPr>
                <w:sz w:val="20"/>
                <w:szCs w:val="20"/>
                <w:lang w:val="es-ES"/>
              </w:rPr>
            </w:pPr>
            <w:r w:rsidRPr="00B06D23">
              <w:rPr>
                <w:sz w:val="20"/>
                <w:szCs w:val="20"/>
                <w:lang w:val="es-ES"/>
              </w:rPr>
              <w:t>Envío de material en garantía para proveedor</w:t>
            </w:r>
          </w:p>
          <w:p w14:paraId="5672A796" w14:textId="77777777" w:rsidR="0079428C" w:rsidRPr="00B06D23" w:rsidRDefault="0079428C" w:rsidP="00C276D3">
            <w:pPr>
              <w:spacing w:before="20" w:after="40" w:line="240" w:lineRule="auto"/>
              <w:rPr>
                <w:sz w:val="20"/>
                <w:szCs w:val="20"/>
                <w:lang w:val="es-ES"/>
              </w:rPr>
            </w:pPr>
            <w:r w:rsidRPr="00B06D23">
              <w:rPr>
                <w:sz w:val="20"/>
                <w:szCs w:val="20"/>
                <w:lang w:val="es-ES"/>
              </w:rPr>
              <w:t>Material almacenado en bodegas</w:t>
            </w:r>
          </w:p>
          <w:p w14:paraId="07940D59" w14:textId="77777777" w:rsidR="0079428C" w:rsidRPr="00B06D23" w:rsidRDefault="0079428C" w:rsidP="00C276D3">
            <w:pPr>
              <w:spacing w:before="20" w:after="40" w:line="240" w:lineRule="auto"/>
              <w:rPr>
                <w:sz w:val="20"/>
                <w:szCs w:val="20"/>
                <w:lang w:val="es-ES"/>
              </w:rPr>
            </w:pPr>
            <w:r w:rsidRPr="00B06D23">
              <w:rPr>
                <w:sz w:val="20"/>
                <w:szCs w:val="20"/>
                <w:lang w:val="es-ES"/>
              </w:rPr>
              <w:t>Informes operacionales y gerenciales</w:t>
            </w:r>
          </w:p>
          <w:p w14:paraId="55D0B95E" w14:textId="77777777" w:rsidR="0079428C" w:rsidRPr="00B06D23" w:rsidRDefault="0079428C" w:rsidP="00C276D3">
            <w:pPr>
              <w:spacing w:before="20" w:after="40" w:line="240" w:lineRule="auto"/>
              <w:rPr>
                <w:sz w:val="20"/>
                <w:szCs w:val="20"/>
                <w:lang w:val="es-ES"/>
              </w:rPr>
            </w:pPr>
            <w:r w:rsidRPr="00B06D23">
              <w:rPr>
                <w:sz w:val="20"/>
                <w:szCs w:val="20"/>
                <w:lang w:val="es-ES"/>
              </w:rPr>
              <w:t>Venta de materiales</w:t>
            </w:r>
          </w:p>
          <w:p w14:paraId="4364212B" w14:textId="77777777" w:rsidR="0079428C" w:rsidRPr="00B06D23" w:rsidRDefault="0079428C" w:rsidP="00C276D3">
            <w:pPr>
              <w:spacing w:before="20" w:after="40" w:line="240" w:lineRule="auto"/>
              <w:rPr>
                <w:sz w:val="20"/>
                <w:szCs w:val="20"/>
                <w:lang w:val="es-ES"/>
              </w:rPr>
            </w:pPr>
            <w:r w:rsidRPr="00B06D23">
              <w:rPr>
                <w:sz w:val="20"/>
                <w:szCs w:val="20"/>
                <w:lang w:val="es-ES"/>
              </w:rPr>
              <w:t>Substitución de material obsoleto</w:t>
            </w:r>
          </w:p>
          <w:p w14:paraId="7359362D" w14:textId="77777777" w:rsidR="0079428C" w:rsidRPr="00B06D23" w:rsidRDefault="0079428C" w:rsidP="00C276D3">
            <w:pPr>
              <w:spacing w:before="20" w:after="40" w:line="240" w:lineRule="auto"/>
              <w:rPr>
                <w:sz w:val="20"/>
                <w:szCs w:val="20"/>
                <w:lang w:val="es-ES"/>
              </w:rPr>
            </w:pPr>
            <w:r w:rsidRPr="00B06D23">
              <w:rPr>
                <w:sz w:val="20"/>
                <w:szCs w:val="20"/>
                <w:lang w:val="es-ES"/>
              </w:rPr>
              <w:t>Envío de componentes de material en garantía con proveedor</w:t>
            </w:r>
          </w:p>
          <w:p w14:paraId="40804818" w14:textId="77777777" w:rsidR="0079428C" w:rsidRPr="00B06D23" w:rsidRDefault="0079428C" w:rsidP="00C276D3">
            <w:pPr>
              <w:spacing w:before="20" w:after="40" w:line="240" w:lineRule="auto"/>
              <w:rPr>
                <w:sz w:val="20"/>
                <w:szCs w:val="20"/>
                <w:lang w:val="es-ES"/>
              </w:rPr>
            </w:pPr>
            <w:r w:rsidRPr="00B06D23">
              <w:rPr>
                <w:sz w:val="20"/>
                <w:szCs w:val="20"/>
                <w:lang w:val="es-ES"/>
              </w:rPr>
              <w:t>Procesamiento de Libros Fiscales</w:t>
            </w:r>
          </w:p>
          <w:p w14:paraId="145AA25A" w14:textId="77777777" w:rsidR="0079428C" w:rsidRPr="00B06D23" w:rsidRDefault="0079428C" w:rsidP="00C276D3">
            <w:pPr>
              <w:spacing w:before="20" w:after="40" w:line="240" w:lineRule="auto"/>
              <w:rPr>
                <w:sz w:val="20"/>
                <w:szCs w:val="20"/>
                <w:lang w:val="es-ES"/>
              </w:rPr>
            </w:pPr>
            <w:r w:rsidRPr="00B06D23">
              <w:rPr>
                <w:sz w:val="20"/>
                <w:szCs w:val="20"/>
                <w:lang w:val="es-ES"/>
              </w:rPr>
              <w:t>Planeamiento Pago</w:t>
            </w:r>
          </w:p>
          <w:p w14:paraId="7413242B" w14:textId="77777777" w:rsidR="0079428C" w:rsidRPr="00B06D23" w:rsidRDefault="0079428C" w:rsidP="00C276D3">
            <w:pPr>
              <w:spacing w:before="20" w:after="40" w:line="240" w:lineRule="auto"/>
              <w:rPr>
                <w:rFonts w:cs="Calibri"/>
                <w:sz w:val="20"/>
                <w:szCs w:val="20"/>
                <w:lang w:val="es-ES"/>
              </w:rPr>
            </w:pPr>
            <w:r w:rsidRPr="00B06D23">
              <w:rPr>
                <w:sz w:val="20"/>
                <w:szCs w:val="20"/>
                <w:lang w:val="es-ES"/>
              </w:rPr>
              <w:t>Transferencia de materiales</w:t>
            </w:r>
          </w:p>
        </w:tc>
      </w:tr>
      <w:tr w:rsidR="0079428C" w:rsidRPr="00B06D23" w14:paraId="0E806117" w14:textId="77777777" w:rsidTr="00C276D3">
        <w:tc>
          <w:tcPr>
            <w:tcW w:w="2588" w:type="dxa"/>
            <w:tcBorders>
              <w:top w:val="single" w:sz="6" w:space="0" w:color="auto"/>
              <w:left w:val="single" w:sz="6" w:space="0" w:color="auto"/>
              <w:bottom w:val="single" w:sz="6" w:space="0" w:color="auto"/>
              <w:right w:val="single" w:sz="6" w:space="0" w:color="auto"/>
            </w:tcBorders>
            <w:vAlign w:val="center"/>
          </w:tcPr>
          <w:p w14:paraId="738F8D8E" w14:textId="77777777" w:rsidR="0079428C" w:rsidRPr="00B06D23" w:rsidRDefault="0079428C" w:rsidP="00C276D3">
            <w:pPr>
              <w:spacing w:before="20" w:after="40" w:line="240" w:lineRule="auto"/>
              <w:rPr>
                <w:sz w:val="20"/>
                <w:szCs w:val="20"/>
                <w:lang w:val="es-ES"/>
              </w:rPr>
            </w:pPr>
            <w:r w:rsidRPr="00B06D23">
              <w:rPr>
                <w:sz w:val="20"/>
                <w:szCs w:val="20"/>
                <w:lang w:val="es-ES"/>
              </w:rPr>
              <w:t>Contabilidad y Finanzas</w:t>
            </w:r>
          </w:p>
        </w:tc>
        <w:tc>
          <w:tcPr>
            <w:tcW w:w="6699" w:type="dxa"/>
            <w:tcBorders>
              <w:top w:val="single" w:sz="6" w:space="0" w:color="auto"/>
              <w:left w:val="single" w:sz="6" w:space="0" w:color="auto"/>
              <w:bottom w:val="single" w:sz="6" w:space="0" w:color="auto"/>
              <w:right w:val="single" w:sz="6" w:space="0" w:color="auto"/>
            </w:tcBorders>
          </w:tcPr>
          <w:p w14:paraId="653664B0" w14:textId="77777777" w:rsidR="0079428C" w:rsidRPr="00B06D23" w:rsidRDefault="0079428C" w:rsidP="00C276D3">
            <w:pPr>
              <w:spacing w:before="20" w:after="40" w:line="240" w:lineRule="auto"/>
              <w:rPr>
                <w:sz w:val="20"/>
                <w:szCs w:val="20"/>
                <w:lang w:val="es-ES"/>
              </w:rPr>
            </w:pPr>
            <w:r w:rsidRPr="00B06D23">
              <w:rPr>
                <w:sz w:val="20"/>
                <w:szCs w:val="20"/>
                <w:lang w:val="es-ES"/>
              </w:rPr>
              <w:t>Gerenciamiento diario de caja</w:t>
            </w:r>
          </w:p>
          <w:p w14:paraId="72C1A78D" w14:textId="77777777" w:rsidR="0079428C" w:rsidRPr="00B06D23" w:rsidRDefault="0079428C" w:rsidP="00C276D3">
            <w:pPr>
              <w:spacing w:before="20" w:after="40" w:line="240" w:lineRule="auto"/>
              <w:rPr>
                <w:sz w:val="20"/>
                <w:szCs w:val="20"/>
                <w:lang w:val="es-ES"/>
              </w:rPr>
            </w:pPr>
            <w:r w:rsidRPr="00B06D23">
              <w:rPr>
                <w:sz w:val="20"/>
                <w:szCs w:val="20"/>
                <w:lang w:val="es-ES"/>
              </w:rPr>
              <w:t>Planear y controlar otros tributos</w:t>
            </w:r>
          </w:p>
          <w:p w14:paraId="0A45B07B" w14:textId="77777777" w:rsidR="0079428C" w:rsidRPr="00B06D23" w:rsidRDefault="0079428C" w:rsidP="00C276D3">
            <w:pPr>
              <w:spacing w:before="20" w:after="40" w:line="240" w:lineRule="auto"/>
              <w:rPr>
                <w:sz w:val="20"/>
                <w:szCs w:val="20"/>
                <w:lang w:val="es-ES"/>
              </w:rPr>
            </w:pPr>
            <w:r w:rsidRPr="00B06D23">
              <w:rPr>
                <w:sz w:val="20"/>
                <w:szCs w:val="20"/>
                <w:lang w:val="es-ES"/>
              </w:rPr>
              <w:t>Efectuar Pagos</w:t>
            </w:r>
          </w:p>
          <w:p w14:paraId="2E9013A9" w14:textId="77777777" w:rsidR="0079428C" w:rsidRPr="00B06D23" w:rsidRDefault="0079428C" w:rsidP="00C276D3">
            <w:pPr>
              <w:spacing w:before="20" w:after="40" w:line="240" w:lineRule="auto"/>
              <w:rPr>
                <w:sz w:val="20"/>
                <w:szCs w:val="20"/>
                <w:lang w:val="es-ES"/>
              </w:rPr>
            </w:pPr>
            <w:r w:rsidRPr="00B06D23">
              <w:rPr>
                <w:sz w:val="20"/>
                <w:szCs w:val="20"/>
                <w:lang w:val="es-ES"/>
              </w:rPr>
              <w:t>Comunicación con Bancos</w:t>
            </w:r>
          </w:p>
          <w:p w14:paraId="684EFDFA" w14:textId="77777777" w:rsidR="0079428C" w:rsidRPr="00B06D23" w:rsidRDefault="0079428C" w:rsidP="00C276D3">
            <w:pPr>
              <w:spacing w:before="20" w:after="40" w:line="240" w:lineRule="auto"/>
              <w:rPr>
                <w:sz w:val="20"/>
                <w:szCs w:val="20"/>
                <w:lang w:val="es-ES"/>
              </w:rPr>
            </w:pPr>
            <w:r w:rsidRPr="00B06D23">
              <w:rPr>
                <w:sz w:val="20"/>
                <w:szCs w:val="20"/>
                <w:lang w:val="es-ES"/>
              </w:rPr>
              <w:t>Planificar y controlar IVA</w:t>
            </w:r>
          </w:p>
          <w:p w14:paraId="397259E1" w14:textId="77777777" w:rsidR="0079428C" w:rsidRPr="00B06D23" w:rsidRDefault="0079428C" w:rsidP="00C276D3">
            <w:pPr>
              <w:spacing w:before="20" w:after="40" w:line="240" w:lineRule="auto"/>
              <w:rPr>
                <w:sz w:val="20"/>
                <w:szCs w:val="20"/>
                <w:lang w:val="es-ES"/>
              </w:rPr>
            </w:pPr>
            <w:r w:rsidRPr="00B06D23">
              <w:rPr>
                <w:sz w:val="20"/>
                <w:szCs w:val="20"/>
                <w:lang w:val="es-ES"/>
              </w:rPr>
              <w:t>Registro de datos maestros</w:t>
            </w:r>
          </w:p>
          <w:p w14:paraId="72EEE274" w14:textId="77777777" w:rsidR="0079428C" w:rsidRPr="00B06D23" w:rsidRDefault="0079428C" w:rsidP="00C276D3">
            <w:pPr>
              <w:spacing w:before="20" w:after="40" w:line="240" w:lineRule="auto"/>
              <w:rPr>
                <w:sz w:val="20"/>
                <w:szCs w:val="20"/>
                <w:lang w:val="es-ES"/>
              </w:rPr>
            </w:pPr>
            <w:r w:rsidRPr="00B06D23">
              <w:rPr>
                <w:sz w:val="20"/>
                <w:szCs w:val="20"/>
                <w:lang w:val="es-ES"/>
              </w:rPr>
              <w:t>Procesar pagos</w:t>
            </w:r>
          </w:p>
          <w:p w14:paraId="5172748D" w14:textId="77777777" w:rsidR="0079428C" w:rsidRPr="00B06D23" w:rsidRDefault="0079428C" w:rsidP="00C276D3">
            <w:pPr>
              <w:spacing w:before="20" w:after="40" w:line="240" w:lineRule="auto"/>
              <w:rPr>
                <w:sz w:val="20"/>
                <w:szCs w:val="20"/>
                <w:lang w:val="es-ES"/>
              </w:rPr>
            </w:pPr>
            <w:r w:rsidRPr="00B06D23">
              <w:rPr>
                <w:sz w:val="20"/>
                <w:szCs w:val="20"/>
                <w:lang w:val="es-ES"/>
              </w:rPr>
              <w:t>Procesar cierre periódico mensual</w:t>
            </w:r>
          </w:p>
          <w:p w14:paraId="2EEE1B2B" w14:textId="77777777" w:rsidR="0079428C" w:rsidRPr="00B06D23" w:rsidRDefault="0079428C" w:rsidP="00C276D3">
            <w:pPr>
              <w:spacing w:before="20" w:after="40" w:line="240" w:lineRule="auto"/>
              <w:rPr>
                <w:sz w:val="20"/>
                <w:szCs w:val="20"/>
                <w:lang w:val="es-ES"/>
              </w:rPr>
            </w:pPr>
            <w:r w:rsidRPr="00B06D23">
              <w:rPr>
                <w:sz w:val="20"/>
                <w:szCs w:val="20"/>
                <w:lang w:val="es-ES"/>
              </w:rPr>
              <w:t>Procesar cierre periódico diario</w:t>
            </w:r>
          </w:p>
          <w:p w14:paraId="7F950135" w14:textId="77777777" w:rsidR="0079428C" w:rsidRPr="00B06D23" w:rsidRDefault="0079428C" w:rsidP="00C276D3">
            <w:pPr>
              <w:spacing w:before="20" w:after="40" w:line="240" w:lineRule="auto"/>
              <w:rPr>
                <w:sz w:val="20"/>
                <w:szCs w:val="20"/>
                <w:lang w:val="es-ES"/>
              </w:rPr>
            </w:pPr>
            <w:r w:rsidRPr="00B06D23">
              <w:rPr>
                <w:sz w:val="20"/>
                <w:szCs w:val="20"/>
                <w:lang w:val="es-ES"/>
              </w:rPr>
              <w:t>Procesar reconciliación</w:t>
            </w:r>
          </w:p>
          <w:p w14:paraId="125C3E20" w14:textId="77777777" w:rsidR="0079428C" w:rsidRPr="00B06D23" w:rsidRDefault="0079428C" w:rsidP="00C276D3">
            <w:pPr>
              <w:spacing w:before="20" w:after="40" w:line="240" w:lineRule="auto"/>
              <w:rPr>
                <w:sz w:val="20"/>
                <w:szCs w:val="20"/>
                <w:lang w:val="es-ES"/>
              </w:rPr>
            </w:pPr>
            <w:r w:rsidRPr="00B06D23">
              <w:rPr>
                <w:sz w:val="20"/>
                <w:szCs w:val="20"/>
                <w:lang w:val="es-ES"/>
              </w:rPr>
              <w:t>Cierre anual</w:t>
            </w:r>
          </w:p>
          <w:p w14:paraId="77C80C71" w14:textId="77777777" w:rsidR="0079428C" w:rsidRPr="00B06D23" w:rsidRDefault="0079428C" w:rsidP="00C276D3">
            <w:pPr>
              <w:spacing w:before="20" w:after="40" w:line="240" w:lineRule="auto"/>
              <w:rPr>
                <w:sz w:val="20"/>
                <w:szCs w:val="20"/>
                <w:lang w:val="es-ES"/>
              </w:rPr>
            </w:pPr>
            <w:r w:rsidRPr="00B06D23">
              <w:rPr>
                <w:sz w:val="20"/>
                <w:szCs w:val="20"/>
                <w:lang w:val="es-ES"/>
              </w:rPr>
              <w:t>Impresión de Informes: Inventarios, Balances, etc.</w:t>
            </w:r>
          </w:p>
          <w:p w14:paraId="50923B71" w14:textId="77777777" w:rsidR="0079428C" w:rsidRPr="00B06D23" w:rsidRDefault="0079428C" w:rsidP="00C276D3">
            <w:pPr>
              <w:spacing w:before="20" w:after="40" w:line="240" w:lineRule="auto"/>
              <w:rPr>
                <w:sz w:val="20"/>
                <w:szCs w:val="20"/>
                <w:lang w:val="es-ES"/>
              </w:rPr>
            </w:pPr>
            <w:r w:rsidRPr="00B06D23">
              <w:rPr>
                <w:sz w:val="20"/>
                <w:szCs w:val="20"/>
                <w:lang w:val="es-ES"/>
              </w:rPr>
              <w:t>Movimientos Accionarios</w:t>
            </w:r>
          </w:p>
          <w:p w14:paraId="14FF4993" w14:textId="77777777" w:rsidR="0079428C" w:rsidRPr="00B06D23" w:rsidRDefault="0079428C" w:rsidP="00C276D3">
            <w:pPr>
              <w:spacing w:before="20" w:after="40" w:line="240" w:lineRule="auto"/>
              <w:rPr>
                <w:sz w:val="20"/>
                <w:szCs w:val="20"/>
                <w:lang w:val="es-ES"/>
              </w:rPr>
            </w:pPr>
            <w:r w:rsidRPr="00B06D23">
              <w:rPr>
                <w:sz w:val="20"/>
                <w:szCs w:val="20"/>
                <w:lang w:val="es-ES"/>
              </w:rPr>
              <w:t>Pago de dividendos</w:t>
            </w:r>
          </w:p>
          <w:p w14:paraId="20B658FB" w14:textId="77777777" w:rsidR="0079428C" w:rsidRPr="00B06D23" w:rsidRDefault="0079428C" w:rsidP="00C276D3">
            <w:pPr>
              <w:spacing w:before="20" w:after="40" w:line="240" w:lineRule="auto"/>
              <w:rPr>
                <w:rFonts w:cs="Calibri"/>
                <w:sz w:val="20"/>
                <w:szCs w:val="20"/>
                <w:lang w:val="es-ES"/>
              </w:rPr>
            </w:pPr>
            <w:r w:rsidRPr="00B06D23">
              <w:rPr>
                <w:sz w:val="20"/>
                <w:szCs w:val="20"/>
                <w:lang w:val="es-ES"/>
              </w:rPr>
              <w:t>Gerenciamiento de préstamos y financiamientos</w:t>
            </w:r>
          </w:p>
        </w:tc>
      </w:tr>
      <w:tr w:rsidR="0079428C" w:rsidRPr="00B06D23" w14:paraId="6BD8F2DA" w14:textId="77777777" w:rsidTr="00C276D3">
        <w:tc>
          <w:tcPr>
            <w:tcW w:w="2588" w:type="dxa"/>
            <w:tcBorders>
              <w:top w:val="single" w:sz="6" w:space="0" w:color="auto"/>
              <w:left w:val="single" w:sz="6" w:space="0" w:color="auto"/>
              <w:bottom w:val="single" w:sz="6" w:space="0" w:color="auto"/>
              <w:right w:val="single" w:sz="6" w:space="0" w:color="auto"/>
            </w:tcBorders>
            <w:vAlign w:val="center"/>
          </w:tcPr>
          <w:p w14:paraId="6E1962E7" w14:textId="77777777" w:rsidR="0079428C" w:rsidRPr="00B06D23" w:rsidRDefault="0079428C" w:rsidP="00C276D3">
            <w:pPr>
              <w:spacing w:before="20" w:after="40" w:line="240" w:lineRule="auto"/>
              <w:rPr>
                <w:sz w:val="20"/>
                <w:szCs w:val="20"/>
                <w:lang w:val="es-ES"/>
              </w:rPr>
            </w:pPr>
            <w:r w:rsidRPr="00B06D23">
              <w:rPr>
                <w:sz w:val="20"/>
                <w:szCs w:val="20"/>
                <w:lang w:val="es-ES"/>
              </w:rPr>
              <w:t>Gestión de Activos</w:t>
            </w:r>
          </w:p>
        </w:tc>
        <w:tc>
          <w:tcPr>
            <w:tcW w:w="6699" w:type="dxa"/>
            <w:tcBorders>
              <w:top w:val="single" w:sz="6" w:space="0" w:color="auto"/>
              <w:left w:val="single" w:sz="6" w:space="0" w:color="auto"/>
              <w:bottom w:val="single" w:sz="6" w:space="0" w:color="auto"/>
              <w:right w:val="single" w:sz="6" w:space="0" w:color="auto"/>
            </w:tcBorders>
          </w:tcPr>
          <w:p w14:paraId="5EF436EB" w14:textId="77777777" w:rsidR="0079428C" w:rsidRPr="00B06D23" w:rsidRDefault="0079428C" w:rsidP="00C276D3">
            <w:pPr>
              <w:spacing w:before="20" w:after="40" w:line="240" w:lineRule="auto"/>
              <w:rPr>
                <w:sz w:val="20"/>
                <w:szCs w:val="20"/>
                <w:lang w:val="es-ES"/>
              </w:rPr>
            </w:pPr>
            <w:r w:rsidRPr="00B06D23">
              <w:rPr>
                <w:sz w:val="20"/>
                <w:szCs w:val="20"/>
                <w:lang w:val="es-ES"/>
              </w:rPr>
              <w:t>Capitalizar activo</w:t>
            </w:r>
          </w:p>
          <w:p w14:paraId="59EBD114" w14:textId="77777777" w:rsidR="0079428C" w:rsidRPr="00B06D23" w:rsidRDefault="0079428C" w:rsidP="00C276D3">
            <w:pPr>
              <w:spacing w:before="20" w:after="40" w:line="240" w:lineRule="auto"/>
              <w:rPr>
                <w:sz w:val="20"/>
                <w:szCs w:val="20"/>
                <w:lang w:val="es-ES"/>
              </w:rPr>
            </w:pPr>
            <w:r w:rsidRPr="00B06D23">
              <w:rPr>
                <w:sz w:val="20"/>
                <w:szCs w:val="20"/>
                <w:lang w:val="es-ES"/>
              </w:rPr>
              <w:t>Inmovilizar inversiones</w:t>
            </w:r>
          </w:p>
          <w:p w14:paraId="46C0C1D5" w14:textId="77777777" w:rsidR="0079428C" w:rsidRPr="00B06D23" w:rsidRDefault="0079428C" w:rsidP="00C276D3">
            <w:pPr>
              <w:spacing w:before="20" w:after="40" w:line="240" w:lineRule="auto"/>
              <w:rPr>
                <w:rFonts w:cs="Calibri"/>
                <w:sz w:val="20"/>
                <w:szCs w:val="20"/>
                <w:lang w:val="es-ES"/>
              </w:rPr>
            </w:pPr>
            <w:r w:rsidRPr="00B06D23">
              <w:rPr>
                <w:sz w:val="20"/>
                <w:szCs w:val="20"/>
                <w:lang w:val="es-ES"/>
              </w:rPr>
              <w:t>Gerenciamiento de la vida útil de activos en servicio</w:t>
            </w:r>
          </w:p>
        </w:tc>
      </w:tr>
      <w:tr w:rsidR="0079428C" w:rsidRPr="00B06D23" w14:paraId="1E454DB5" w14:textId="77777777" w:rsidTr="00C276D3">
        <w:tc>
          <w:tcPr>
            <w:tcW w:w="2588" w:type="dxa"/>
            <w:tcBorders>
              <w:top w:val="single" w:sz="6" w:space="0" w:color="auto"/>
              <w:left w:val="single" w:sz="6" w:space="0" w:color="auto"/>
              <w:bottom w:val="single" w:sz="6" w:space="0" w:color="auto"/>
              <w:right w:val="single" w:sz="6" w:space="0" w:color="auto"/>
            </w:tcBorders>
            <w:vAlign w:val="center"/>
          </w:tcPr>
          <w:p w14:paraId="7CE9734D" w14:textId="77777777" w:rsidR="0079428C" w:rsidRPr="00B06D23" w:rsidRDefault="0079428C" w:rsidP="00C276D3">
            <w:pPr>
              <w:spacing w:before="20" w:after="40" w:line="240" w:lineRule="auto"/>
              <w:rPr>
                <w:sz w:val="20"/>
                <w:szCs w:val="20"/>
                <w:lang w:val="es-ES"/>
              </w:rPr>
            </w:pPr>
            <w:r w:rsidRPr="00B06D23">
              <w:rPr>
                <w:sz w:val="20"/>
                <w:szCs w:val="20"/>
                <w:lang w:val="es-ES"/>
              </w:rPr>
              <w:t>Recursos Humanos</w:t>
            </w:r>
          </w:p>
        </w:tc>
        <w:tc>
          <w:tcPr>
            <w:tcW w:w="6699" w:type="dxa"/>
            <w:tcBorders>
              <w:top w:val="single" w:sz="6" w:space="0" w:color="auto"/>
              <w:left w:val="single" w:sz="6" w:space="0" w:color="auto"/>
              <w:bottom w:val="single" w:sz="6" w:space="0" w:color="auto"/>
              <w:right w:val="single" w:sz="6" w:space="0" w:color="auto"/>
            </w:tcBorders>
          </w:tcPr>
          <w:p w14:paraId="22F95692" w14:textId="77777777" w:rsidR="0079428C" w:rsidRPr="00B06D23" w:rsidRDefault="0079428C" w:rsidP="00C276D3">
            <w:pPr>
              <w:spacing w:before="20" w:after="40" w:line="240" w:lineRule="auto"/>
              <w:rPr>
                <w:sz w:val="20"/>
                <w:szCs w:val="20"/>
                <w:lang w:val="es-ES"/>
              </w:rPr>
            </w:pPr>
            <w:r w:rsidRPr="00B06D23">
              <w:rPr>
                <w:sz w:val="20"/>
                <w:szCs w:val="20"/>
                <w:lang w:val="es-ES"/>
              </w:rPr>
              <w:t>Reclutamiento, admisión / transferencia / promoción</w:t>
            </w:r>
          </w:p>
          <w:p w14:paraId="527AF3C8" w14:textId="77777777" w:rsidR="0079428C" w:rsidRPr="00B06D23" w:rsidRDefault="0079428C" w:rsidP="00C276D3">
            <w:pPr>
              <w:spacing w:before="20" w:after="40" w:line="240" w:lineRule="auto"/>
              <w:rPr>
                <w:sz w:val="20"/>
                <w:szCs w:val="20"/>
                <w:lang w:val="es-ES"/>
              </w:rPr>
            </w:pPr>
            <w:r w:rsidRPr="00B06D23">
              <w:rPr>
                <w:sz w:val="20"/>
                <w:szCs w:val="20"/>
                <w:lang w:val="es-ES"/>
              </w:rPr>
              <w:t>Gestión de personal (movimientos)</w:t>
            </w:r>
          </w:p>
          <w:p w14:paraId="51E72A34" w14:textId="77777777" w:rsidR="0079428C" w:rsidRPr="00B06D23" w:rsidRDefault="0079428C" w:rsidP="00C276D3">
            <w:pPr>
              <w:spacing w:before="20" w:after="40" w:line="240" w:lineRule="auto"/>
              <w:rPr>
                <w:sz w:val="20"/>
                <w:szCs w:val="20"/>
                <w:lang w:val="es-ES"/>
              </w:rPr>
            </w:pPr>
            <w:r w:rsidRPr="00B06D23">
              <w:rPr>
                <w:sz w:val="20"/>
                <w:szCs w:val="20"/>
                <w:lang w:val="es-ES"/>
              </w:rPr>
              <w:t>Planeamiento de carrera y éxito de capacitación</w:t>
            </w:r>
          </w:p>
          <w:p w14:paraId="2C4AF1F8" w14:textId="77777777" w:rsidR="0079428C" w:rsidRPr="00B06D23" w:rsidRDefault="0079428C" w:rsidP="00C276D3">
            <w:pPr>
              <w:spacing w:before="20" w:after="40" w:line="240" w:lineRule="auto"/>
              <w:rPr>
                <w:sz w:val="20"/>
                <w:szCs w:val="20"/>
                <w:lang w:val="es-ES"/>
              </w:rPr>
            </w:pPr>
            <w:r w:rsidRPr="00B06D23">
              <w:rPr>
                <w:sz w:val="20"/>
                <w:szCs w:val="20"/>
                <w:lang w:val="es-ES"/>
              </w:rPr>
              <w:t>Registro de capacitación</w:t>
            </w:r>
          </w:p>
          <w:p w14:paraId="52319235" w14:textId="77777777" w:rsidR="0079428C" w:rsidRPr="00B06D23" w:rsidRDefault="0079428C" w:rsidP="00C276D3">
            <w:pPr>
              <w:spacing w:before="20" w:after="40" w:line="240" w:lineRule="auto"/>
              <w:rPr>
                <w:sz w:val="20"/>
                <w:szCs w:val="20"/>
                <w:lang w:val="es-ES"/>
              </w:rPr>
            </w:pPr>
            <w:r w:rsidRPr="00B06D23">
              <w:rPr>
                <w:sz w:val="20"/>
                <w:szCs w:val="20"/>
                <w:lang w:val="es-ES"/>
              </w:rPr>
              <w:t>Admisión e contabilización de mano de obra</w:t>
            </w:r>
          </w:p>
          <w:p w14:paraId="52C2D04C" w14:textId="77777777" w:rsidR="0079428C" w:rsidRPr="00B06D23" w:rsidRDefault="0079428C" w:rsidP="00C276D3">
            <w:pPr>
              <w:spacing w:before="20" w:after="40" w:line="240" w:lineRule="auto"/>
              <w:rPr>
                <w:sz w:val="20"/>
                <w:szCs w:val="20"/>
                <w:lang w:val="es-ES"/>
              </w:rPr>
            </w:pPr>
            <w:r w:rsidRPr="00B06D23">
              <w:rPr>
                <w:sz w:val="20"/>
                <w:szCs w:val="20"/>
                <w:lang w:val="es-ES"/>
              </w:rPr>
              <w:t>Administración del personal y pago</w:t>
            </w:r>
          </w:p>
          <w:p w14:paraId="16BDD3AC" w14:textId="77777777" w:rsidR="0079428C" w:rsidRPr="00B06D23" w:rsidRDefault="0079428C" w:rsidP="00C276D3">
            <w:pPr>
              <w:spacing w:before="20" w:after="40" w:line="240" w:lineRule="auto"/>
              <w:rPr>
                <w:sz w:val="20"/>
                <w:szCs w:val="20"/>
                <w:lang w:val="es-ES"/>
              </w:rPr>
            </w:pPr>
            <w:r w:rsidRPr="00B06D23">
              <w:rPr>
                <w:sz w:val="20"/>
                <w:szCs w:val="20"/>
                <w:lang w:val="es-ES"/>
              </w:rPr>
              <w:t>Mantenimiento de la estructura organizacional</w:t>
            </w:r>
          </w:p>
          <w:p w14:paraId="0B6E1BB8" w14:textId="77777777" w:rsidR="0079428C" w:rsidRPr="00B06D23" w:rsidRDefault="0079428C" w:rsidP="00C276D3">
            <w:pPr>
              <w:spacing w:before="20" w:after="40" w:line="240" w:lineRule="auto"/>
              <w:rPr>
                <w:sz w:val="20"/>
                <w:szCs w:val="20"/>
                <w:lang w:val="es-ES"/>
              </w:rPr>
            </w:pPr>
            <w:r w:rsidRPr="00B06D23">
              <w:rPr>
                <w:sz w:val="20"/>
                <w:szCs w:val="20"/>
                <w:lang w:val="es-ES"/>
              </w:rPr>
              <w:t>Administrar salud ocupacional y seguridad de trabajo</w:t>
            </w:r>
          </w:p>
          <w:p w14:paraId="1A2A1818" w14:textId="77777777" w:rsidR="0079428C" w:rsidRPr="00B06D23" w:rsidRDefault="0079428C" w:rsidP="00C276D3">
            <w:pPr>
              <w:spacing w:before="20" w:after="40" w:line="240" w:lineRule="auto"/>
              <w:rPr>
                <w:sz w:val="20"/>
                <w:szCs w:val="20"/>
                <w:lang w:val="es-ES"/>
              </w:rPr>
            </w:pPr>
            <w:r w:rsidRPr="00B06D23">
              <w:rPr>
                <w:sz w:val="20"/>
                <w:szCs w:val="20"/>
                <w:lang w:val="es-ES"/>
              </w:rPr>
              <w:t>Planificación del costo de personal</w:t>
            </w:r>
          </w:p>
          <w:p w14:paraId="5BEB17AD" w14:textId="77777777" w:rsidR="0079428C" w:rsidRPr="00B06D23" w:rsidRDefault="0079428C" w:rsidP="00C276D3">
            <w:pPr>
              <w:spacing w:before="20" w:after="40" w:line="240" w:lineRule="auto"/>
              <w:rPr>
                <w:sz w:val="20"/>
                <w:szCs w:val="20"/>
                <w:lang w:val="es-ES"/>
              </w:rPr>
            </w:pPr>
            <w:r w:rsidRPr="00B06D23">
              <w:rPr>
                <w:sz w:val="20"/>
                <w:szCs w:val="20"/>
                <w:lang w:val="es-ES"/>
              </w:rPr>
              <w:t>Procesamiento de obligaciones legales</w:t>
            </w:r>
          </w:p>
          <w:p w14:paraId="64F82236" w14:textId="77777777" w:rsidR="0079428C" w:rsidRPr="00B06D23" w:rsidRDefault="0079428C" w:rsidP="00C276D3">
            <w:pPr>
              <w:spacing w:before="20" w:after="40" w:line="240" w:lineRule="auto"/>
              <w:rPr>
                <w:rFonts w:cs="Calibri"/>
                <w:sz w:val="20"/>
                <w:szCs w:val="20"/>
                <w:lang w:val="es-ES"/>
              </w:rPr>
            </w:pPr>
            <w:r w:rsidRPr="00B06D23">
              <w:rPr>
                <w:sz w:val="20"/>
                <w:szCs w:val="20"/>
                <w:lang w:val="es-ES"/>
              </w:rPr>
              <w:t>Efectuar reajuste salarial</w:t>
            </w:r>
          </w:p>
        </w:tc>
      </w:tr>
    </w:tbl>
    <w:p w14:paraId="63C2D54B" w14:textId="77777777" w:rsidR="0079428C" w:rsidRPr="00B06D23" w:rsidRDefault="0079428C" w:rsidP="0079428C">
      <w:pPr>
        <w:spacing w:after="0"/>
        <w:rPr>
          <w:lang w:val="es-ES"/>
        </w:rPr>
      </w:pPr>
      <w:bookmarkStart w:id="226" w:name="_Toc80300465"/>
      <w:bookmarkStart w:id="227" w:name="_Toc206414881"/>
      <w:bookmarkStart w:id="228" w:name="_Toc206415023"/>
    </w:p>
    <w:p w14:paraId="447D9575" w14:textId="77777777" w:rsidR="0079428C" w:rsidRPr="00B06D23" w:rsidRDefault="0079428C" w:rsidP="002E20CA">
      <w:pPr>
        <w:pStyle w:val="Prrafodelista"/>
        <w:numPr>
          <w:ilvl w:val="0"/>
          <w:numId w:val="42"/>
        </w:numPr>
        <w:ind w:left="567" w:hanging="567"/>
        <w:rPr>
          <w:b/>
          <w:bCs/>
          <w:lang w:val="es-ES"/>
        </w:rPr>
      </w:pPr>
      <w:r w:rsidRPr="00B06D23">
        <w:rPr>
          <w:b/>
          <w:bCs/>
          <w:lang w:val="es-ES"/>
        </w:rPr>
        <w:t>Contabilidad y Finanzas, Costos, Tesorería, Presupuesto y Control de gestión</w:t>
      </w:r>
      <w:bookmarkEnd w:id="226"/>
      <w:bookmarkEnd w:id="227"/>
      <w:bookmarkEnd w:id="228"/>
    </w:p>
    <w:p w14:paraId="20DB82F8" w14:textId="77777777" w:rsidR="0079428C" w:rsidRPr="00B06D23" w:rsidRDefault="0079428C" w:rsidP="0079428C">
      <w:pPr>
        <w:rPr>
          <w:lang w:val="es-ES"/>
        </w:rPr>
      </w:pPr>
      <w:r w:rsidRPr="00B06D23">
        <w:rPr>
          <w:lang w:val="es-ES"/>
        </w:rPr>
        <w:t>Este sistema tiene por objetivo proporcionar la información económica-financiera necesaria para cumplir con las disposiciones de los entes fiscalizadores y con los requerimientos de un adecuado control administrativo y toma de decisiones. La configuración de este sistema debe permitir la operación y gestión de las unidades relacionadas con las funciones de la gerencia de administración y finanzas y la comunicación y registro de datos que provengan de otros sistemas.</w:t>
      </w:r>
    </w:p>
    <w:p w14:paraId="203C394A" w14:textId="77777777" w:rsidR="0079428C" w:rsidRPr="00B06D23" w:rsidRDefault="0079428C" w:rsidP="002E20CA">
      <w:pPr>
        <w:pStyle w:val="Prrafodelista"/>
        <w:numPr>
          <w:ilvl w:val="0"/>
          <w:numId w:val="42"/>
        </w:numPr>
        <w:ind w:left="567" w:hanging="567"/>
        <w:rPr>
          <w:b/>
          <w:bCs/>
          <w:lang w:val="es-ES"/>
        </w:rPr>
      </w:pPr>
      <w:bookmarkStart w:id="229" w:name="_Toc80300466"/>
      <w:bookmarkStart w:id="230" w:name="_Toc206414882"/>
      <w:bookmarkStart w:id="231" w:name="_Toc206415024"/>
      <w:r w:rsidRPr="00B06D23">
        <w:rPr>
          <w:b/>
          <w:bCs/>
          <w:lang w:val="es-ES"/>
        </w:rPr>
        <w:t>Recursos Humanos</w:t>
      </w:r>
      <w:bookmarkEnd w:id="229"/>
      <w:bookmarkEnd w:id="230"/>
      <w:bookmarkEnd w:id="231"/>
    </w:p>
    <w:p w14:paraId="416E9384" w14:textId="77777777" w:rsidR="0079428C" w:rsidRPr="00B06D23" w:rsidRDefault="0079428C" w:rsidP="0079428C">
      <w:pPr>
        <w:rPr>
          <w:lang w:val="es-ES"/>
        </w:rPr>
      </w:pPr>
      <w:r w:rsidRPr="00B06D23">
        <w:rPr>
          <w:lang w:val="es-ES"/>
        </w:rPr>
        <w:t>El sistema de Recursos Humanos tiene por objetivo el cálculo de las remuneraciones de la dotación que trabaja en la empresa distribuidora, además de proveer información relevante del personal que labora en la empresa distribuidora (datos personales, forma de pago, previsión, atributos, vacaciones, planillas leyes sociales, rentas, etc.)</w:t>
      </w:r>
    </w:p>
    <w:p w14:paraId="4A1DFB4E" w14:textId="77777777" w:rsidR="0079428C" w:rsidRPr="00B06D23" w:rsidRDefault="0079428C" w:rsidP="0079428C">
      <w:pPr>
        <w:rPr>
          <w:lang w:val="es-ES"/>
        </w:rPr>
      </w:pPr>
      <w:r w:rsidRPr="00B06D23">
        <w:rPr>
          <w:lang w:val="es-ES"/>
        </w:rPr>
        <w:t>Este sistema se encuentra centralizado en las oficinas centrales, realizando aquí todos los procesos mensuales, y enviando por vía electrónica los datos a las zonales para que se imprima las remuneraciones mensuales del personal de esas zonas, encontrándose en cada una de estas un encargado de las remuneraciones para ayudar en este proceso y proveer de los cambios en la información del personal.</w:t>
      </w:r>
    </w:p>
    <w:p w14:paraId="7B3EBCB1" w14:textId="77777777" w:rsidR="0079428C" w:rsidRPr="00B06D23" w:rsidRDefault="0079428C" w:rsidP="002E20CA">
      <w:pPr>
        <w:pStyle w:val="Prrafodelista"/>
        <w:numPr>
          <w:ilvl w:val="0"/>
          <w:numId w:val="42"/>
        </w:numPr>
        <w:ind w:left="567" w:hanging="567"/>
        <w:rPr>
          <w:b/>
          <w:bCs/>
          <w:lang w:val="es-ES"/>
        </w:rPr>
      </w:pPr>
      <w:bookmarkStart w:id="232" w:name="_Toc80300467"/>
      <w:bookmarkStart w:id="233" w:name="_Toc206414883"/>
      <w:bookmarkStart w:id="234" w:name="_Toc206415025"/>
      <w:r w:rsidRPr="00B06D23">
        <w:rPr>
          <w:b/>
          <w:bCs/>
          <w:lang w:val="es-ES"/>
        </w:rPr>
        <w:t>Abastecimiento – Gestión de Materiales</w:t>
      </w:r>
      <w:bookmarkEnd w:id="232"/>
      <w:bookmarkEnd w:id="233"/>
      <w:bookmarkEnd w:id="234"/>
    </w:p>
    <w:p w14:paraId="30D9DEF1" w14:textId="77777777" w:rsidR="0079428C" w:rsidRPr="00B06D23" w:rsidRDefault="0079428C" w:rsidP="0079428C">
      <w:pPr>
        <w:rPr>
          <w:lang w:val="es-ES"/>
        </w:rPr>
      </w:pPr>
      <w:r w:rsidRPr="00B06D23">
        <w:rPr>
          <w:lang w:val="es-ES"/>
        </w:rPr>
        <w:t>En este sistema se registran, controlan e informan los movimientos (entrada y salida) de materiales de las distintas bodegas, maneja adecuadamente los niveles de inventario y entrega de la información necesaria para la administración de éstos</w:t>
      </w:r>
    </w:p>
    <w:p w14:paraId="314A9B25" w14:textId="77777777" w:rsidR="0079428C" w:rsidRPr="00B06D23" w:rsidRDefault="0079428C" w:rsidP="0079428C">
      <w:pPr>
        <w:rPr>
          <w:lang w:val="es-ES"/>
        </w:rPr>
      </w:pPr>
      <w:r w:rsidRPr="00B06D23">
        <w:rPr>
          <w:lang w:val="es-ES"/>
        </w:rPr>
        <w:t>El sistema administra todo el proceso logístico de abastecimiento de la empresa, partiendo de las órdenes de compra, su relación con las cotizaciones realizadas, proporcionando a la vez una gestión de stocks, de forma tal de dar aviso de los materiales que requieren reposición, facilitando la dirección y control de los proveedores, contratistas y materiales, e la empresa.</w:t>
      </w:r>
    </w:p>
    <w:p w14:paraId="162E9AE2" w14:textId="77777777" w:rsidR="0079428C" w:rsidRPr="00B06D23" w:rsidRDefault="0079428C" w:rsidP="0079428C">
      <w:pPr>
        <w:rPr>
          <w:lang w:val="es-ES"/>
        </w:rPr>
      </w:pPr>
      <w:bookmarkStart w:id="235" w:name="_Toc80300468"/>
      <w:bookmarkStart w:id="236" w:name="_Toc206414884"/>
      <w:bookmarkStart w:id="237" w:name="_Toc206415026"/>
      <w:r w:rsidRPr="00B06D23">
        <w:rPr>
          <w:lang w:val="es-ES"/>
        </w:rPr>
        <w:t>Gestión de Activos – Control de Activo Fijo</w:t>
      </w:r>
      <w:bookmarkEnd w:id="235"/>
      <w:bookmarkEnd w:id="236"/>
      <w:bookmarkEnd w:id="237"/>
    </w:p>
    <w:p w14:paraId="14F88BAC" w14:textId="77777777" w:rsidR="0079428C" w:rsidRPr="00B06D23" w:rsidRDefault="0079428C" w:rsidP="0079428C">
      <w:pPr>
        <w:rPr>
          <w:lang w:val="es-ES"/>
        </w:rPr>
      </w:pPr>
      <w:r w:rsidRPr="00B06D23">
        <w:rPr>
          <w:lang w:val="es-ES"/>
        </w:rPr>
        <w:t>Realiza el registro y control del activo Fijo, , vida útil, depreciación, ubicación física y demás movimientos que afectan, manteniendo un control adecuado sobre estos bienes que representan montos importantes del activo de la empresa.</w:t>
      </w:r>
    </w:p>
    <w:p w14:paraId="1E130879" w14:textId="77777777" w:rsidR="0079428C" w:rsidRPr="00B06D23" w:rsidRDefault="0079428C" w:rsidP="002E20CA">
      <w:pPr>
        <w:pStyle w:val="Prrafodelista"/>
        <w:numPr>
          <w:ilvl w:val="0"/>
          <w:numId w:val="42"/>
        </w:numPr>
        <w:ind w:left="567" w:hanging="567"/>
        <w:rPr>
          <w:b/>
          <w:bCs/>
          <w:lang w:val="es-ES"/>
        </w:rPr>
      </w:pPr>
      <w:bookmarkStart w:id="238" w:name="_Toc80300469"/>
      <w:bookmarkStart w:id="239" w:name="_Toc206414885"/>
      <w:bookmarkStart w:id="240" w:name="_Toc206415027"/>
      <w:r w:rsidRPr="00B06D23">
        <w:rPr>
          <w:b/>
          <w:bCs/>
          <w:lang w:val="es-ES"/>
        </w:rPr>
        <w:t>Sistemas Centrales u Ofimática</w:t>
      </w:r>
      <w:bookmarkEnd w:id="238"/>
      <w:bookmarkEnd w:id="239"/>
      <w:bookmarkEnd w:id="240"/>
    </w:p>
    <w:p w14:paraId="5B38CC44" w14:textId="77777777" w:rsidR="0079428C" w:rsidRPr="00B06D23" w:rsidRDefault="0079428C" w:rsidP="0079428C">
      <w:pPr>
        <w:rPr>
          <w:lang w:val="es-ES"/>
        </w:rPr>
      </w:pPr>
      <w:r w:rsidRPr="00B06D23">
        <w:rPr>
          <w:lang w:val="es-ES"/>
        </w:rPr>
        <w:t>A este sistema se encuentran conectados todos los usuarios de los sistemas informáticos, los que requieren el uso y consulta de los diversos sistemas, intercambio de información, impresión, etc.</w:t>
      </w:r>
    </w:p>
    <w:p w14:paraId="2D014364" w14:textId="77777777" w:rsidR="0079428C" w:rsidRPr="00B06D23" w:rsidRDefault="0079428C" w:rsidP="0079428C">
      <w:pPr>
        <w:rPr>
          <w:lang w:val="es-ES"/>
        </w:rPr>
      </w:pPr>
      <w:r w:rsidRPr="00B06D23">
        <w:rPr>
          <w:lang w:val="es-ES"/>
        </w:rPr>
        <w:t>Los sistemas centrales engloban el software necesario para el correcto funcionamiento de los sistemas informáticos: operación, comunicación necesarios para todos los usuarios que lo requieran dentro de la red corporativa.</w:t>
      </w:r>
    </w:p>
    <w:p w14:paraId="24832261" w14:textId="77777777" w:rsidR="0079428C" w:rsidRPr="00B06D23" w:rsidRDefault="0079428C" w:rsidP="002E20CA">
      <w:pPr>
        <w:pStyle w:val="Prrafodelista"/>
        <w:numPr>
          <w:ilvl w:val="0"/>
          <w:numId w:val="42"/>
        </w:numPr>
        <w:ind w:left="567" w:hanging="567"/>
        <w:rPr>
          <w:b/>
          <w:bCs/>
          <w:lang w:val="es-ES"/>
        </w:rPr>
      </w:pPr>
      <w:bookmarkStart w:id="241" w:name="_Toc80300473"/>
      <w:bookmarkStart w:id="242" w:name="_Toc206414889"/>
      <w:bookmarkStart w:id="243" w:name="_Toc206415031"/>
      <w:r w:rsidRPr="00B06D23">
        <w:rPr>
          <w:b/>
          <w:bCs/>
          <w:lang w:val="es-ES"/>
        </w:rPr>
        <w:t>Sistema de Información Georeferenciada (GIS)</w:t>
      </w:r>
      <w:bookmarkEnd w:id="241"/>
      <w:bookmarkEnd w:id="242"/>
      <w:bookmarkEnd w:id="243"/>
    </w:p>
    <w:p w14:paraId="55CAAEEA" w14:textId="77777777" w:rsidR="0079428C" w:rsidRPr="00B06D23" w:rsidRDefault="0079428C" w:rsidP="0079428C">
      <w:pPr>
        <w:rPr>
          <w:lang w:val="es-ES"/>
        </w:rPr>
      </w:pPr>
      <w:r w:rsidRPr="00B06D23">
        <w:rPr>
          <w:lang w:val="es-ES"/>
        </w:rPr>
        <w:t>Permite la creación, modificación y acceso a la información de los activos, mediante una base de datos geográfica vinculada a los activos de transmisión. Entre las prestaciones del sistema se encuentra la de entregar interfaces a los diferentes niveles de usuarios del sistema e interrelacionarse con los demás sistemas de la empresa.</w:t>
      </w:r>
    </w:p>
    <w:p w14:paraId="5BA53261" w14:textId="77777777" w:rsidR="0079428C" w:rsidRPr="00B06D23" w:rsidRDefault="0079428C" w:rsidP="0079428C">
      <w:pPr>
        <w:rPr>
          <w:lang w:val="es-ES"/>
        </w:rPr>
      </w:pPr>
      <w:r w:rsidRPr="00B06D23">
        <w:rPr>
          <w:lang w:val="es-ES"/>
        </w:rPr>
        <w:t>Colabora estrechamente con el sistema de manutención y reparación de la red eléctrica, asistiendo a estos sistemas en la planificación y coordinación de las cuadrillas que ejecutan las dichas tareas.</w:t>
      </w:r>
    </w:p>
    <w:p w14:paraId="6B8A983D" w14:textId="0097C56E" w:rsidR="0079428C" w:rsidRPr="00B06D23" w:rsidRDefault="0079428C" w:rsidP="0079428C">
      <w:pPr>
        <w:spacing w:after="120"/>
        <w:jc w:val="center"/>
        <w:rPr>
          <w:b/>
          <w:bCs/>
          <w:sz w:val="20"/>
          <w:szCs w:val="20"/>
          <w:lang w:val="es-ES"/>
        </w:rPr>
      </w:pPr>
      <w:bookmarkStart w:id="244" w:name="_Toc27147879"/>
      <w:r w:rsidRPr="00B06D23">
        <w:rPr>
          <w:b/>
          <w:bCs/>
          <w:sz w:val="20"/>
          <w:szCs w:val="20"/>
          <w:lang w:val="es-ES"/>
        </w:rPr>
        <w:t xml:space="preserve">Tabla Nº </w:t>
      </w:r>
      <w:r w:rsidR="009F3AA0">
        <w:rPr>
          <w:b/>
          <w:bCs/>
          <w:sz w:val="20"/>
          <w:szCs w:val="20"/>
          <w:lang w:val="es-ES"/>
        </w:rPr>
        <w:t>7</w:t>
      </w:r>
      <w:r w:rsidRPr="00B06D23">
        <w:rPr>
          <w:b/>
          <w:bCs/>
          <w:sz w:val="20"/>
          <w:szCs w:val="20"/>
          <w:lang w:val="es-ES"/>
        </w:rPr>
        <w:t xml:space="preserve"> Sistema de Información Geográfica</w:t>
      </w:r>
      <w:bookmarkEnd w:id="244"/>
    </w:p>
    <w:tbl>
      <w:tblPr>
        <w:tblW w:w="8647"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701"/>
        <w:gridCol w:w="6946"/>
      </w:tblGrid>
      <w:tr w:rsidR="0079428C" w:rsidRPr="00B06D23" w14:paraId="1A08AA40" w14:textId="77777777" w:rsidTr="00C276D3">
        <w:trPr>
          <w:jc w:val="center"/>
        </w:trPr>
        <w:tc>
          <w:tcPr>
            <w:tcW w:w="1701" w:type="dxa"/>
            <w:tcBorders>
              <w:top w:val="single" w:sz="6" w:space="0" w:color="auto"/>
              <w:left w:val="single" w:sz="6" w:space="0" w:color="auto"/>
              <w:bottom w:val="single" w:sz="6" w:space="0" w:color="auto"/>
              <w:right w:val="single" w:sz="6" w:space="0" w:color="auto"/>
            </w:tcBorders>
            <w:vAlign w:val="center"/>
          </w:tcPr>
          <w:p w14:paraId="3EFF56AB" w14:textId="77777777" w:rsidR="0079428C" w:rsidRPr="00B06D23" w:rsidRDefault="0079428C" w:rsidP="00C276D3">
            <w:pPr>
              <w:spacing w:before="20" w:after="20" w:line="240" w:lineRule="auto"/>
              <w:jc w:val="left"/>
              <w:rPr>
                <w:sz w:val="20"/>
                <w:szCs w:val="20"/>
                <w:lang w:val="es-ES"/>
              </w:rPr>
            </w:pPr>
            <w:r w:rsidRPr="00B06D23">
              <w:rPr>
                <w:sz w:val="20"/>
                <w:szCs w:val="20"/>
                <w:lang w:val="es-ES"/>
              </w:rPr>
              <w:t>Sistema de Información Geográfica</w:t>
            </w:r>
          </w:p>
        </w:tc>
        <w:tc>
          <w:tcPr>
            <w:tcW w:w="6946" w:type="dxa"/>
            <w:tcBorders>
              <w:top w:val="single" w:sz="6" w:space="0" w:color="auto"/>
              <w:left w:val="single" w:sz="6" w:space="0" w:color="auto"/>
              <w:bottom w:val="single" w:sz="6" w:space="0" w:color="auto"/>
              <w:right w:val="single" w:sz="6" w:space="0" w:color="auto"/>
            </w:tcBorders>
          </w:tcPr>
          <w:p w14:paraId="64ACB75C" w14:textId="77777777" w:rsidR="0079428C" w:rsidRPr="00B06D23" w:rsidRDefault="0079428C" w:rsidP="00C276D3">
            <w:pPr>
              <w:spacing w:before="20" w:after="20" w:line="240" w:lineRule="auto"/>
              <w:rPr>
                <w:sz w:val="20"/>
                <w:szCs w:val="20"/>
                <w:lang w:val="es-ES"/>
              </w:rPr>
            </w:pPr>
            <w:r w:rsidRPr="00B06D23">
              <w:rPr>
                <w:sz w:val="20"/>
                <w:szCs w:val="20"/>
                <w:lang w:val="es-ES"/>
              </w:rPr>
              <w:t>Integración con demás sistemas.</w:t>
            </w:r>
          </w:p>
          <w:p w14:paraId="51032B13" w14:textId="77777777" w:rsidR="0079428C" w:rsidRPr="00B06D23" w:rsidRDefault="0079428C" w:rsidP="00C276D3">
            <w:pPr>
              <w:spacing w:before="20" w:after="20" w:line="240" w:lineRule="auto"/>
              <w:rPr>
                <w:sz w:val="20"/>
                <w:szCs w:val="20"/>
                <w:lang w:val="es-ES"/>
              </w:rPr>
            </w:pPr>
            <w:r w:rsidRPr="00B06D23">
              <w:rPr>
                <w:sz w:val="20"/>
                <w:szCs w:val="20"/>
                <w:lang w:val="es-ES"/>
              </w:rPr>
              <w:t>Interactúa con sistema de mantención y reparación de emergencia</w:t>
            </w:r>
          </w:p>
          <w:p w14:paraId="01984BE7" w14:textId="77777777" w:rsidR="0079428C" w:rsidRPr="00B06D23" w:rsidRDefault="0079428C" w:rsidP="00C276D3">
            <w:pPr>
              <w:spacing w:before="20" w:after="20" w:line="240" w:lineRule="auto"/>
              <w:rPr>
                <w:sz w:val="20"/>
                <w:szCs w:val="20"/>
                <w:lang w:val="es-ES"/>
              </w:rPr>
            </w:pPr>
            <w:r w:rsidRPr="00B06D23">
              <w:rPr>
                <w:sz w:val="20"/>
                <w:szCs w:val="20"/>
                <w:lang w:val="es-ES"/>
              </w:rPr>
              <w:t>Análisis y cálculos</w:t>
            </w:r>
          </w:p>
          <w:p w14:paraId="4AA481C8" w14:textId="77777777" w:rsidR="0079428C" w:rsidRPr="00B06D23" w:rsidRDefault="0079428C" w:rsidP="00C276D3">
            <w:pPr>
              <w:spacing w:before="20" w:after="20" w:line="240" w:lineRule="auto"/>
              <w:rPr>
                <w:sz w:val="20"/>
                <w:szCs w:val="20"/>
                <w:lang w:val="es-ES"/>
              </w:rPr>
            </w:pPr>
            <w:r w:rsidRPr="00B06D23">
              <w:rPr>
                <w:sz w:val="20"/>
                <w:szCs w:val="20"/>
                <w:lang w:val="es-ES"/>
              </w:rPr>
              <w:t>Creación de cartografía</w:t>
            </w:r>
          </w:p>
          <w:p w14:paraId="2413BD96" w14:textId="77777777" w:rsidR="0079428C" w:rsidRPr="00B06D23" w:rsidRDefault="0079428C" w:rsidP="00C276D3">
            <w:pPr>
              <w:spacing w:before="20" w:after="20" w:line="240" w:lineRule="auto"/>
              <w:rPr>
                <w:sz w:val="20"/>
                <w:szCs w:val="20"/>
                <w:lang w:val="es-ES"/>
              </w:rPr>
            </w:pPr>
            <w:r w:rsidRPr="00B06D23">
              <w:rPr>
                <w:sz w:val="20"/>
                <w:szCs w:val="20"/>
                <w:lang w:val="es-ES"/>
              </w:rPr>
              <w:t>Creación de informes</w:t>
            </w:r>
          </w:p>
          <w:p w14:paraId="245CDFF6" w14:textId="77777777" w:rsidR="0079428C" w:rsidRPr="00B06D23" w:rsidRDefault="0079428C" w:rsidP="00C276D3">
            <w:pPr>
              <w:spacing w:before="20" w:after="20" w:line="240" w:lineRule="auto"/>
              <w:rPr>
                <w:rFonts w:cs="Calibri"/>
                <w:sz w:val="20"/>
                <w:szCs w:val="20"/>
                <w:lang w:val="es-ES"/>
              </w:rPr>
            </w:pPr>
            <w:r w:rsidRPr="00B06D23">
              <w:rPr>
                <w:sz w:val="20"/>
                <w:szCs w:val="20"/>
                <w:lang w:val="es-ES"/>
              </w:rPr>
              <w:t>Visualización de Consultas</w:t>
            </w:r>
          </w:p>
        </w:tc>
      </w:tr>
    </w:tbl>
    <w:p w14:paraId="59781079" w14:textId="77777777" w:rsidR="0079428C" w:rsidRPr="00B06D23" w:rsidRDefault="0079428C" w:rsidP="0079428C">
      <w:pPr>
        <w:spacing w:after="120"/>
        <w:rPr>
          <w:lang w:val="es-ES"/>
        </w:rPr>
      </w:pPr>
    </w:p>
    <w:p w14:paraId="6E1CC6C6" w14:textId="77777777" w:rsidR="0079428C" w:rsidRPr="00B06D23" w:rsidRDefault="0079428C" w:rsidP="002E20CA">
      <w:pPr>
        <w:pStyle w:val="Prrafodelista"/>
        <w:numPr>
          <w:ilvl w:val="0"/>
          <w:numId w:val="42"/>
        </w:numPr>
        <w:ind w:left="567" w:hanging="567"/>
        <w:rPr>
          <w:b/>
          <w:bCs/>
          <w:lang w:val="es-ES"/>
        </w:rPr>
      </w:pPr>
      <w:r w:rsidRPr="00B06D23">
        <w:rPr>
          <w:b/>
          <w:bCs/>
          <w:lang w:val="es-ES"/>
        </w:rPr>
        <w:t xml:space="preserve">Sistema de Mantención </w:t>
      </w:r>
    </w:p>
    <w:p w14:paraId="61028B72" w14:textId="77777777" w:rsidR="0079428C" w:rsidRPr="00B06D23" w:rsidRDefault="0079428C" w:rsidP="0079428C">
      <w:pPr>
        <w:rPr>
          <w:lang w:val="es-ES"/>
        </w:rPr>
      </w:pPr>
      <w:r w:rsidRPr="00B06D23">
        <w:rPr>
          <w:lang w:val="es-ES"/>
        </w:rPr>
        <w:t>Dada la importancia del mantenimiento como actividad, y de los activos involucrados, es necesario que la empresa de Transmisión eficiente cuente con un sistema experto que mantenga toda la historia de las actividades de mantenimiento y del comportamiento de los distintos equipos e instalaciones, en forma independiente a la tradicional experiencia de los técnicos y profesionales de mayor antigüedad en la empresa.</w:t>
      </w:r>
    </w:p>
    <w:p w14:paraId="39AC7572" w14:textId="77777777" w:rsidR="0079428C" w:rsidRPr="00B06D23" w:rsidRDefault="0079428C" w:rsidP="0079428C">
      <w:pPr>
        <w:rPr>
          <w:lang w:val="es-ES"/>
        </w:rPr>
      </w:pPr>
      <w:r w:rsidRPr="00B06D23">
        <w:rPr>
          <w:lang w:val="es-ES"/>
        </w:rPr>
        <w:t>También maneja los inventarios de repuestos, dando señales de nivel crítico y de cantidades para reposición de stock, de niveles de consumo y de precios medios, que sirven para presupuestar y asignar costos de mantenimiento por equipos y por unidades o divisiones de operación.</w:t>
      </w:r>
    </w:p>
    <w:p w14:paraId="282278DF" w14:textId="48F5F2BB" w:rsidR="0079428C" w:rsidRPr="00B06D23" w:rsidRDefault="0079428C" w:rsidP="0079428C">
      <w:pPr>
        <w:spacing w:after="120"/>
        <w:jc w:val="center"/>
        <w:rPr>
          <w:b/>
          <w:bCs/>
          <w:sz w:val="20"/>
          <w:szCs w:val="20"/>
          <w:lang w:val="es-ES"/>
        </w:rPr>
      </w:pPr>
      <w:bookmarkStart w:id="245" w:name="_Toc27147880"/>
      <w:r w:rsidRPr="00B06D23">
        <w:rPr>
          <w:b/>
          <w:bCs/>
          <w:sz w:val="20"/>
          <w:szCs w:val="20"/>
          <w:lang w:val="es-ES"/>
        </w:rPr>
        <w:t xml:space="preserve">Tabla Nº </w:t>
      </w:r>
      <w:r w:rsidR="009F3AA0">
        <w:rPr>
          <w:b/>
          <w:bCs/>
          <w:sz w:val="20"/>
          <w:szCs w:val="20"/>
          <w:lang w:val="es-ES"/>
        </w:rPr>
        <w:t>8</w:t>
      </w:r>
      <w:r w:rsidRPr="00B06D23">
        <w:rPr>
          <w:b/>
          <w:bCs/>
          <w:sz w:val="20"/>
          <w:szCs w:val="20"/>
          <w:lang w:val="es-ES"/>
        </w:rPr>
        <w:t xml:space="preserve"> Sistemas de Mantención</w:t>
      </w:r>
      <w:bookmarkEnd w:id="245"/>
    </w:p>
    <w:tbl>
      <w:tblPr>
        <w:tblW w:w="8647"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701"/>
        <w:gridCol w:w="6946"/>
      </w:tblGrid>
      <w:tr w:rsidR="0079428C" w:rsidRPr="00B06D23" w14:paraId="7A7CDA32" w14:textId="77777777" w:rsidTr="00C276D3">
        <w:trPr>
          <w:jc w:val="center"/>
        </w:trPr>
        <w:tc>
          <w:tcPr>
            <w:tcW w:w="1701" w:type="dxa"/>
            <w:tcBorders>
              <w:top w:val="single" w:sz="6" w:space="0" w:color="auto"/>
              <w:left w:val="single" w:sz="6" w:space="0" w:color="auto"/>
              <w:bottom w:val="single" w:sz="6" w:space="0" w:color="auto"/>
              <w:right w:val="single" w:sz="6" w:space="0" w:color="auto"/>
            </w:tcBorders>
            <w:vAlign w:val="center"/>
          </w:tcPr>
          <w:p w14:paraId="4D83D06A" w14:textId="77777777" w:rsidR="0079428C" w:rsidRPr="00B06D23" w:rsidRDefault="0079428C" w:rsidP="00C276D3">
            <w:pPr>
              <w:spacing w:before="20" w:after="20" w:line="240" w:lineRule="auto"/>
              <w:rPr>
                <w:sz w:val="20"/>
                <w:szCs w:val="20"/>
                <w:lang w:val="es-ES"/>
              </w:rPr>
            </w:pPr>
            <w:r w:rsidRPr="00B06D23">
              <w:rPr>
                <w:sz w:val="20"/>
                <w:szCs w:val="20"/>
                <w:lang w:val="es-ES"/>
              </w:rPr>
              <w:t>Reparación y Emergencia</w:t>
            </w:r>
          </w:p>
        </w:tc>
        <w:tc>
          <w:tcPr>
            <w:tcW w:w="6946" w:type="dxa"/>
            <w:tcBorders>
              <w:top w:val="single" w:sz="6" w:space="0" w:color="auto"/>
              <w:left w:val="single" w:sz="6" w:space="0" w:color="auto"/>
              <w:bottom w:val="single" w:sz="6" w:space="0" w:color="auto"/>
              <w:right w:val="single" w:sz="6" w:space="0" w:color="auto"/>
            </w:tcBorders>
          </w:tcPr>
          <w:p w14:paraId="54DF3E56" w14:textId="77777777" w:rsidR="0079428C" w:rsidRPr="00B06D23" w:rsidRDefault="0079428C" w:rsidP="00C276D3">
            <w:pPr>
              <w:spacing w:before="20" w:after="20" w:line="240" w:lineRule="auto"/>
              <w:rPr>
                <w:sz w:val="20"/>
                <w:szCs w:val="20"/>
                <w:lang w:val="es-ES"/>
              </w:rPr>
            </w:pPr>
            <w:r w:rsidRPr="00B06D23">
              <w:rPr>
                <w:sz w:val="20"/>
                <w:szCs w:val="20"/>
                <w:lang w:val="es-ES"/>
              </w:rPr>
              <w:t>Ordenar salida de cuadrillas de reparación</w:t>
            </w:r>
          </w:p>
          <w:p w14:paraId="13673C31" w14:textId="77777777" w:rsidR="0079428C" w:rsidRPr="00B06D23" w:rsidRDefault="0079428C" w:rsidP="00C276D3">
            <w:pPr>
              <w:spacing w:before="20" w:after="20" w:line="240" w:lineRule="auto"/>
              <w:rPr>
                <w:rFonts w:cs="Calibri"/>
                <w:sz w:val="20"/>
                <w:szCs w:val="20"/>
                <w:lang w:val="es-ES"/>
              </w:rPr>
            </w:pPr>
            <w:r w:rsidRPr="00B06D23">
              <w:rPr>
                <w:sz w:val="20"/>
                <w:szCs w:val="20"/>
                <w:lang w:val="es-ES"/>
              </w:rPr>
              <w:t>Registro estadístico</w:t>
            </w:r>
          </w:p>
        </w:tc>
      </w:tr>
      <w:tr w:rsidR="0079428C" w:rsidRPr="00B06D23" w14:paraId="26E66800" w14:textId="77777777" w:rsidTr="00C276D3">
        <w:trPr>
          <w:jc w:val="center"/>
        </w:trPr>
        <w:tc>
          <w:tcPr>
            <w:tcW w:w="1701" w:type="dxa"/>
            <w:tcBorders>
              <w:top w:val="single" w:sz="6" w:space="0" w:color="auto"/>
              <w:left w:val="single" w:sz="6" w:space="0" w:color="auto"/>
              <w:bottom w:val="single" w:sz="6" w:space="0" w:color="auto"/>
              <w:right w:val="single" w:sz="6" w:space="0" w:color="auto"/>
            </w:tcBorders>
            <w:vAlign w:val="center"/>
          </w:tcPr>
          <w:p w14:paraId="22CBAB6C" w14:textId="77777777" w:rsidR="0079428C" w:rsidRPr="00B06D23" w:rsidRDefault="0079428C" w:rsidP="00C276D3">
            <w:pPr>
              <w:spacing w:before="20" w:after="20" w:line="240" w:lineRule="auto"/>
              <w:rPr>
                <w:sz w:val="20"/>
                <w:szCs w:val="20"/>
                <w:lang w:val="es-ES"/>
              </w:rPr>
            </w:pPr>
            <w:r w:rsidRPr="00B06D23">
              <w:rPr>
                <w:sz w:val="20"/>
                <w:szCs w:val="20"/>
                <w:lang w:val="es-ES"/>
              </w:rPr>
              <w:t>Gestión de Mantenimiento</w:t>
            </w:r>
          </w:p>
        </w:tc>
        <w:tc>
          <w:tcPr>
            <w:tcW w:w="6946" w:type="dxa"/>
            <w:tcBorders>
              <w:top w:val="single" w:sz="6" w:space="0" w:color="auto"/>
              <w:left w:val="single" w:sz="6" w:space="0" w:color="auto"/>
              <w:bottom w:val="single" w:sz="6" w:space="0" w:color="auto"/>
              <w:right w:val="single" w:sz="6" w:space="0" w:color="auto"/>
            </w:tcBorders>
          </w:tcPr>
          <w:p w14:paraId="7A7C206D" w14:textId="77777777" w:rsidR="0079428C" w:rsidRPr="00B06D23" w:rsidRDefault="0079428C" w:rsidP="00C276D3">
            <w:pPr>
              <w:spacing w:before="20" w:after="20" w:line="240" w:lineRule="auto"/>
              <w:rPr>
                <w:sz w:val="20"/>
                <w:szCs w:val="20"/>
                <w:lang w:val="es-ES"/>
              </w:rPr>
            </w:pPr>
            <w:r w:rsidRPr="00B06D23">
              <w:rPr>
                <w:sz w:val="20"/>
                <w:szCs w:val="20"/>
                <w:lang w:val="es-ES"/>
              </w:rPr>
              <w:t>Ejecución de servicios de manutención correctiva</w:t>
            </w:r>
          </w:p>
          <w:p w14:paraId="06F4FFC5" w14:textId="77777777" w:rsidR="0079428C" w:rsidRPr="00B06D23" w:rsidRDefault="0079428C" w:rsidP="00C276D3">
            <w:pPr>
              <w:spacing w:before="20" w:after="20" w:line="240" w:lineRule="auto"/>
              <w:rPr>
                <w:sz w:val="20"/>
                <w:szCs w:val="20"/>
                <w:lang w:val="es-ES"/>
              </w:rPr>
            </w:pPr>
            <w:r w:rsidRPr="00B06D23">
              <w:rPr>
                <w:sz w:val="20"/>
                <w:szCs w:val="20"/>
                <w:lang w:val="es-ES"/>
              </w:rPr>
              <w:t>Mantenimiento de emergencia</w:t>
            </w:r>
          </w:p>
          <w:p w14:paraId="0004D9F3" w14:textId="77777777" w:rsidR="0079428C" w:rsidRPr="00B06D23" w:rsidRDefault="0079428C" w:rsidP="00C276D3">
            <w:pPr>
              <w:spacing w:before="20" w:after="20" w:line="240" w:lineRule="auto"/>
              <w:rPr>
                <w:sz w:val="20"/>
                <w:szCs w:val="20"/>
                <w:lang w:val="es-ES"/>
              </w:rPr>
            </w:pPr>
            <w:r w:rsidRPr="00B06D23">
              <w:rPr>
                <w:sz w:val="20"/>
                <w:szCs w:val="20"/>
                <w:lang w:val="es-ES"/>
              </w:rPr>
              <w:t>Mantenimiento de preventivo</w:t>
            </w:r>
          </w:p>
          <w:p w14:paraId="5529E74A" w14:textId="77777777" w:rsidR="0079428C" w:rsidRPr="00B06D23" w:rsidRDefault="0079428C" w:rsidP="00C276D3">
            <w:pPr>
              <w:spacing w:before="20" w:after="20" w:line="240" w:lineRule="auto"/>
              <w:rPr>
                <w:sz w:val="20"/>
                <w:szCs w:val="20"/>
                <w:lang w:val="es-ES"/>
              </w:rPr>
            </w:pPr>
            <w:r w:rsidRPr="00B06D23">
              <w:rPr>
                <w:sz w:val="20"/>
                <w:szCs w:val="20"/>
                <w:lang w:val="es-ES"/>
              </w:rPr>
              <w:t>Registro de datos maestros da mantenimiento</w:t>
            </w:r>
          </w:p>
          <w:p w14:paraId="439ADB93" w14:textId="77777777" w:rsidR="0079428C" w:rsidRPr="00B06D23" w:rsidRDefault="0079428C" w:rsidP="00C276D3">
            <w:pPr>
              <w:spacing w:before="20" w:after="20" w:line="240" w:lineRule="auto"/>
              <w:rPr>
                <w:rFonts w:cs="Calibri"/>
                <w:sz w:val="20"/>
                <w:szCs w:val="20"/>
                <w:lang w:val="es-ES"/>
              </w:rPr>
            </w:pPr>
            <w:r w:rsidRPr="00B06D23">
              <w:rPr>
                <w:sz w:val="20"/>
                <w:szCs w:val="20"/>
                <w:lang w:val="es-ES"/>
              </w:rPr>
              <w:t>Seguimiento de Contratistas</w:t>
            </w:r>
          </w:p>
        </w:tc>
      </w:tr>
    </w:tbl>
    <w:p w14:paraId="70309A6B" w14:textId="77777777" w:rsidR="0079428C" w:rsidRPr="00B06D23" w:rsidRDefault="0079428C" w:rsidP="0079428C">
      <w:pPr>
        <w:spacing w:after="120"/>
        <w:rPr>
          <w:lang w:val="es-ES"/>
        </w:rPr>
      </w:pPr>
      <w:bookmarkStart w:id="246" w:name="_Toc80300471"/>
      <w:bookmarkStart w:id="247" w:name="_Toc206414887"/>
      <w:bookmarkStart w:id="248" w:name="_Toc206415029"/>
    </w:p>
    <w:p w14:paraId="13A0F395" w14:textId="77777777" w:rsidR="0079428C" w:rsidRPr="00B06D23" w:rsidRDefault="0079428C" w:rsidP="002E20CA">
      <w:pPr>
        <w:pStyle w:val="Prrafodelista"/>
        <w:numPr>
          <w:ilvl w:val="0"/>
          <w:numId w:val="42"/>
        </w:numPr>
        <w:ind w:left="567" w:hanging="567"/>
        <w:rPr>
          <w:b/>
          <w:bCs/>
          <w:lang w:val="es-ES"/>
        </w:rPr>
      </w:pPr>
      <w:r w:rsidRPr="00B06D23">
        <w:rPr>
          <w:b/>
          <w:bCs/>
          <w:lang w:val="es-ES"/>
        </w:rPr>
        <w:t>Sistema de Reparación y Emergencia</w:t>
      </w:r>
      <w:bookmarkEnd w:id="246"/>
      <w:bookmarkEnd w:id="247"/>
      <w:bookmarkEnd w:id="248"/>
    </w:p>
    <w:p w14:paraId="20AD6695" w14:textId="77777777" w:rsidR="0079428C" w:rsidRPr="00B06D23" w:rsidRDefault="0079428C" w:rsidP="0079428C">
      <w:pPr>
        <w:rPr>
          <w:lang w:val="es-ES"/>
        </w:rPr>
      </w:pPr>
      <w:r w:rsidRPr="00B06D23">
        <w:rPr>
          <w:lang w:val="es-ES"/>
        </w:rPr>
        <w:t>Se lleva el control de las órdenes de trabajo y se almacena para su posterior tratamiento estadístico. A su vez valoriza los trabajos efectuados asignando los gastos a los centros de costos correspondientes.</w:t>
      </w:r>
    </w:p>
    <w:p w14:paraId="37453899" w14:textId="77777777" w:rsidR="0079428C" w:rsidRPr="00B06D23" w:rsidRDefault="0079428C" w:rsidP="002E20CA">
      <w:pPr>
        <w:pStyle w:val="Prrafodelista"/>
        <w:numPr>
          <w:ilvl w:val="0"/>
          <w:numId w:val="42"/>
        </w:numPr>
        <w:ind w:left="567" w:hanging="567"/>
        <w:rPr>
          <w:b/>
          <w:bCs/>
          <w:lang w:val="es-ES"/>
        </w:rPr>
      </w:pPr>
      <w:bookmarkStart w:id="249" w:name="_Toc80300472"/>
      <w:bookmarkStart w:id="250" w:name="_Toc206414888"/>
      <w:bookmarkStart w:id="251" w:name="_Toc206415030"/>
      <w:r w:rsidRPr="00B06D23">
        <w:rPr>
          <w:b/>
          <w:bCs/>
          <w:lang w:val="es-ES"/>
        </w:rPr>
        <w:t>Sistema de Gestión de Mantenimiento</w:t>
      </w:r>
      <w:bookmarkEnd w:id="249"/>
      <w:bookmarkEnd w:id="250"/>
      <w:bookmarkEnd w:id="251"/>
    </w:p>
    <w:p w14:paraId="75991095" w14:textId="77777777" w:rsidR="0079428C" w:rsidRPr="00B06D23" w:rsidRDefault="0079428C" w:rsidP="0079428C">
      <w:pPr>
        <w:rPr>
          <w:lang w:val="es-ES"/>
        </w:rPr>
      </w:pPr>
      <w:r w:rsidRPr="00B06D23">
        <w:rPr>
          <w:lang w:val="es-ES"/>
        </w:rPr>
        <w:t>El Sistema de Mantenimiento se encarga de llevar el registro de las operaciones de mantenimiento que ejecutan sobre las instalaciones de la empresa, permitiendo el control de los servicios tercerizados, facilitando el control preventivo de las instalaciones de la distribuidora. Este sistema posee enlaces con los sistemas de reparación y emergencia y con el geográfico.</w:t>
      </w:r>
    </w:p>
    <w:p w14:paraId="0C1E1D84" w14:textId="77777777" w:rsidR="0079428C" w:rsidRPr="00B06D23" w:rsidRDefault="0079428C" w:rsidP="002E20CA">
      <w:pPr>
        <w:pStyle w:val="Prrafodelista"/>
        <w:numPr>
          <w:ilvl w:val="0"/>
          <w:numId w:val="42"/>
        </w:numPr>
        <w:ind w:left="567" w:hanging="567"/>
        <w:rPr>
          <w:b/>
          <w:bCs/>
          <w:lang w:val="es-ES"/>
        </w:rPr>
      </w:pPr>
      <w:r w:rsidRPr="00B06D23">
        <w:rPr>
          <w:b/>
          <w:bCs/>
          <w:lang w:val="es-ES"/>
        </w:rPr>
        <w:t>Otro software corporativo:</w:t>
      </w:r>
    </w:p>
    <w:p w14:paraId="7A5F0E51" w14:textId="77777777" w:rsidR="0079428C" w:rsidRPr="00B06D23" w:rsidRDefault="0079428C" w:rsidP="002E20CA">
      <w:pPr>
        <w:numPr>
          <w:ilvl w:val="0"/>
          <w:numId w:val="39"/>
        </w:numPr>
        <w:rPr>
          <w:lang w:val="es-ES"/>
        </w:rPr>
      </w:pPr>
      <w:r w:rsidRPr="00B06D23">
        <w:rPr>
          <w:lang w:val="es-ES"/>
        </w:rPr>
        <w:t>Intranet</w:t>
      </w:r>
    </w:p>
    <w:p w14:paraId="2BB53090" w14:textId="77777777" w:rsidR="0079428C" w:rsidRPr="00B06D23" w:rsidRDefault="0079428C" w:rsidP="0079428C">
      <w:pPr>
        <w:rPr>
          <w:lang w:val="es-ES"/>
        </w:rPr>
      </w:pPr>
      <w:r w:rsidRPr="00B06D23">
        <w:rPr>
          <w:lang w:val="es-ES"/>
        </w:rPr>
        <w:t>Corresponde a la red informática interna de la empresa, la cual permite interconectar los recursos informáticos de la misma, tanto a nivel de hardware, software y documentos, según las políticas desplegadas por la empresa en este ámbito. La gestión y administración de la intranet corporativa se realiza a través de un software diseñado para cumplir dicha tarea.</w:t>
      </w:r>
    </w:p>
    <w:p w14:paraId="6114D6F5" w14:textId="77777777" w:rsidR="0079428C" w:rsidRPr="00B06D23" w:rsidRDefault="0079428C" w:rsidP="002E20CA">
      <w:pPr>
        <w:numPr>
          <w:ilvl w:val="0"/>
          <w:numId w:val="39"/>
        </w:numPr>
        <w:rPr>
          <w:lang w:val="es-ES"/>
        </w:rPr>
      </w:pPr>
      <w:r w:rsidRPr="00B06D23">
        <w:rPr>
          <w:lang w:val="es-ES"/>
        </w:rPr>
        <w:t>Sistema Web</w:t>
      </w:r>
    </w:p>
    <w:p w14:paraId="77875C41" w14:textId="77777777" w:rsidR="0079428C" w:rsidRPr="00B06D23" w:rsidRDefault="0079428C" w:rsidP="002E20CA">
      <w:pPr>
        <w:numPr>
          <w:ilvl w:val="0"/>
          <w:numId w:val="39"/>
        </w:numPr>
        <w:rPr>
          <w:lang w:val="es-ES"/>
        </w:rPr>
      </w:pPr>
      <w:r w:rsidRPr="00B06D23">
        <w:rPr>
          <w:lang w:val="es-ES"/>
        </w:rPr>
        <w:t>Sistema de Gestión Digital de Documentos</w:t>
      </w:r>
    </w:p>
    <w:p w14:paraId="1EEB0EFE" w14:textId="77777777" w:rsidR="0079428C" w:rsidRPr="00B06D23" w:rsidRDefault="0079428C" w:rsidP="0079428C">
      <w:pPr>
        <w:rPr>
          <w:lang w:val="es-ES"/>
        </w:rPr>
      </w:pPr>
      <w:r w:rsidRPr="00B06D23">
        <w:rPr>
          <w:lang w:val="es-ES"/>
        </w:rPr>
        <w:t>El hardware de Macroinformática comprende los Servidores, monitores, unidades de respaldo, UPS y demás elementos requeridos para instalar, operar y controlar el software de la empresa tanto en la casa matriz como en las regionales que sean requeridas de la empresa modelo.</w:t>
      </w:r>
    </w:p>
    <w:p w14:paraId="3AAAF6F9" w14:textId="77777777" w:rsidR="0079428C" w:rsidRPr="00B06D23" w:rsidRDefault="0079428C" w:rsidP="0079428C">
      <w:pPr>
        <w:rPr>
          <w:lang w:val="es-ES"/>
        </w:rPr>
      </w:pPr>
      <w:r w:rsidRPr="00B06D23">
        <w:rPr>
          <w:lang w:val="es-ES"/>
        </w:rPr>
        <w:t>En el Anexo COMA_3 Modelo/Datos/ Equipamiento Informático se encuentra detallado el equipamiento de Software y Hardware considerado.</w:t>
      </w:r>
    </w:p>
    <w:p w14:paraId="4BD179FC" w14:textId="77777777" w:rsidR="0079428C" w:rsidRPr="00FD055F" w:rsidRDefault="0079428C" w:rsidP="0079428C">
      <w:pPr>
        <w:pStyle w:val="Ttulo4"/>
      </w:pPr>
      <w:bookmarkStart w:id="252" w:name="_Toc34398150"/>
      <w:bookmarkStart w:id="253" w:name="_Toc34687244"/>
      <w:r w:rsidRPr="00FD055F">
        <w:t>Equipamiento de comunicaciones</w:t>
      </w:r>
      <w:bookmarkEnd w:id="252"/>
      <w:bookmarkEnd w:id="253"/>
    </w:p>
    <w:p w14:paraId="3E4195FC" w14:textId="77777777" w:rsidR="0079428C" w:rsidRPr="00B06D23" w:rsidRDefault="0079428C" w:rsidP="0079428C">
      <w:pPr>
        <w:rPr>
          <w:lang w:val="es-ES"/>
        </w:rPr>
      </w:pPr>
      <w:r w:rsidRPr="00B06D23">
        <w:rPr>
          <w:lang w:val="es-ES"/>
        </w:rPr>
        <w:t>Para las comunicaciones se han considerado los siguientes equipamientos para el personal de planilla:</w:t>
      </w:r>
    </w:p>
    <w:p w14:paraId="7523AB6D" w14:textId="77777777" w:rsidR="0079428C" w:rsidRPr="00B06D23" w:rsidRDefault="0079428C" w:rsidP="002E20CA">
      <w:pPr>
        <w:pStyle w:val="Prrafodelista"/>
        <w:numPr>
          <w:ilvl w:val="0"/>
          <w:numId w:val="55"/>
        </w:numPr>
        <w:rPr>
          <w:lang w:val="es-ES"/>
        </w:rPr>
      </w:pPr>
      <w:r w:rsidRPr="00B06D23">
        <w:rPr>
          <w:lang w:val="es-ES"/>
        </w:rPr>
        <w:t>Central telefónica IP: para las comunicaciones del personal administrativo y apoyo del edificio corporativo y regionales.</w:t>
      </w:r>
    </w:p>
    <w:p w14:paraId="74746E5A" w14:textId="77777777" w:rsidR="0079428C" w:rsidRPr="00B06D23" w:rsidRDefault="0079428C" w:rsidP="002E20CA">
      <w:pPr>
        <w:pStyle w:val="Prrafodelista"/>
        <w:numPr>
          <w:ilvl w:val="0"/>
          <w:numId w:val="55"/>
        </w:numPr>
        <w:rPr>
          <w:lang w:val="es-ES"/>
        </w:rPr>
      </w:pPr>
      <w:r w:rsidRPr="00B06D23">
        <w:rPr>
          <w:lang w:val="es-ES"/>
        </w:rPr>
        <w:t>Handys: para las comunicaciones operativas entre los técnicos de terreno , y con las regionales.</w:t>
      </w:r>
    </w:p>
    <w:p w14:paraId="31BA7958" w14:textId="77777777" w:rsidR="0079428C" w:rsidRPr="00B06D23" w:rsidRDefault="0079428C" w:rsidP="002E20CA">
      <w:pPr>
        <w:pStyle w:val="Prrafodelista"/>
        <w:numPr>
          <w:ilvl w:val="0"/>
          <w:numId w:val="55"/>
        </w:numPr>
        <w:rPr>
          <w:lang w:val="es-ES"/>
        </w:rPr>
      </w:pPr>
      <w:r w:rsidRPr="00B06D23">
        <w:rPr>
          <w:lang w:val="es-ES"/>
        </w:rPr>
        <w:t xml:space="preserve">Telefonos Celulares: para los puestos gerenciales, jefes departamento, y puestos operativos clave que requieren comunicaciones móviles tales  como ingenieros de operación y mantenimiento, supervisores y  técnicos de operación. </w:t>
      </w:r>
    </w:p>
    <w:p w14:paraId="59CDE82E" w14:textId="77777777" w:rsidR="0079428C" w:rsidRPr="00B06D23" w:rsidRDefault="0079428C" w:rsidP="002E20CA">
      <w:pPr>
        <w:pStyle w:val="Prrafodelista"/>
        <w:numPr>
          <w:ilvl w:val="0"/>
          <w:numId w:val="55"/>
        </w:numPr>
        <w:rPr>
          <w:lang w:val="es-ES"/>
        </w:rPr>
      </w:pPr>
      <w:r w:rsidRPr="00B06D23">
        <w:rPr>
          <w:lang w:val="es-ES"/>
        </w:rPr>
        <w:t>Telefonos satelitales: se ha previsto 4 telefonos satelitales para el caso de emergencias donde no funcionen el resto de las comunicaciones.</w:t>
      </w:r>
    </w:p>
    <w:p w14:paraId="4B5103ED" w14:textId="77777777" w:rsidR="0079428C" w:rsidRPr="00B06D23" w:rsidRDefault="0079428C" w:rsidP="0079428C">
      <w:pPr>
        <w:rPr>
          <w:lang w:val="es-ES"/>
        </w:rPr>
      </w:pPr>
      <w:r w:rsidRPr="00B06D23">
        <w:rPr>
          <w:lang w:val="es-ES"/>
        </w:rPr>
        <w:t>En el Anexo COMA_3 Modelo/Datos/ Equipamiento Informático se encuentra detallado la cantidad y costo unitario considerado para estos equipamientos.</w:t>
      </w:r>
    </w:p>
    <w:p w14:paraId="7E10856B" w14:textId="77777777" w:rsidR="0079428C" w:rsidRPr="00FD055F" w:rsidRDefault="0079428C" w:rsidP="0079428C">
      <w:pPr>
        <w:pStyle w:val="Ttulo4"/>
      </w:pPr>
      <w:bookmarkStart w:id="254" w:name="_Toc32390205"/>
      <w:bookmarkStart w:id="255" w:name="_Toc34398151"/>
      <w:bookmarkStart w:id="256" w:name="_Toc34687245"/>
      <w:r w:rsidRPr="00FD055F">
        <w:t>Sistema SCADA (Software y Hardware).</w:t>
      </w:r>
      <w:bookmarkEnd w:id="254"/>
      <w:bookmarkEnd w:id="255"/>
      <w:bookmarkEnd w:id="256"/>
    </w:p>
    <w:p w14:paraId="5ADB5068" w14:textId="77777777" w:rsidR="0079428C" w:rsidRPr="00B06D23" w:rsidRDefault="0079428C" w:rsidP="0079428C">
      <w:pPr>
        <w:rPr>
          <w:lang w:val="es-ES"/>
        </w:rPr>
      </w:pPr>
      <w:r w:rsidRPr="00B06D23">
        <w:rPr>
          <w:lang w:val="es-ES"/>
        </w:rPr>
        <w:t>Comprende el Sistema de tele supervisión y control de la red de transmisión, o sistema SCADA, considerando las características del sistema, fundamentalmente en lo referente a la cantidad de subestaciones telecontroladas y la cantidad de paños de cada subestación.</w:t>
      </w:r>
    </w:p>
    <w:p w14:paraId="2AA88D69" w14:textId="77777777" w:rsidR="0079428C" w:rsidRPr="00B06D23" w:rsidRDefault="0079428C" w:rsidP="0079428C">
      <w:pPr>
        <w:rPr>
          <w:lang w:val="es-ES"/>
        </w:rPr>
      </w:pPr>
      <w:r w:rsidRPr="00B06D23">
        <w:rPr>
          <w:lang w:val="es-ES"/>
        </w:rPr>
        <w:t>Respecto al centro de control del sistema se especifica la instalación de un Centro de Control Principal en el edificio cabecera de la zona principal (Sede Cerro Navía) , y un Centro de Control de respaldo (Sede Alto Jahuel). La función de este centro de respaldo es asumir la operación remota del sistema en caso de no disponibilidad del Centro de Control, Principal por falla técnica o caso de fuerza mayor, como un sismo importante.</w:t>
      </w:r>
    </w:p>
    <w:p w14:paraId="1F45B0A4" w14:textId="77777777" w:rsidR="0079428C" w:rsidRPr="00B06D23" w:rsidRDefault="0079428C" w:rsidP="0079428C">
      <w:pPr>
        <w:rPr>
          <w:lang w:val="es-ES"/>
        </w:rPr>
      </w:pPr>
      <w:r w:rsidRPr="00B06D23">
        <w:rPr>
          <w:lang w:val="es-ES"/>
        </w:rPr>
        <w:t>Las características principales del sistema SCADA dimensionado, que corresponden a las habituales incorporadas en los sistemas actuales, son las siguientes:</w:t>
      </w:r>
    </w:p>
    <w:p w14:paraId="4F963F98" w14:textId="77777777" w:rsidR="0079428C" w:rsidRPr="00B06D23" w:rsidRDefault="0079428C" w:rsidP="0079428C">
      <w:pPr>
        <w:rPr>
          <w:lang w:val="es-ES"/>
        </w:rPr>
      </w:pPr>
      <w:r w:rsidRPr="00B06D23">
        <w:rPr>
          <w:lang w:val="es-ES"/>
        </w:rPr>
        <w:t>La especificación de las funciones requeridas para el SCADA</w:t>
      </w:r>
    </w:p>
    <w:p w14:paraId="52129704" w14:textId="77777777" w:rsidR="0079428C" w:rsidRPr="00B06D23" w:rsidRDefault="0079428C" w:rsidP="002E20CA">
      <w:pPr>
        <w:numPr>
          <w:ilvl w:val="0"/>
          <w:numId w:val="41"/>
        </w:numPr>
        <w:spacing w:after="0"/>
        <w:ind w:left="567" w:hanging="567"/>
        <w:rPr>
          <w:lang w:val="es-ES"/>
        </w:rPr>
      </w:pPr>
      <w:r w:rsidRPr="00B06D23">
        <w:rPr>
          <w:lang w:val="es-ES"/>
        </w:rPr>
        <w:t>Comando y supervisión del sistema de transmisión</w:t>
      </w:r>
    </w:p>
    <w:p w14:paraId="2E384467" w14:textId="77777777" w:rsidR="0079428C" w:rsidRPr="00B06D23" w:rsidRDefault="0079428C" w:rsidP="002E20CA">
      <w:pPr>
        <w:numPr>
          <w:ilvl w:val="0"/>
          <w:numId w:val="41"/>
        </w:numPr>
        <w:spacing w:after="0"/>
        <w:ind w:left="567" w:hanging="567"/>
        <w:rPr>
          <w:lang w:val="es-ES"/>
        </w:rPr>
      </w:pPr>
      <w:r w:rsidRPr="00B06D23">
        <w:rPr>
          <w:lang w:val="es-ES"/>
        </w:rPr>
        <w:t>Contingencias de la red en tiempo real.</w:t>
      </w:r>
    </w:p>
    <w:p w14:paraId="3FA4F5FD" w14:textId="77777777" w:rsidR="0079428C" w:rsidRPr="00B06D23" w:rsidRDefault="0079428C" w:rsidP="002E20CA">
      <w:pPr>
        <w:numPr>
          <w:ilvl w:val="0"/>
          <w:numId w:val="41"/>
        </w:numPr>
        <w:spacing w:after="0"/>
        <w:ind w:left="567" w:hanging="567"/>
        <w:rPr>
          <w:lang w:val="es-ES"/>
        </w:rPr>
      </w:pPr>
      <w:r w:rsidRPr="00B06D23">
        <w:rPr>
          <w:lang w:val="es-ES"/>
        </w:rPr>
        <w:t>Determinación de puntos de falla.</w:t>
      </w:r>
    </w:p>
    <w:p w14:paraId="367DCB32" w14:textId="77777777" w:rsidR="0079428C" w:rsidRPr="00B06D23" w:rsidRDefault="0079428C" w:rsidP="002E20CA">
      <w:pPr>
        <w:numPr>
          <w:ilvl w:val="0"/>
          <w:numId w:val="41"/>
        </w:numPr>
        <w:spacing w:after="0"/>
        <w:ind w:left="567" w:hanging="567"/>
        <w:rPr>
          <w:lang w:val="es-ES"/>
        </w:rPr>
      </w:pPr>
      <w:r w:rsidRPr="00B06D23">
        <w:rPr>
          <w:lang w:val="es-ES"/>
        </w:rPr>
        <w:t>Estimador de estado</w:t>
      </w:r>
    </w:p>
    <w:p w14:paraId="12E9004E" w14:textId="77777777" w:rsidR="0079428C" w:rsidRPr="00B06D23" w:rsidRDefault="0079428C" w:rsidP="002E20CA">
      <w:pPr>
        <w:numPr>
          <w:ilvl w:val="0"/>
          <w:numId w:val="41"/>
        </w:numPr>
        <w:spacing w:after="0"/>
        <w:ind w:left="567" w:hanging="567"/>
        <w:rPr>
          <w:lang w:val="es-ES"/>
        </w:rPr>
      </w:pPr>
      <w:r w:rsidRPr="00B06D23">
        <w:rPr>
          <w:lang w:val="es-ES"/>
        </w:rPr>
        <w:t>Automatización de acciones de control.</w:t>
      </w:r>
    </w:p>
    <w:p w14:paraId="0FBD5A39" w14:textId="77777777" w:rsidR="0079428C" w:rsidRPr="00B06D23" w:rsidRDefault="0079428C" w:rsidP="002E20CA">
      <w:pPr>
        <w:numPr>
          <w:ilvl w:val="0"/>
          <w:numId w:val="41"/>
        </w:numPr>
        <w:ind w:left="567" w:hanging="567"/>
        <w:rPr>
          <w:lang w:val="es-ES"/>
        </w:rPr>
      </w:pPr>
      <w:r w:rsidRPr="00B06D23">
        <w:rPr>
          <w:lang w:val="es-ES"/>
        </w:rPr>
        <w:t>Flujo de potencia</w:t>
      </w:r>
    </w:p>
    <w:p w14:paraId="6E3B04C9" w14:textId="77777777" w:rsidR="0079428C" w:rsidRPr="00B06D23" w:rsidRDefault="0079428C" w:rsidP="002E20CA">
      <w:pPr>
        <w:numPr>
          <w:ilvl w:val="0"/>
          <w:numId w:val="41"/>
        </w:numPr>
        <w:ind w:left="567" w:hanging="567"/>
        <w:rPr>
          <w:lang w:val="es-ES"/>
        </w:rPr>
      </w:pPr>
      <w:r w:rsidRPr="00B06D23">
        <w:rPr>
          <w:lang w:val="es-ES"/>
        </w:rPr>
        <w:t xml:space="preserve">Equipamiento en los centros de operación con las licencias de servidores, </w:t>
      </w:r>
    </w:p>
    <w:p w14:paraId="6933892E" w14:textId="77777777" w:rsidR="0079428C" w:rsidRPr="00B06D23" w:rsidRDefault="0079428C" w:rsidP="0079428C">
      <w:pPr>
        <w:rPr>
          <w:u w:val="single"/>
          <w:lang w:val="es-ES"/>
        </w:rPr>
      </w:pPr>
      <w:r w:rsidRPr="00B06D23">
        <w:rPr>
          <w:u w:val="single"/>
          <w:lang w:val="es-ES"/>
        </w:rPr>
        <w:t>Software:</w:t>
      </w:r>
    </w:p>
    <w:p w14:paraId="792294C8" w14:textId="77777777" w:rsidR="0079428C" w:rsidRPr="00B06D23" w:rsidRDefault="0079428C" w:rsidP="0079428C">
      <w:pPr>
        <w:spacing w:after="0"/>
        <w:rPr>
          <w:lang w:val="es-ES"/>
        </w:rPr>
      </w:pPr>
      <w:r w:rsidRPr="00B06D23">
        <w:rPr>
          <w:lang w:val="es-ES"/>
        </w:rPr>
        <w:t>Licencia de servidores</w:t>
      </w:r>
    </w:p>
    <w:p w14:paraId="3EB2AC26" w14:textId="77777777" w:rsidR="0079428C" w:rsidRPr="00B06D23" w:rsidRDefault="0079428C" w:rsidP="0079428C">
      <w:pPr>
        <w:spacing w:after="0"/>
        <w:rPr>
          <w:lang w:val="es-ES"/>
        </w:rPr>
      </w:pPr>
      <w:r w:rsidRPr="00B06D23">
        <w:rPr>
          <w:lang w:val="es-ES"/>
        </w:rPr>
        <w:t>Licencia sistema de información histórica</w:t>
      </w:r>
    </w:p>
    <w:p w14:paraId="6783126E" w14:textId="77777777" w:rsidR="0079428C" w:rsidRPr="00B06D23" w:rsidRDefault="0079428C" w:rsidP="0079428C">
      <w:pPr>
        <w:spacing w:after="0"/>
        <w:rPr>
          <w:lang w:val="es-ES"/>
        </w:rPr>
      </w:pPr>
      <w:r w:rsidRPr="00B06D23">
        <w:rPr>
          <w:lang w:val="es-ES"/>
        </w:rPr>
        <w:t>Licencia de software de aplicación</w:t>
      </w:r>
    </w:p>
    <w:p w14:paraId="2A6703FE" w14:textId="77777777" w:rsidR="0079428C" w:rsidRPr="00B06D23" w:rsidRDefault="0079428C" w:rsidP="0079428C">
      <w:pPr>
        <w:spacing w:after="0"/>
        <w:rPr>
          <w:lang w:val="es-ES"/>
        </w:rPr>
      </w:pPr>
      <w:r w:rsidRPr="00B06D23">
        <w:rPr>
          <w:lang w:val="es-ES"/>
        </w:rPr>
        <w:t>Licencias de software de transferencia de datos.</w:t>
      </w:r>
    </w:p>
    <w:p w14:paraId="4D10EEAE" w14:textId="77777777" w:rsidR="0079428C" w:rsidRPr="00B06D23" w:rsidRDefault="0079428C" w:rsidP="0079428C">
      <w:pPr>
        <w:spacing w:after="0"/>
        <w:rPr>
          <w:lang w:val="es-ES"/>
        </w:rPr>
      </w:pPr>
      <w:r w:rsidRPr="00B06D23">
        <w:rPr>
          <w:lang w:val="es-ES"/>
        </w:rPr>
        <w:t>Licencias para PC uso general</w:t>
      </w:r>
    </w:p>
    <w:p w14:paraId="1DA16706" w14:textId="77777777" w:rsidR="0079428C" w:rsidRPr="00B06D23" w:rsidRDefault="0079428C" w:rsidP="0079428C">
      <w:pPr>
        <w:spacing w:after="120"/>
        <w:rPr>
          <w:lang w:val="es-ES"/>
        </w:rPr>
      </w:pPr>
      <w:r w:rsidRPr="00B06D23">
        <w:rPr>
          <w:lang w:val="es-ES"/>
        </w:rPr>
        <w:t xml:space="preserve">Integración RTU GPS </w:t>
      </w:r>
    </w:p>
    <w:p w14:paraId="53FA148A" w14:textId="77777777" w:rsidR="0079428C" w:rsidRPr="00B06D23" w:rsidRDefault="0079428C" w:rsidP="0079428C">
      <w:pPr>
        <w:spacing w:after="120"/>
        <w:rPr>
          <w:u w:val="single"/>
          <w:lang w:val="es-ES"/>
        </w:rPr>
      </w:pPr>
      <w:r w:rsidRPr="00B06D23">
        <w:rPr>
          <w:u w:val="single"/>
          <w:lang w:val="es-ES"/>
        </w:rPr>
        <w:t>Hardware:</w:t>
      </w:r>
    </w:p>
    <w:p w14:paraId="3BF2D749" w14:textId="77777777" w:rsidR="0079428C" w:rsidRPr="00B06D23" w:rsidRDefault="0079428C" w:rsidP="0079428C">
      <w:pPr>
        <w:spacing w:after="0"/>
        <w:rPr>
          <w:lang w:val="es-ES"/>
        </w:rPr>
      </w:pPr>
      <w:r w:rsidRPr="00B06D23">
        <w:rPr>
          <w:lang w:val="es-ES"/>
        </w:rPr>
        <w:t xml:space="preserve">Consola de operación </w:t>
      </w:r>
    </w:p>
    <w:p w14:paraId="6E39ED99" w14:textId="77777777" w:rsidR="0079428C" w:rsidRPr="00B06D23" w:rsidRDefault="0079428C" w:rsidP="0079428C">
      <w:pPr>
        <w:spacing w:after="0"/>
        <w:rPr>
          <w:lang w:val="es-ES"/>
        </w:rPr>
      </w:pPr>
      <w:r w:rsidRPr="00B06D23">
        <w:rPr>
          <w:lang w:val="es-ES"/>
        </w:rPr>
        <w:t>Servidores SCADA</w:t>
      </w:r>
    </w:p>
    <w:p w14:paraId="3F5CFDDE" w14:textId="77777777" w:rsidR="0079428C" w:rsidRPr="00B06D23" w:rsidRDefault="0079428C" w:rsidP="0079428C">
      <w:pPr>
        <w:spacing w:after="0"/>
        <w:rPr>
          <w:lang w:val="es-ES"/>
        </w:rPr>
      </w:pPr>
      <w:r w:rsidRPr="00B06D23">
        <w:rPr>
          <w:lang w:val="es-ES"/>
        </w:rPr>
        <w:t xml:space="preserve">Consola de Ingeniería y desarrollo </w:t>
      </w:r>
    </w:p>
    <w:p w14:paraId="6D840E14" w14:textId="77777777" w:rsidR="0079428C" w:rsidRPr="00B06D23" w:rsidRDefault="0079428C" w:rsidP="0079428C">
      <w:pPr>
        <w:spacing w:after="0"/>
        <w:rPr>
          <w:lang w:val="es-ES"/>
        </w:rPr>
      </w:pPr>
      <w:r w:rsidRPr="00B06D23">
        <w:rPr>
          <w:lang w:val="es-ES"/>
        </w:rPr>
        <w:t xml:space="preserve">PC de uso general </w:t>
      </w:r>
    </w:p>
    <w:p w14:paraId="7E1D0CB3" w14:textId="77777777" w:rsidR="0079428C" w:rsidRPr="00B06D23" w:rsidRDefault="0079428C" w:rsidP="0079428C">
      <w:pPr>
        <w:spacing w:after="0"/>
        <w:rPr>
          <w:lang w:val="es-ES"/>
        </w:rPr>
      </w:pPr>
      <w:r w:rsidRPr="00B06D23">
        <w:rPr>
          <w:lang w:val="es-ES"/>
        </w:rPr>
        <w:t xml:space="preserve">Impresoras alarmas y eventos </w:t>
      </w:r>
    </w:p>
    <w:p w14:paraId="3B7D1D8C" w14:textId="77777777" w:rsidR="0079428C" w:rsidRPr="00B06D23" w:rsidRDefault="0079428C" w:rsidP="0079428C">
      <w:pPr>
        <w:spacing w:after="0"/>
        <w:rPr>
          <w:lang w:val="es-ES"/>
        </w:rPr>
      </w:pPr>
      <w:r w:rsidRPr="00B06D23">
        <w:rPr>
          <w:lang w:val="es-ES"/>
        </w:rPr>
        <w:t xml:space="preserve">Impresora gráficos </w:t>
      </w:r>
    </w:p>
    <w:p w14:paraId="49E35AB3" w14:textId="77777777" w:rsidR="0079428C" w:rsidRPr="00B06D23" w:rsidRDefault="0079428C" w:rsidP="0079428C">
      <w:pPr>
        <w:spacing w:after="0"/>
        <w:rPr>
          <w:lang w:val="es-ES"/>
        </w:rPr>
      </w:pPr>
      <w:r w:rsidRPr="00B06D23">
        <w:rPr>
          <w:lang w:val="es-ES"/>
        </w:rPr>
        <w:t xml:space="preserve">Switches para red redundante </w:t>
      </w:r>
    </w:p>
    <w:p w14:paraId="321B72E0" w14:textId="77777777" w:rsidR="0079428C" w:rsidRPr="00B06D23" w:rsidRDefault="0079428C" w:rsidP="0079428C">
      <w:pPr>
        <w:spacing w:after="0"/>
        <w:rPr>
          <w:lang w:val="es-ES"/>
        </w:rPr>
      </w:pPr>
      <w:r w:rsidRPr="00B06D23">
        <w:rPr>
          <w:lang w:val="es-ES"/>
        </w:rPr>
        <w:t xml:space="preserve">GPS </w:t>
      </w:r>
    </w:p>
    <w:p w14:paraId="6212B9CA" w14:textId="77777777" w:rsidR="0079428C" w:rsidRPr="00B06D23" w:rsidRDefault="0079428C" w:rsidP="0079428C">
      <w:pPr>
        <w:rPr>
          <w:lang w:val="es-ES"/>
        </w:rPr>
      </w:pPr>
      <w:r w:rsidRPr="00B06D23">
        <w:rPr>
          <w:lang w:val="es-ES"/>
        </w:rPr>
        <w:t xml:space="preserve">Pantalla LCD </w:t>
      </w:r>
    </w:p>
    <w:p w14:paraId="036E5FFD" w14:textId="77777777" w:rsidR="0079428C" w:rsidRPr="00B06D23" w:rsidRDefault="0079428C" w:rsidP="0079428C">
      <w:pPr>
        <w:rPr>
          <w:lang w:val="es-ES"/>
        </w:rPr>
      </w:pPr>
      <w:r w:rsidRPr="00B06D23">
        <w:rPr>
          <w:lang w:val="es-ES"/>
        </w:rPr>
        <w:t>En el dimensionamiento del software y hardware del sistema SCADA se tuvieron en cuenta la cantidad de equipos que ser objeto de telecontrol, utilizando los vínculos de comunicación existentes entre las subestaciones y el centro de control.</w:t>
      </w:r>
    </w:p>
    <w:p w14:paraId="3C652C13" w14:textId="50CABA21" w:rsidR="0079428C" w:rsidRDefault="0079428C" w:rsidP="0079428C">
      <w:pPr>
        <w:rPr>
          <w:lang w:val="es-ES"/>
        </w:rPr>
      </w:pPr>
      <w:r w:rsidRPr="00B06D23">
        <w:rPr>
          <w:lang w:val="es-ES"/>
        </w:rPr>
        <w:t xml:space="preserve">En el Anexo COMA_3 Modelo/Datos/ Equipamiento SCADA se encuentra detallado las especificaciones técnicas del SCADA para la empresa de transmisión </w:t>
      </w:r>
      <w:r w:rsidR="002C5E44">
        <w:rPr>
          <w:lang w:val="es-ES"/>
        </w:rPr>
        <w:t>nacion</w:t>
      </w:r>
      <w:r w:rsidRPr="00B06D23">
        <w:rPr>
          <w:lang w:val="es-ES"/>
        </w:rPr>
        <w:t>al, y los antecedentes y soporte de los costos unitarios utilizados.</w:t>
      </w:r>
    </w:p>
    <w:p w14:paraId="0C535FDB" w14:textId="7590FC31" w:rsidR="0060133B" w:rsidRDefault="0060133B" w:rsidP="0079428C">
      <w:pPr>
        <w:rPr>
          <w:lang w:val="es-ES"/>
        </w:rPr>
      </w:pPr>
    </w:p>
    <w:p w14:paraId="5627E760" w14:textId="77777777" w:rsidR="0060133B" w:rsidRPr="00B06D23" w:rsidRDefault="0060133B" w:rsidP="0079428C">
      <w:pPr>
        <w:rPr>
          <w:lang w:val="es-ES"/>
        </w:rPr>
      </w:pPr>
    </w:p>
    <w:p w14:paraId="1058B377" w14:textId="77777777" w:rsidR="0079428C" w:rsidRPr="00FD055F" w:rsidRDefault="0079428C" w:rsidP="0079428C">
      <w:pPr>
        <w:pStyle w:val="Ttulo4"/>
      </w:pPr>
      <w:bookmarkStart w:id="257" w:name="_Toc32390206"/>
      <w:bookmarkStart w:id="258" w:name="_Toc34398152"/>
      <w:bookmarkStart w:id="259" w:name="_Toc34687246"/>
      <w:r w:rsidRPr="00FD055F">
        <w:t>Vehículos</w:t>
      </w:r>
      <w:bookmarkEnd w:id="257"/>
      <w:bookmarkEnd w:id="258"/>
      <w:bookmarkEnd w:id="259"/>
    </w:p>
    <w:p w14:paraId="35E9988C" w14:textId="77777777" w:rsidR="0079428C" w:rsidRPr="00B06D23" w:rsidRDefault="0079428C" w:rsidP="0079428C">
      <w:pPr>
        <w:rPr>
          <w:lang w:val="es-ES"/>
        </w:rPr>
      </w:pPr>
      <w:r w:rsidRPr="00B06D23">
        <w:rPr>
          <w:lang w:val="es-ES"/>
        </w:rPr>
        <w:t>La empresa de transmisión necesita un conjunto de vehículos, tanto para transporte como para labores específicas de operación y mantenimiento por parte de las cuadrillas sean estas propias o tercerizadas y para las tareas de supervisión y control de las mismas.</w:t>
      </w:r>
    </w:p>
    <w:p w14:paraId="5D8E152A" w14:textId="77777777" w:rsidR="0079428C" w:rsidRPr="00B06D23" w:rsidRDefault="0079428C" w:rsidP="0079428C">
      <w:pPr>
        <w:rPr>
          <w:lang w:val="es-ES"/>
        </w:rPr>
      </w:pPr>
      <w:r w:rsidRPr="00B06D23">
        <w:rPr>
          <w:lang w:val="es-ES"/>
        </w:rPr>
        <w:t>Este ítem comprende para las cuadrillas los siguientes tipos de vehículos:</w:t>
      </w:r>
    </w:p>
    <w:p w14:paraId="2ECED216" w14:textId="77777777" w:rsidR="0079428C" w:rsidRPr="00B06D23" w:rsidRDefault="0079428C" w:rsidP="002E20CA">
      <w:pPr>
        <w:numPr>
          <w:ilvl w:val="0"/>
          <w:numId w:val="40"/>
        </w:numPr>
        <w:ind w:left="567" w:hanging="567"/>
        <w:rPr>
          <w:lang w:val="es-ES"/>
        </w:rPr>
      </w:pPr>
      <w:r w:rsidRPr="00B06D23">
        <w:rPr>
          <w:lang w:val="es-ES"/>
        </w:rPr>
        <w:t>Camioneta Doble Cabina: Necesaria para traslado del personal en caminos no urbanos con tracción 4*4 para el acceso a las torres de alta tensión.</w:t>
      </w:r>
    </w:p>
    <w:p w14:paraId="4F5E6A10" w14:textId="77777777" w:rsidR="0079428C" w:rsidRPr="00B06D23" w:rsidRDefault="0079428C" w:rsidP="002E20CA">
      <w:pPr>
        <w:numPr>
          <w:ilvl w:val="0"/>
          <w:numId w:val="40"/>
        </w:numPr>
        <w:ind w:left="567" w:hanging="567"/>
        <w:rPr>
          <w:lang w:val="es-ES"/>
        </w:rPr>
      </w:pPr>
      <w:r w:rsidRPr="00B06D23">
        <w:rPr>
          <w:lang w:val="es-ES"/>
        </w:rPr>
        <w:t>Camión: Vehículo necesario para el traslado de materiales a utilizar en faenas de mantenimiento y/o construcción hacia las distintas instalaciones.</w:t>
      </w:r>
    </w:p>
    <w:p w14:paraId="7417BA02" w14:textId="77777777" w:rsidR="0079428C" w:rsidRPr="00B06D23" w:rsidRDefault="0079428C" w:rsidP="002E20CA">
      <w:pPr>
        <w:numPr>
          <w:ilvl w:val="0"/>
          <w:numId w:val="40"/>
        </w:numPr>
        <w:ind w:left="567" w:hanging="567"/>
        <w:rPr>
          <w:lang w:val="es-ES"/>
        </w:rPr>
      </w:pPr>
      <w:r w:rsidRPr="00B06D23">
        <w:rPr>
          <w:lang w:val="es-ES"/>
        </w:rPr>
        <w:t>Camión para lavado de aislación: Vehículo con tracción 4*4, estanque almacenamiento agua desmineralizada y unidad de lavado para el acceso a las torres de alta tensión por mantenimiento en faenas de lavado de Aislación.</w:t>
      </w:r>
    </w:p>
    <w:p w14:paraId="4D47C288" w14:textId="77777777" w:rsidR="0079428C" w:rsidRPr="00B06D23" w:rsidRDefault="0079428C" w:rsidP="002E20CA">
      <w:pPr>
        <w:numPr>
          <w:ilvl w:val="0"/>
          <w:numId w:val="40"/>
        </w:numPr>
        <w:ind w:left="567" w:hanging="567"/>
        <w:rPr>
          <w:lang w:val="es-ES"/>
        </w:rPr>
      </w:pPr>
      <w:r w:rsidRPr="00B06D23">
        <w:rPr>
          <w:lang w:val="es-ES"/>
        </w:rPr>
        <w:t>Camión aljibe para lavado de aisladores en subestaciones donde no se puede utilizar otro tipo de camión por razones de distancia de seguridad o en líneas donde no se pueda acceder.</w:t>
      </w:r>
    </w:p>
    <w:p w14:paraId="54FEB325" w14:textId="77777777" w:rsidR="0079428C" w:rsidRPr="00B06D23" w:rsidRDefault="0079428C" w:rsidP="002E20CA">
      <w:pPr>
        <w:numPr>
          <w:ilvl w:val="0"/>
          <w:numId w:val="40"/>
        </w:numPr>
        <w:ind w:left="567" w:hanging="567"/>
        <w:rPr>
          <w:lang w:val="es-ES"/>
        </w:rPr>
      </w:pPr>
      <w:r w:rsidRPr="00B06D23">
        <w:rPr>
          <w:lang w:val="es-ES"/>
        </w:rPr>
        <w:t>Camión Canasta: Vehículo necesario para realizar mantenimiento por trabajos en altura (con tensión) en instalaciones de líneas de alta Tensión y subestaciones.</w:t>
      </w:r>
    </w:p>
    <w:p w14:paraId="4A2B872E" w14:textId="77777777" w:rsidR="0079428C" w:rsidRPr="00B06D23" w:rsidRDefault="0079428C" w:rsidP="002E20CA">
      <w:pPr>
        <w:numPr>
          <w:ilvl w:val="0"/>
          <w:numId w:val="40"/>
        </w:numPr>
        <w:ind w:left="567" w:hanging="567"/>
        <w:rPr>
          <w:lang w:val="es-ES"/>
        </w:rPr>
      </w:pPr>
      <w:r w:rsidRPr="00B06D23">
        <w:rPr>
          <w:lang w:val="es-ES"/>
        </w:rPr>
        <w:t>Camión con grúa: Vehículo necesario para el traslado e izaje de material a utilizar en faenas de mantenimiento de líneas de alta tensión.</w:t>
      </w:r>
    </w:p>
    <w:p w14:paraId="02EDC967" w14:textId="77777777" w:rsidR="0079428C" w:rsidRPr="00B06D23" w:rsidRDefault="0079428C" w:rsidP="002E20CA">
      <w:pPr>
        <w:numPr>
          <w:ilvl w:val="0"/>
          <w:numId w:val="40"/>
        </w:numPr>
        <w:ind w:left="567" w:hanging="567"/>
        <w:rPr>
          <w:lang w:val="es-ES"/>
        </w:rPr>
      </w:pPr>
      <w:r w:rsidRPr="00B06D23">
        <w:rPr>
          <w:lang w:val="es-ES"/>
        </w:rPr>
        <w:t>Bulldozeer: Maquinaria pesada necesaria para la habilitación y mantenimiento de los caminos para el acceso a las líneas de alta tensión.</w:t>
      </w:r>
    </w:p>
    <w:p w14:paraId="77543826" w14:textId="77777777" w:rsidR="0079428C" w:rsidRPr="00B06D23" w:rsidRDefault="0079428C" w:rsidP="002E20CA">
      <w:pPr>
        <w:numPr>
          <w:ilvl w:val="0"/>
          <w:numId w:val="40"/>
        </w:numPr>
        <w:ind w:left="567" w:hanging="567"/>
        <w:rPr>
          <w:lang w:val="es-ES"/>
        </w:rPr>
      </w:pPr>
      <w:r w:rsidRPr="00B06D23">
        <w:rPr>
          <w:lang w:val="es-ES"/>
        </w:rPr>
        <w:t>Automóvil: vehículo liviano para el desplazamiento del personal gerencial.</w:t>
      </w:r>
    </w:p>
    <w:p w14:paraId="74FB11CD" w14:textId="77777777" w:rsidR="0079428C" w:rsidRPr="00B06D23" w:rsidRDefault="0079428C" w:rsidP="0079428C">
      <w:pPr>
        <w:rPr>
          <w:lang w:val="es-ES"/>
        </w:rPr>
      </w:pPr>
      <w:r w:rsidRPr="00B06D23">
        <w:rPr>
          <w:lang w:val="es-ES"/>
        </w:rPr>
        <w:t>Para determinar los costos unitarios se realizó un análisis de conveniencia compra vs arriendo. Para ello se comparon los costos de adquisición de un vehículo propio que incluye la anualidad del valor de compra basado en los costos de mercado de los vehículos evaluados y los gastos del propietario vs el costo de arrendamiento del mismo vehículo.</w:t>
      </w:r>
    </w:p>
    <w:p w14:paraId="5EE6C9F3" w14:textId="77777777" w:rsidR="0079428C" w:rsidRPr="00B06D23" w:rsidRDefault="0079428C" w:rsidP="0079428C">
      <w:pPr>
        <w:rPr>
          <w:lang w:val="es-ES"/>
        </w:rPr>
      </w:pPr>
      <w:r w:rsidRPr="00B06D23">
        <w:rPr>
          <w:lang w:val="es-ES"/>
        </w:rPr>
        <w:t>Para la comparación se han consideran los siguientes gastos del propietario del vehículo en caso de tener su propio flota:</w:t>
      </w:r>
    </w:p>
    <w:p w14:paraId="56DE5F72" w14:textId="77777777" w:rsidR="0079428C" w:rsidRPr="00B06D23" w:rsidRDefault="0079428C" w:rsidP="002E20CA">
      <w:pPr>
        <w:numPr>
          <w:ilvl w:val="0"/>
          <w:numId w:val="29"/>
        </w:numPr>
        <w:spacing w:after="120" w:line="240" w:lineRule="auto"/>
        <w:ind w:left="567" w:hanging="567"/>
        <w:rPr>
          <w:lang w:val="es-ES"/>
        </w:rPr>
      </w:pPr>
      <w:r w:rsidRPr="00B06D23">
        <w:rPr>
          <w:lang w:val="es-ES"/>
        </w:rPr>
        <w:t>Costo de Seguros: los seguros de los vehículos se determinan en base al valor nuevo de reemplazo del mismo vehículo, considerando un seguro contra todo riesgo.</w:t>
      </w:r>
    </w:p>
    <w:p w14:paraId="2C006F08" w14:textId="77777777" w:rsidR="0079428C" w:rsidRPr="00B06D23" w:rsidRDefault="0079428C" w:rsidP="002E20CA">
      <w:pPr>
        <w:numPr>
          <w:ilvl w:val="0"/>
          <w:numId w:val="29"/>
        </w:numPr>
        <w:spacing w:after="120" w:line="240" w:lineRule="auto"/>
        <w:ind w:left="567" w:hanging="567"/>
        <w:rPr>
          <w:lang w:val="es-ES"/>
        </w:rPr>
      </w:pPr>
      <w:r w:rsidRPr="00B06D23">
        <w:rPr>
          <w:lang w:val="es-ES"/>
        </w:rPr>
        <w:t>Costo de revisión técnica y permiso de Circulación: estos costos fueron relevados según la normativa vigente.</w:t>
      </w:r>
    </w:p>
    <w:p w14:paraId="27B05ED9" w14:textId="77777777" w:rsidR="0079428C" w:rsidRPr="00B06D23" w:rsidRDefault="0079428C" w:rsidP="002E20CA">
      <w:pPr>
        <w:numPr>
          <w:ilvl w:val="0"/>
          <w:numId w:val="29"/>
        </w:numPr>
        <w:spacing w:after="120" w:line="240" w:lineRule="auto"/>
        <w:ind w:left="567" w:hanging="567"/>
        <w:rPr>
          <w:lang w:val="es-ES"/>
        </w:rPr>
      </w:pPr>
      <w:r w:rsidRPr="00B06D23">
        <w:rPr>
          <w:lang w:val="es-ES"/>
        </w:rPr>
        <w:t>Costos de Repuestos y Mantención: actualmente los vehículos tienen asociado desde fábrica una planificación de mantenimiento, que se indica al comprador y usuario. Estos programas indican la periodicidad de las revisiones y mantenciones, y tienen asociados un costo. Se determinó un costo medio de mantenimiento anual de los vehículos en base a la propia experiencia del consultor.</w:t>
      </w:r>
    </w:p>
    <w:p w14:paraId="3433759D" w14:textId="77777777" w:rsidR="0079428C" w:rsidRPr="00B06D23" w:rsidRDefault="0079428C" w:rsidP="002E20CA">
      <w:pPr>
        <w:numPr>
          <w:ilvl w:val="0"/>
          <w:numId w:val="29"/>
        </w:numPr>
        <w:spacing w:line="240" w:lineRule="auto"/>
        <w:ind w:left="567" w:hanging="567"/>
        <w:rPr>
          <w:lang w:val="es-ES"/>
        </w:rPr>
      </w:pPr>
      <w:r w:rsidRPr="00B06D23">
        <w:rPr>
          <w:lang w:val="es-ES"/>
        </w:rPr>
        <w:t xml:space="preserve">Costos de vehículo de reemplazo: la flota de vehículos propia requiere cada cierto periodo de tiempo pasar al taller para mantenimiento preventivo y en ciertas ocasiones para mantenimiento correctivo por lo que se requiere tener un vehículo sustituto. </w:t>
      </w:r>
    </w:p>
    <w:p w14:paraId="3533C627" w14:textId="77777777" w:rsidR="0079428C" w:rsidRPr="00B06D23" w:rsidRDefault="0079428C" w:rsidP="0060133B">
      <w:pPr>
        <w:numPr>
          <w:ilvl w:val="0"/>
          <w:numId w:val="29"/>
        </w:numPr>
        <w:spacing w:line="240" w:lineRule="auto"/>
        <w:ind w:left="567" w:hanging="567"/>
        <w:rPr>
          <w:lang w:val="es-ES"/>
        </w:rPr>
      </w:pPr>
      <w:r w:rsidRPr="00B06D23">
        <w:rPr>
          <w:lang w:val="es-ES"/>
        </w:rPr>
        <w:t>Costo de administración del parque de vehículos: en caso de tener una flota propia de vehículos se requiere una fiscalización y control lo que requiere costos administrativos adicionales para  Gestión del parque de vehiculos, gestión de talleres externos, reclamaciones administrativas de multas, gestión de revisión técnica, seguros, permisos, gestión de venta al fin de la vida útil y seguridad del vehículo.</w:t>
      </w:r>
    </w:p>
    <w:p w14:paraId="1E458FE6" w14:textId="77777777" w:rsidR="0079428C" w:rsidRPr="00B06D23" w:rsidRDefault="0079428C" w:rsidP="0079428C">
      <w:pPr>
        <w:rPr>
          <w:lang w:val="es-ES"/>
        </w:rPr>
      </w:pPr>
      <w:r w:rsidRPr="00B06D23">
        <w:rPr>
          <w:lang w:val="es-ES"/>
        </w:rPr>
        <w:t>Como resultado de la comparación surge el siguiente cuadro: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309"/>
        <w:gridCol w:w="2307"/>
        <w:gridCol w:w="1458"/>
        <w:gridCol w:w="1520"/>
        <w:gridCol w:w="862"/>
        <w:gridCol w:w="1224"/>
      </w:tblGrid>
      <w:tr w:rsidR="0079428C" w:rsidRPr="00B06D23" w14:paraId="28213FB7" w14:textId="77777777" w:rsidTr="00C276D3">
        <w:trPr>
          <w:trHeight w:val="290"/>
        </w:trPr>
        <w:tc>
          <w:tcPr>
            <w:tcW w:w="1193" w:type="pct"/>
            <w:shd w:val="clear" w:color="auto" w:fill="FFFFFF" w:themeFill="background1"/>
            <w:noWrap/>
            <w:vAlign w:val="bottom"/>
            <w:hideMark/>
          </w:tcPr>
          <w:p w14:paraId="6DAE3A33"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Vehículo</w:t>
            </w:r>
          </w:p>
        </w:tc>
        <w:tc>
          <w:tcPr>
            <w:tcW w:w="1192" w:type="pct"/>
            <w:shd w:val="clear" w:color="auto" w:fill="FFFFFF" w:themeFill="background1"/>
            <w:noWrap/>
            <w:vAlign w:val="bottom"/>
            <w:hideMark/>
          </w:tcPr>
          <w:p w14:paraId="4FFBB9F3" w14:textId="77777777" w:rsidR="0079428C" w:rsidRPr="00B06D23" w:rsidRDefault="0079428C" w:rsidP="00C276D3">
            <w:pPr>
              <w:spacing w:after="0" w:line="240" w:lineRule="auto"/>
              <w:jc w:val="left"/>
              <w:rPr>
                <w:rFonts w:eastAsia="Times New Roman" w:cs="Calibri"/>
                <w:b/>
                <w:bCs/>
                <w:sz w:val="16"/>
                <w:szCs w:val="16"/>
                <w:lang w:val="es-ES" w:eastAsia="es-AR"/>
              </w:rPr>
            </w:pPr>
            <w:r w:rsidRPr="00B06D23">
              <w:rPr>
                <w:rFonts w:eastAsia="Times New Roman" w:cs="Calibri"/>
                <w:b/>
                <w:bCs/>
                <w:sz w:val="16"/>
                <w:szCs w:val="16"/>
                <w:lang w:val="es-ES" w:eastAsia="es-AR"/>
              </w:rPr>
              <w:t>Análisis conveniencia Vehiculos</w:t>
            </w:r>
          </w:p>
        </w:tc>
        <w:tc>
          <w:tcPr>
            <w:tcW w:w="753" w:type="pct"/>
            <w:shd w:val="clear" w:color="auto" w:fill="FFFFFF" w:themeFill="background1"/>
            <w:noWrap/>
            <w:hideMark/>
          </w:tcPr>
          <w:p w14:paraId="07199033" w14:textId="77777777" w:rsidR="0079428C" w:rsidRPr="00B06D23" w:rsidRDefault="0079428C" w:rsidP="00C276D3">
            <w:pPr>
              <w:spacing w:after="0" w:line="240" w:lineRule="auto"/>
              <w:rPr>
                <w:rFonts w:eastAsia="Times New Roman" w:cs="Calibri"/>
                <w:b/>
                <w:bCs/>
                <w:sz w:val="16"/>
                <w:szCs w:val="16"/>
                <w:lang w:val="es-ES" w:eastAsia="es-AR"/>
              </w:rPr>
            </w:pPr>
            <w:r w:rsidRPr="00B06D23">
              <w:rPr>
                <w:sz w:val="16"/>
                <w:szCs w:val="16"/>
              </w:rPr>
              <w:t xml:space="preserve"> Costo Total Compra (USD/año) </w:t>
            </w:r>
          </w:p>
        </w:tc>
        <w:tc>
          <w:tcPr>
            <w:tcW w:w="785" w:type="pct"/>
            <w:shd w:val="clear" w:color="auto" w:fill="FFFFFF" w:themeFill="background1"/>
            <w:noWrap/>
            <w:hideMark/>
          </w:tcPr>
          <w:p w14:paraId="7ABD9DBC" w14:textId="77777777" w:rsidR="0079428C" w:rsidRPr="00B06D23" w:rsidRDefault="0079428C" w:rsidP="00C276D3">
            <w:pPr>
              <w:spacing w:after="0" w:line="240" w:lineRule="auto"/>
              <w:rPr>
                <w:rFonts w:eastAsia="Times New Roman" w:cs="Calibri"/>
                <w:b/>
                <w:bCs/>
                <w:sz w:val="16"/>
                <w:szCs w:val="16"/>
                <w:lang w:val="es-ES" w:eastAsia="es-AR"/>
              </w:rPr>
            </w:pPr>
            <w:r w:rsidRPr="00B06D23">
              <w:rPr>
                <w:sz w:val="16"/>
                <w:szCs w:val="16"/>
              </w:rPr>
              <w:t xml:space="preserve"> Renta (USD/año) </w:t>
            </w:r>
          </w:p>
        </w:tc>
        <w:tc>
          <w:tcPr>
            <w:tcW w:w="445" w:type="pct"/>
            <w:shd w:val="clear" w:color="auto" w:fill="FFFFFF" w:themeFill="background1"/>
          </w:tcPr>
          <w:p w14:paraId="575931C0" w14:textId="77777777" w:rsidR="0079428C" w:rsidRPr="00B06D23" w:rsidRDefault="0079428C" w:rsidP="00C276D3">
            <w:pPr>
              <w:spacing w:after="0" w:line="240" w:lineRule="auto"/>
              <w:rPr>
                <w:rFonts w:eastAsia="Times New Roman" w:cs="Calibri"/>
                <w:b/>
                <w:bCs/>
                <w:sz w:val="16"/>
                <w:szCs w:val="16"/>
                <w:lang w:val="es-ES" w:eastAsia="es-AR"/>
              </w:rPr>
            </w:pPr>
            <w:r w:rsidRPr="00B06D23">
              <w:rPr>
                <w:sz w:val="16"/>
                <w:szCs w:val="16"/>
                <w:lang w:val="es-ES"/>
              </w:rPr>
              <w:t xml:space="preserve"> Dif Renta/cpra </w:t>
            </w:r>
          </w:p>
        </w:tc>
        <w:tc>
          <w:tcPr>
            <w:tcW w:w="632" w:type="pct"/>
            <w:shd w:val="clear" w:color="auto" w:fill="FFFFFF" w:themeFill="background1"/>
            <w:vAlign w:val="bottom"/>
          </w:tcPr>
          <w:p w14:paraId="13D687B7" w14:textId="77777777" w:rsidR="0079428C" w:rsidRPr="00B06D23" w:rsidRDefault="0079428C" w:rsidP="00C276D3">
            <w:pPr>
              <w:spacing w:after="0" w:line="240" w:lineRule="auto"/>
              <w:jc w:val="center"/>
              <w:rPr>
                <w:sz w:val="16"/>
                <w:szCs w:val="16"/>
                <w:lang w:val="es-ES"/>
              </w:rPr>
            </w:pPr>
            <w:r w:rsidRPr="00B06D23">
              <w:rPr>
                <w:sz w:val="16"/>
                <w:szCs w:val="16"/>
                <w:lang w:val="es-ES"/>
              </w:rPr>
              <w:t>Valor Adoptado</w:t>
            </w:r>
          </w:p>
        </w:tc>
      </w:tr>
      <w:tr w:rsidR="0079428C" w:rsidRPr="00B06D23" w14:paraId="41F3244C" w14:textId="77777777" w:rsidTr="00C276D3">
        <w:trPr>
          <w:trHeight w:val="290"/>
        </w:trPr>
        <w:tc>
          <w:tcPr>
            <w:tcW w:w="1193" w:type="pct"/>
            <w:shd w:val="clear" w:color="auto" w:fill="FFFFFF" w:themeFill="background1"/>
            <w:noWrap/>
            <w:vAlign w:val="bottom"/>
            <w:hideMark/>
          </w:tcPr>
          <w:p w14:paraId="1E9606DB"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Camioneta doble cabina 4x4</w:t>
            </w:r>
          </w:p>
        </w:tc>
        <w:tc>
          <w:tcPr>
            <w:tcW w:w="1192" w:type="pct"/>
            <w:shd w:val="clear" w:color="auto" w:fill="FFFFFF" w:themeFill="background1"/>
            <w:noWrap/>
            <w:vAlign w:val="bottom"/>
            <w:hideMark/>
          </w:tcPr>
          <w:p w14:paraId="7C91BBF3"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Camioneta doble cabina 4x4</w:t>
            </w:r>
          </w:p>
        </w:tc>
        <w:tc>
          <w:tcPr>
            <w:tcW w:w="753" w:type="pct"/>
            <w:shd w:val="clear" w:color="auto" w:fill="FFFFFF" w:themeFill="background1"/>
            <w:noWrap/>
            <w:hideMark/>
          </w:tcPr>
          <w:p w14:paraId="7DE4428C"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14.819,5 </w:t>
            </w:r>
          </w:p>
        </w:tc>
        <w:tc>
          <w:tcPr>
            <w:tcW w:w="785" w:type="pct"/>
            <w:shd w:val="clear" w:color="auto" w:fill="FFFFFF" w:themeFill="background1"/>
            <w:noWrap/>
            <w:hideMark/>
          </w:tcPr>
          <w:p w14:paraId="38D9FD01"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11.069,5 </w:t>
            </w:r>
          </w:p>
        </w:tc>
        <w:tc>
          <w:tcPr>
            <w:tcW w:w="445" w:type="pct"/>
            <w:shd w:val="clear" w:color="auto" w:fill="FFFFFF" w:themeFill="background1"/>
          </w:tcPr>
          <w:p w14:paraId="1DCBEADA" w14:textId="77777777" w:rsidR="0079428C" w:rsidRPr="00B06D23" w:rsidRDefault="0079428C" w:rsidP="00C276D3">
            <w:pPr>
              <w:spacing w:after="0" w:line="240" w:lineRule="auto"/>
              <w:rPr>
                <w:sz w:val="16"/>
                <w:szCs w:val="16"/>
                <w:lang w:val="es-ES"/>
              </w:rPr>
            </w:pPr>
            <w:r w:rsidRPr="00B06D23">
              <w:rPr>
                <w:sz w:val="16"/>
                <w:szCs w:val="16"/>
              </w:rPr>
              <w:t>-25%</w:t>
            </w:r>
          </w:p>
        </w:tc>
        <w:tc>
          <w:tcPr>
            <w:tcW w:w="632" w:type="pct"/>
            <w:shd w:val="clear" w:color="auto" w:fill="FFFFFF" w:themeFill="background1"/>
          </w:tcPr>
          <w:p w14:paraId="32FD7EB8" w14:textId="77777777" w:rsidR="0079428C" w:rsidRPr="00B06D23" w:rsidRDefault="0079428C" w:rsidP="00C276D3">
            <w:pPr>
              <w:spacing w:after="0" w:line="240" w:lineRule="auto"/>
              <w:jc w:val="center"/>
              <w:rPr>
                <w:sz w:val="16"/>
                <w:szCs w:val="16"/>
                <w:lang w:val="es-ES"/>
              </w:rPr>
            </w:pPr>
            <w:r w:rsidRPr="00B06D23">
              <w:rPr>
                <w:sz w:val="16"/>
                <w:szCs w:val="16"/>
              </w:rPr>
              <w:t xml:space="preserve"> 11.069,5 </w:t>
            </w:r>
          </w:p>
        </w:tc>
      </w:tr>
      <w:tr w:rsidR="0079428C" w:rsidRPr="00B06D23" w14:paraId="624B6544" w14:textId="77777777" w:rsidTr="00C276D3">
        <w:trPr>
          <w:trHeight w:val="290"/>
        </w:trPr>
        <w:tc>
          <w:tcPr>
            <w:tcW w:w="1193" w:type="pct"/>
            <w:shd w:val="clear" w:color="auto" w:fill="FFFFFF" w:themeFill="background1"/>
            <w:noWrap/>
            <w:vAlign w:val="bottom"/>
            <w:hideMark/>
          </w:tcPr>
          <w:p w14:paraId="27C44E14"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6 t</w:t>
            </w:r>
          </w:p>
        </w:tc>
        <w:tc>
          <w:tcPr>
            <w:tcW w:w="1192" w:type="pct"/>
            <w:shd w:val="clear" w:color="auto" w:fill="FFFFFF" w:themeFill="background1"/>
            <w:noWrap/>
            <w:vAlign w:val="bottom"/>
            <w:hideMark/>
          </w:tcPr>
          <w:p w14:paraId="30F42045"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6 t</w:t>
            </w:r>
          </w:p>
        </w:tc>
        <w:tc>
          <w:tcPr>
            <w:tcW w:w="753" w:type="pct"/>
            <w:shd w:val="clear" w:color="auto" w:fill="FFFFFF" w:themeFill="background1"/>
            <w:noWrap/>
            <w:hideMark/>
          </w:tcPr>
          <w:p w14:paraId="2086CA17"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28.886,3 </w:t>
            </w:r>
          </w:p>
        </w:tc>
        <w:tc>
          <w:tcPr>
            <w:tcW w:w="785" w:type="pct"/>
            <w:shd w:val="clear" w:color="auto" w:fill="FFFFFF" w:themeFill="background1"/>
            <w:noWrap/>
            <w:hideMark/>
          </w:tcPr>
          <w:p w14:paraId="6E0391B8"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29.346,2 </w:t>
            </w:r>
          </w:p>
        </w:tc>
        <w:tc>
          <w:tcPr>
            <w:tcW w:w="445" w:type="pct"/>
            <w:shd w:val="clear" w:color="auto" w:fill="FFFFFF" w:themeFill="background1"/>
          </w:tcPr>
          <w:p w14:paraId="19FA36FB" w14:textId="77777777" w:rsidR="0079428C" w:rsidRPr="00B06D23" w:rsidRDefault="0079428C" w:rsidP="00C276D3">
            <w:pPr>
              <w:spacing w:after="0" w:line="240" w:lineRule="auto"/>
              <w:rPr>
                <w:sz w:val="16"/>
                <w:szCs w:val="16"/>
                <w:lang w:val="es-ES"/>
              </w:rPr>
            </w:pPr>
            <w:r w:rsidRPr="00B06D23">
              <w:rPr>
                <w:sz w:val="16"/>
                <w:szCs w:val="16"/>
              </w:rPr>
              <w:t>2%</w:t>
            </w:r>
          </w:p>
        </w:tc>
        <w:tc>
          <w:tcPr>
            <w:tcW w:w="632" w:type="pct"/>
            <w:shd w:val="clear" w:color="auto" w:fill="FFFFFF" w:themeFill="background1"/>
          </w:tcPr>
          <w:p w14:paraId="2F1C0DD5" w14:textId="77777777" w:rsidR="0079428C" w:rsidRPr="00B06D23" w:rsidRDefault="0079428C" w:rsidP="00C276D3">
            <w:pPr>
              <w:spacing w:after="0" w:line="240" w:lineRule="auto"/>
              <w:jc w:val="center"/>
              <w:rPr>
                <w:sz w:val="16"/>
                <w:szCs w:val="16"/>
                <w:lang w:val="es-ES"/>
              </w:rPr>
            </w:pPr>
            <w:r w:rsidRPr="00B06D23">
              <w:rPr>
                <w:sz w:val="16"/>
                <w:szCs w:val="16"/>
              </w:rPr>
              <w:t xml:space="preserve"> 29.346,2 </w:t>
            </w:r>
          </w:p>
        </w:tc>
      </w:tr>
      <w:tr w:rsidR="0079428C" w:rsidRPr="00B06D23" w14:paraId="60F467AA" w14:textId="77777777" w:rsidTr="00C276D3">
        <w:trPr>
          <w:trHeight w:val="290"/>
        </w:trPr>
        <w:tc>
          <w:tcPr>
            <w:tcW w:w="1193" w:type="pct"/>
            <w:shd w:val="clear" w:color="auto" w:fill="FFFFFF" w:themeFill="background1"/>
            <w:noWrap/>
            <w:vAlign w:val="bottom"/>
            <w:hideMark/>
          </w:tcPr>
          <w:p w14:paraId="0178C716"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para lavado de aisladores</w:t>
            </w:r>
          </w:p>
        </w:tc>
        <w:tc>
          <w:tcPr>
            <w:tcW w:w="1192" w:type="pct"/>
            <w:shd w:val="clear" w:color="auto" w:fill="FFFFFF" w:themeFill="background1"/>
            <w:noWrap/>
            <w:vAlign w:val="bottom"/>
            <w:hideMark/>
          </w:tcPr>
          <w:p w14:paraId="117A4141"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para lavado de aisladores</w:t>
            </w:r>
          </w:p>
        </w:tc>
        <w:tc>
          <w:tcPr>
            <w:tcW w:w="753" w:type="pct"/>
            <w:shd w:val="clear" w:color="auto" w:fill="FFFFFF" w:themeFill="background1"/>
            <w:noWrap/>
            <w:hideMark/>
          </w:tcPr>
          <w:p w14:paraId="1A261F2D"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300.669,0 </w:t>
            </w:r>
          </w:p>
        </w:tc>
        <w:tc>
          <w:tcPr>
            <w:tcW w:w="785" w:type="pct"/>
            <w:shd w:val="clear" w:color="auto" w:fill="FFFFFF" w:themeFill="background1"/>
            <w:noWrap/>
            <w:hideMark/>
          </w:tcPr>
          <w:p w14:paraId="4386C80B"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140.976,0 </w:t>
            </w:r>
          </w:p>
        </w:tc>
        <w:tc>
          <w:tcPr>
            <w:tcW w:w="445" w:type="pct"/>
            <w:shd w:val="clear" w:color="auto" w:fill="FFFFFF" w:themeFill="background1"/>
          </w:tcPr>
          <w:p w14:paraId="24B52327" w14:textId="77777777" w:rsidR="0079428C" w:rsidRPr="00B06D23" w:rsidRDefault="0079428C" w:rsidP="00C276D3">
            <w:pPr>
              <w:spacing w:after="0" w:line="240" w:lineRule="auto"/>
              <w:rPr>
                <w:sz w:val="16"/>
                <w:szCs w:val="16"/>
                <w:lang w:val="es-ES"/>
              </w:rPr>
            </w:pPr>
            <w:r w:rsidRPr="00B06D23">
              <w:rPr>
                <w:sz w:val="16"/>
                <w:szCs w:val="16"/>
              </w:rPr>
              <w:t>-53%</w:t>
            </w:r>
          </w:p>
        </w:tc>
        <w:tc>
          <w:tcPr>
            <w:tcW w:w="632" w:type="pct"/>
            <w:shd w:val="clear" w:color="auto" w:fill="FFFFFF" w:themeFill="background1"/>
          </w:tcPr>
          <w:p w14:paraId="54126689" w14:textId="77777777" w:rsidR="0079428C" w:rsidRPr="00B06D23" w:rsidRDefault="0079428C" w:rsidP="00C276D3">
            <w:pPr>
              <w:spacing w:after="0" w:line="240" w:lineRule="auto"/>
              <w:jc w:val="center"/>
              <w:rPr>
                <w:sz w:val="16"/>
                <w:szCs w:val="16"/>
                <w:lang w:val="es-ES"/>
              </w:rPr>
            </w:pPr>
            <w:r w:rsidRPr="00B06D23">
              <w:rPr>
                <w:sz w:val="16"/>
                <w:szCs w:val="16"/>
              </w:rPr>
              <w:t xml:space="preserve"> 140.976,0 </w:t>
            </w:r>
          </w:p>
        </w:tc>
      </w:tr>
      <w:tr w:rsidR="0079428C" w:rsidRPr="00B06D23" w14:paraId="71F0DF5A" w14:textId="77777777" w:rsidTr="00C276D3">
        <w:trPr>
          <w:trHeight w:val="290"/>
        </w:trPr>
        <w:tc>
          <w:tcPr>
            <w:tcW w:w="1193" w:type="pct"/>
            <w:shd w:val="clear" w:color="auto" w:fill="FFFFFF" w:themeFill="background1"/>
            <w:noWrap/>
            <w:vAlign w:val="bottom"/>
            <w:hideMark/>
          </w:tcPr>
          <w:p w14:paraId="1B39D30E"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canasta (brazo aislado)</w:t>
            </w:r>
          </w:p>
        </w:tc>
        <w:tc>
          <w:tcPr>
            <w:tcW w:w="1192" w:type="pct"/>
            <w:shd w:val="clear" w:color="auto" w:fill="FFFFFF" w:themeFill="background1"/>
            <w:noWrap/>
            <w:vAlign w:val="bottom"/>
            <w:hideMark/>
          </w:tcPr>
          <w:p w14:paraId="146281F3"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canasta (brazo aislado)</w:t>
            </w:r>
          </w:p>
        </w:tc>
        <w:tc>
          <w:tcPr>
            <w:tcW w:w="753" w:type="pct"/>
            <w:shd w:val="clear" w:color="auto" w:fill="FFFFFF" w:themeFill="background1"/>
            <w:noWrap/>
            <w:hideMark/>
          </w:tcPr>
          <w:p w14:paraId="22201428"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46.690,0 </w:t>
            </w:r>
          </w:p>
        </w:tc>
        <w:tc>
          <w:tcPr>
            <w:tcW w:w="785" w:type="pct"/>
            <w:shd w:val="clear" w:color="auto" w:fill="FFFFFF" w:themeFill="background1"/>
            <w:noWrap/>
            <w:hideMark/>
          </w:tcPr>
          <w:p w14:paraId="43B203F2"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36.696,0 </w:t>
            </w:r>
          </w:p>
        </w:tc>
        <w:tc>
          <w:tcPr>
            <w:tcW w:w="445" w:type="pct"/>
            <w:shd w:val="clear" w:color="auto" w:fill="FFFFFF" w:themeFill="background1"/>
          </w:tcPr>
          <w:p w14:paraId="1F4E2459" w14:textId="77777777" w:rsidR="0079428C" w:rsidRPr="00B06D23" w:rsidRDefault="0079428C" w:rsidP="00C276D3">
            <w:pPr>
              <w:spacing w:after="0" w:line="240" w:lineRule="auto"/>
              <w:rPr>
                <w:sz w:val="16"/>
                <w:szCs w:val="16"/>
                <w:lang w:val="es-ES"/>
              </w:rPr>
            </w:pPr>
            <w:r w:rsidRPr="00B06D23">
              <w:rPr>
                <w:sz w:val="16"/>
                <w:szCs w:val="16"/>
              </w:rPr>
              <w:t>-21%</w:t>
            </w:r>
          </w:p>
        </w:tc>
        <w:tc>
          <w:tcPr>
            <w:tcW w:w="632" w:type="pct"/>
            <w:shd w:val="clear" w:color="auto" w:fill="FFFFFF" w:themeFill="background1"/>
          </w:tcPr>
          <w:p w14:paraId="13D51E1C" w14:textId="77777777" w:rsidR="0079428C" w:rsidRPr="00B06D23" w:rsidRDefault="0079428C" w:rsidP="00C276D3">
            <w:pPr>
              <w:spacing w:after="0" w:line="240" w:lineRule="auto"/>
              <w:jc w:val="center"/>
              <w:rPr>
                <w:sz w:val="16"/>
                <w:szCs w:val="16"/>
                <w:lang w:val="es-ES"/>
              </w:rPr>
            </w:pPr>
            <w:r w:rsidRPr="00B06D23">
              <w:rPr>
                <w:sz w:val="16"/>
                <w:szCs w:val="16"/>
              </w:rPr>
              <w:t xml:space="preserve"> 36.696,0 </w:t>
            </w:r>
          </w:p>
        </w:tc>
      </w:tr>
      <w:tr w:rsidR="0079428C" w:rsidRPr="00B06D23" w14:paraId="500A05B4" w14:textId="77777777" w:rsidTr="00C276D3">
        <w:trPr>
          <w:trHeight w:val="290"/>
        </w:trPr>
        <w:tc>
          <w:tcPr>
            <w:tcW w:w="1193" w:type="pct"/>
            <w:shd w:val="clear" w:color="auto" w:fill="FFFFFF" w:themeFill="background1"/>
            <w:noWrap/>
            <w:vAlign w:val="bottom"/>
            <w:hideMark/>
          </w:tcPr>
          <w:p w14:paraId="40B56EF7"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con grúa de 4 t</w:t>
            </w:r>
          </w:p>
        </w:tc>
        <w:tc>
          <w:tcPr>
            <w:tcW w:w="1192" w:type="pct"/>
            <w:shd w:val="clear" w:color="auto" w:fill="FFFFFF" w:themeFill="background1"/>
            <w:noWrap/>
            <w:vAlign w:val="bottom"/>
            <w:hideMark/>
          </w:tcPr>
          <w:p w14:paraId="0B6EC988"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con grúa de 4 t</w:t>
            </w:r>
          </w:p>
        </w:tc>
        <w:tc>
          <w:tcPr>
            <w:tcW w:w="753" w:type="pct"/>
            <w:shd w:val="clear" w:color="auto" w:fill="FFFFFF" w:themeFill="background1"/>
            <w:noWrap/>
            <w:hideMark/>
          </w:tcPr>
          <w:p w14:paraId="34362B0B"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41.022,6 </w:t>
            </w:r>
          </w:p>
        </w:tc>
        <w:tc>
          <w:tcPr>
            <w:tcW w:w="785" w:type="pct"/>
            <w:shd w:val="clear" w:color="auto" w:fill="FFFFFF" w:themeFill="background1"/>
            <w:noWrap/>
            <w:hideMark/>
          </w:tcPr>
          <w:p w14:paraId="1D1E0729"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86.248,8 </w:t>
            </w:r>
          </w:p>
        </w:tc>
        <w:tc>
          <w:tcPr>
            <w:tcW w:w="445" w:type="pct"/>
            <w:shd w:val="clear" w:color="auto" w:fill="FFFFFF" w:themeFill="background1"/>
          </w:tcPr>
          <w:p w14:paraId="24057248" w14:textId="77777777" w:rsidR="0079428C" w:rsidRPr="00B06D23" w:rsidRDefault="0079428C" w:rsidP="00C276D3">
            <w:pPr>
              <w:spacing w:after="0" w:line="240" w:lineRule="auto"/>
              <w:rPr>
                <w:sz w:val="16"/>
                <w:szCs w:val="16"/>
                <w:lang w:val="es-ES"/>
              </w:rPr>
            </w:pPr>
            <w:r w:rsidRPr="00B06D23">
              <w:rPr>
                <w:sz w:val="16"/>
                <w:szCs w:val="16"/>
              </w:rPr>
              <w:t>110%</w:t>
            </w:r>
          </w:p>
        </w:tc>
        <w:tc>
          <w:tcPr>
            <w:tcW w:w="632" w:type="pct"/>
            <w:shd w:val="clear" w:color="auto" w:fill="FFFFFF" w:themeFill="background1"/>
          </w:tcPr>
          <w:p w14:paraId="7FFE0B72" w14:textId="77777777" w:rsidR="0079428C" w:rsidRPr="00B06D23" w:rsidRDefault="0079428C" w:rsidP="00C276D3">
            <w:pPr>
              <w:spacing w:after="0" w:line="240" w:lineRule="auto"/>
              <w:jc w:val="center"/>
              <w:rPr>
                <w:sz w:val="16"/>
                <w:szCs w:val="16"/>
                <w:lang w:val="es-ES"/>
              </w:rPr>
            </w:pPr>
            <w:r w:rsidRPr="00B06D23">
              <w:rPr>
                <w:sz w:val="16"/>
                <w:szCs w:val="16"/>
              </w:rPr>
              <w:t xml:space="preserve"> 41.022,6 </w:t>
            </w:r>
          </w:p>
        </w:tc>
      </w:tr>
      <w:tr w:rsidR="0079428C" w:rsidRPr="00B06D23" w14:paraId="4AF134AB" w14:textId="77777777" w:rsidTr="00C276D3">
        <w:trPr>
          <w:trHeight w:val="290"/>
        </w:trPr>
        <w:tc>
          <w:tcPr>
            <w:tcW w:w="1193" w:type="pct"/>
            <w:shd w:val="clear" w:color="auto" w:fill="FFFFFF" w:themeFill="background1"/>
            <w:noWrap/>
            <w:vAlign w:val="bottom"/>
            <w:hideMark/>
          </w:tcPr>
          <w:p w14:paraId="2B89BCCF"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Bulldozer</w:t>
            </w:r>
          </w:p>
        </w:tc>
        <w:tc>
          <w:tcPr>
            <w:tcW w:w="1192" w:type="pct"/>
            <w:shd w:val="clear" w:color="auto" w:fill="FFFFFF" w:themeFill="background1"/>
            <w:noWrap/>
            <w:vAlign w:val="bottom"/>
            <w:hideMark/>
          </w:tcPr>
          <w:p w14:paraId="5E1D12AF"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Bulldozer</w:t>
            </w:r>
          </w:p>
        </w:tc>
        <w:tc>
          <w:tcPr>
            <w:tcW w:w="753" w:type="pct"/>
            <w:shd w:val="clear" w:color="auto" w:fill="FFFFFF" w:themeFill="background1"/>
            <w:noWrap/>
            <w:hideMark/>
          </w:tcPr>
          <w:p w14:paraId="1C62BA57"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55.077,0 </w:t>
            </w:r>
          </w:p>
        </w:tc>
        <w:tc>
          <w:tcPr>
            <w:tcW w:w="785" w:type="pct"/>
            <w:shd w:val="clear" w:color="auto" w:fill="FFFFFF" w:themeFill="background1"/>
            <w:noWrap/>
            <w:hideMark/>
          </w:tcPr>
          <w:p w14:paraId="12934B43"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116.020,1 </w:t>
            </w:r>
          </w:p>
        </w:tc>
        <w:tc>
          <w:tcPr>
            <w:tcW w:w="445" w:type="pct"/>
            <w:shd w:val="clear" w:color="auto" w:fill="FFFFFF" w:themeFill="background1"/>
          </w:tcPr>
          <w:p w14:paraId="37BB10E6" w14:textId="77777777" w:rsidR="0079428C" w:rsidRPr="00B06D23" w:rsidRDefault="0079428C" w:rsidP="00C276D3">
            <w:pPr>
              <w:spacing w:after="0" w:line="240" w:lineRule="auto"/>
              <w:rPr>
                <w:sz w:val="16"/>
                <w:szCs w:val="16"/>
                <w:lang w:val="es-ES"/>
              </w:rPr>
            </w:pPr>
            <w:r w:rsidRPr="00B06D23">
              <w:rPr>
                <w:sz w:val="16"/>
                <w:szCs w:val="16"/>
              </w:rPr>
              <w:t>111%</w:t>
            </w:r>
          </w:p>
        </w:tc>
        <w:tc>
          <w:tcPr>
            <w:tcW w:w="632" w:type="pct"/>
            <w:shd w:val="clear" w:color="auto" w:fill="FFFFFF" w:themeFill="background1"/>
          </w:tcPr>
          <w:p w14:paraId="1E840CF1" w14:textId="77777777" w:rsidR="0079428C" w:rsidRPr="00B06D23" w:rsidRDefault="0079428C" w:rsidP="00C276D3">
            <w:pPr>
              <w:spacing w:after="0" w:line="240" w:lineRule="auto"/>
              <w:jc w:val="center"/>
              <w:rPr>
                <w:sz w:val="16"/>
                <w:szCs w:val="16"/>
                <w:lang w:val="es-ES"/>
              </w:rPr>
            </w:pPr>
            <w:r w:rsidRPr="00B06D23">
              <w:rPr>
                <w:sz w:val="16"/>
                <w:szCs w:val="16"/>
              </w:rPr>
              <w:t xml:space="preserve"> 55.077,0 </w:t>
            </w:r>
          </w:p>
        </w:tc>
      </w:tr>
      <w:tr w:rsidR="0079428C" w:rsidRPr="00B06D23" w14:paraId="65A35806" w14:textId="77777777" w:rsidTr="00C276D3">
        <w:trPr>
          <w:trHeight w:val="290"/>
        </w:trPr>
        <w:tc>
          <w:tcPr>
            <w:tcW w:w="1193" w:type="pct"/>
            <w:shd w:val="clear" w:color="auto" w:fill="FFFFFF" w:themeFill="background1"/>
            <w:noWrap/>
            <w:vAlign w:val="bottom"/>
            <w:hideMark/>
          </w:tcPr>
          <w:p w14:paraId="227E6A07"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Aljibe</w:t>
            </w:r>
          </w:p>
        </w:tc>
        <w:tc>
          <w:tcPr>
            <w:tcW w:w="1192" w:type="pct"/>
            <w:shd w:val="clear" w:color="auto" w:fill="FFFFFF" w:themeFill="background1"/>
            <w:noWrap/>
            <w:vAlign w:val="bottom"/>
            <w:hideMark/>
          </w:tcPr>
          <w:p w14:paraId="66B64337"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Camión Aljibe</w:t>
            </w:r>
          </w:p>
        </w:tc>
        <w:tc>
          <w:tcPr>
            <w:tcW w:w="753" w:type="pct"/>
            <w:shd w:val="clear" w:color="auto" w:fill="FFFFFF" w:themeFill="background1"/>
            <w:noWrap/>
            <w:hideMark/>
          </w:tcPr>
          <w:p w14:paraId="793D896A"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62.139,1 </w:t>
            </w:r>
          </w:p>
        </w:tc>
        <w:tc>
          <w:tcPr>
            <w:tcW w:w="785" w:type="pct"/>
            <w:shd w:val="clear" w:color="auto" w:fill="FFFFFF" w:themeFill="background1"/>
            <w:noWrap/>
            <w:hideMark/>
          </w:tcPr>
          <w:p w14:paraId="48CDB20D"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66.528,0 </w:t>
            </w:r>
          </w:p>
        </w:tc>
        <w:tc>
          <w:tcPr>
            <w:tcW w:w="445" w:type="pct"/>
            <w:shd w:val="clear" w:color="auto" w:fill="FFFFFF" w:themeFill="background1"/>
          </w:tcPr>
          <w:p w14:paraId="16347105" w14:textId="77777777" w:rsidR="0079428C" w:rsidRPr="00B06D23" w:rsidRDefault="0079428C" w:rsidP="00C276D3">
            <w:pPr>
              <w:spacing w:after="0" w:line="240" w:lineRule="auto"/>
              <w:rPr>
                <w:sz w:val="16"/>
                <w:szCs w:val="16"/>
                <w:lang w:val="es-ES"/>
              </w:rPr>
            </w:pPr>
            <w:r w:rsidRPr="00B06D23">
              <w:rPr>
                <w:sz w:val="16"/>
                <w:szCs w:val="16"/>
              </w:rPr>
              <w:t>7%</w:t>
            </w:r>
          </w:p>
        </w:tc>
        <w:tc>
          <w:tcPr>
            <w:tcW w:w="632" w:type="pct"/>
            <w:shd w:val="clear" w:color="auto" w:fill="FFFFFF" w:themeFill="background1"/>
          </w:tcPr>
          <w:p w14:paraId="74E08D8D" w14:textId="77777777" w:rsidR="0079428C" w:rsidRPr="00B06D23" w:rsidRDefault="0079428C" w:rsidP="00C276D3">
            <w:pPr>
              <w:spacing w:after="0" w:line="240" w:lineRule="auto"/>
              <w:jc w:val="center"/>
              <w:rPr>
                <w:sz w:val="16"/>
                <w:szCs w:val="16"/>
                <w:lang w:val="es-ES"/>
              </w:rPr>
            </w:pPr>
            <w:r w:rsidRPr="00B06D23">
              <w:rPr>
                <w:sz w:val="16"/>
                <w:szCs w:val="16"/>
              </w:rPr>
              <w:t xml:space="preserve"> 66.528,0 </w:t>
            </w:r>
          </w:p>
        </w:tc>
      </w:tr>
      <w:tr w:rsidR="0079428C" w:rsidRPr="00B06D23" w14:paraId="5DDD5DF6" w14:textId="77777777" w:rsidTr="00C276D3">
        <w:trPr>
          <w:trHeight w:val="290"/>
        </w:trPr>
        <w:tc>
          <w:tcPr>
            <w:tcW w:w="1193" w:type="pct"/>
            <w:shd w:val="clear" w:color="auto" w:fill="FFFFFF" w:themeFill="background1"/>
            <w:noWrap/>
            <w:vAlign w:val="bottom"/>
            <w:hideMark/>
          </w:tcPr>
          <w:p w14:paraId="4674DD7C"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Automóvil Gerencia</w:t>
            </w:r>
          </w:p>
        </w:tc>
        <w:tc>
          <w:tcPr>
            <w:tcW w:w="1192" w:type="pct"/>
            <w:shd w:val="clear" w:color="auto" w:fill="FFFFFF" w:themeFill="background1"/>
            <w:noWrap/>
            <w:vAlign w:val="bottom"/>
            <w:hideMark/>
          </w:tcPr>
          <w:p w14:paraId="0C61A8D4" w14:textId="77777777" w:rsidR="0079428C" w:rsidRPr="00B06D23" w:rsidRDefault="0079428C" w:rsidP="00C276D3">
            <w:pPr>
              <w:spacing w:after="0" w:line="240" w:lineRule="auto"/>
              <w:jc w:val="left"/>
              <w:rPr>
                <w:rFonts w:eastAsia="Times New Roman" w:cs="Calibri"/>
                <w:sz w:val="16"/>
                <w:szCs w:val="16"/>
                <w:lang w:val="es-ES" w:eastAsia="es-AR"/>
              </w:rPr>
            </w:pPr>
            <w:r w:rsidRPr="00B06D23">
              <w:rPr>
                <w:rFonts w:eastAsia="Times New Roman" w:cs="Calibri"/>
                <w:sz w:val="16"/>
                <w:szCs w:val="16"/>
                <w:lang w:val="es-ES" w:eastAsia="es-AR"/>
              </w:rPr>
              <w:t>Automóvil Gerencia</w:t>
            </w:r>
          </w:p>
        </w:tc>
        <w:tc>
          <w:tcPr>
            <w:tcW w:w="753" w:type="pct"/>
            <w:shd w:val="clear" w:color="auto" w:fill="FFFFFF" w:themeFill="background1"/>
            <w:noWrap/>
            <w:hideMark/>
          </w:tcPr>
          <w:p w14:paraId="19968B22"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18.871,5 </w:t>
            </w:r>
          </w:p>
        </w:tc>
        <w:tc>
          <w:tcPr>
            <w:tcW w:w="785" w:type="pct"/>
            <w:shd w:val="clear" w:color="auto" w:fill="FFFFFF" w:themeFill="background1"/>
            <w:noWrap/>
            <w:hideMark/>
          </w:tcPr>
          <w:p w14:paraId="3F646115" w14:textId="77777777" w:rsidR="0079428C" w:rsidRPr="00B06D23" w:rsidRDefault="0079428C" w:rsidP="00C276D3">
            <w:pPr>
              <w:spacing w:after="0" w:line="240" w:lineRule="auto"/>
              <w:rPr>
                <w:rFonts w:eastAsia="Times New Roman" w:cs="Calibri"/>
                <w:sz w:val="16"/>
                <w:szCs w:val="16"/>
                <w:lang w:val="es-ES" w:eastAsia="es-AR"/>
              </w:rPr>
            </w:pPr>
            <w:r w:rsidRPr="00B06D23">
              <w:rPr>
                <w:sz w:val="16"/>
                <w:szCs w:val="16"/>
              </w:rPr>
              <w:t xml:space="preserve"> 11.088,0 </w:t>
            </w:r>
          </w:p>
        </w:tc>
        <w:tc>
          <w:tcPr>
            <w:tcW w:w="445" w:type="pct"/>
            <w:shd w:val="clear" w:color="auto" w:fill="FFFFFF" w:themeFill="background1"/>
          </w:tcPr>
          <w:p w14:paraId="08ED3248" w14:textId="77777777" w:rsidR="0079428C" w:rsidRPr="00B06D23" w:rsidRDefault="0079428C" w:rsidP="00C276D3">
            <w:pPr>
              <w:spacing w:after="0" w:line="240" w:lineRule="auto"/>
              <w:rPr>
                <w:sz w:val="16"/>
                <w:szCs w:val="16"/>
                <w:lang w:val="es-ES"/>
              </w:rPr>
            </w:pPr>
            <w:r w:rsidRPr="00B06D23">
              <w:rPr>
                <w:sz w:val="16"/>
                <w:szCs w:val="16"/>
              </w:rPr>
              <w:t>-41%</w:t>
            </w:r>
          </w:p>
        </w:tc>
        <w:tc>
          <w:tcPr>
            <w:tcW w:w="632" w:type="pct"/>
            <w:shd w:val="clear" w:color="auto" w:fill="FFFFFF" w:themeFill="background1"/>
          </w:tcPr>
          <w:p w14:paraId="0EAEAADB" w14:textId="77777777" w:rsidR="0079428C" w:rsidRPr="00B06D23" w:rsidRDefault="0079428C" w:rsidP="00C276D3">
            <w:pPr>
              <w:spacing w:after="0" w:line="240" w:lineRule="auto"/>
              <w:jc w:val="center"/>
              <w:rPr>
                <w:sz w:val="16"/>
                <w:szCs w:val="16"/>
                <w:lang w:val="es-ES"/>
              </w:rPr>
            </w:pPr>
            <w:r w:rsidRPr="00B06D23">
              <w:rPr>
                <w:sz w:val="16"/>
                <w:szCs w:val="16"/>
              </w:rPr>
              <w:t xml:space="preserve"> 11.088,0 </w:t>
            </w:r>
          </w:p>
        </w:tc>
      </w:tr>
    </w:tbl>
    <w:p w14:paraId="106A8E5F" w14:textId="77777777" w:rsidR="0079428C" w:rsidRPr="00B06D23" w:rsidRDefault="0079428C" w:rsidP="0079428C">
      <w:pPr>
        <w:jc w:val="left"/>
        <w:rPr>
          <w:lang w:val="es-ES"/>
        </w:rPr>
      </w:pPr>
      <w:r w:rsidRPr="00B06D23">
        <w:rPr>
          <w:lang w:val="es-ES"/>
        </w:rPr>
        <w:t xml:space="preserve">En general se verifica la conveniencia de arriendo vs compra, salvo el caso de de algunos vehículos como el camión grúa y bulldozer. </w:t>
      </w:r>
    </w:p>
    <w:p w14:paraId="62E48A7B" w14:textId="77777777" w:rsidR="0079428C" w:rsidRPr="00B06D23" w:rsidRDefault="0079428C" w:rsidP="0079428C">
      <w:pPr>
        <w:rPr>
          <w:lang w:val="es-ES"/>
        </w:rPr>
      </w:pPr>
      <w:r w:rsidRPr="00B06D23">
        <w:rPr>
          <w:lang w:val="es-ES"/>
        </w:rPr>
        <w:t>Existen otras ventajas de arriendo frente a compra, que no es posible cuantificar, como por ejemplo la disponibilidad del vehículo y su actualización.  Sobre la base de la  comparación señalada y aún cuando existan diferencias menores al 10%, y teniendo en cuenta las prácticas habituales de las empresas se considera que la empresa modelo y su contratista asumen politicas de arriendo para sus vehículos excepto los vehículos camión grúa y bulldozer donde las diferencias son significativas en la opción de compra.</w:t>
      </w:r>
    </w:p>
    <w:p w14:paraId="74A184D2" w14:textId="77777777" w:rsidR="0079428C" w:rsidRPr="00B06D23" w:rsidRDefault="0079428C" w:rsidP="0079428C">
      <w:pPr>
        <w:rPr>
          <w:lang w:val="es-ES"/>
        </w:rPr>
      </w:pPr>
      <w:r w:rsidRPr="00B06D23">
        <w:rPr>
          <w:lang w:val="es-ES"/>
        </w:rPr>
        <w:t>En el Anexo COMA_3 Modelo/Datos/ Vehículos, se encuentra el análisis de conveniencia de alquiler vs compra de vehículos.</w:t>
      </w:r>
    </w:p>
    <w:p w14:paraId="73715AF5" w14:textId="77777777" w:rsidR="0079428C" w:rsidRPr="00B06D23" w:rsidRDefault="0079428C" w:rsidP="0079428C">
      <w:pPr>
        <w:spacing w:after="240"/>
        <w:rPr>
          <w:lang w:val="es-ES"/>
        </w:rPr>
      </w:pPr>
      <w:r w:rsidRPr="00B06D23">
        <w:rPr>
          <w:lang w:val="es-ES"/>
        </w:rPr>
        <w:t>Se dimensionó la cantidad de vehículos de la empresa modelo en función de la cantidad y tipo de cuadrillas que resulten para atender la operación y mantenimiento de los activos de la empresa de transmisión nacional. Los costos de los vehículos de las cuadrillas de terreno tercerizadas se incorporan al costo del servicio tercerizado.</w:t>
      </w:r>
    </w:p>
    <w:p w14:paraId="5EBB4DC8" w14:textId="77777777" w:rsidR="0079428C" w:rsidRPr="00B06D23" w:rsidRDefault="0079428C" w:rsidP="0079428C">
      <w:pPr>
        <w:spacing w:after="240"/>
        <w:rPr>
          <w:lang w:val="es-ES"/>
        </w:rPr>
      </w:pPr>
      <w:r w:rsidRPr="00B06D23">
        <w:rPr>
          <w:lang w:val="es-ES"/>
        </w:rPr>
        <w:t>Adicionalmente y sobre la base de la cantidad de personal de supervisión y control de las tareas de O&amp;M se dimensionó la cantidad de vehículos para el traslado del personal propio de la estructura de la empresa modelo.</w:t>
      </w:r>
    </w:p>
    <w:p w14:paraId="52A3D755" w14:textId="77777777" w:rsidR="0079428C" w:rsidRPr="00FD055F" w:rsidRDefault="0079428C" w:rsidP="0079428C">
      <w:pPr>
        <w:pStyle w:val="Ttulo3"/>
      </w:pPr>
      <w:bookmarkStart w:id="260" w:name="_Toc32389959"/>
      <w:bookmarkStart w:id="261" w:name="_Toc34398153"/>
      <w:bookmarkStart w:id="262" w:name="_Toc34687247"/>
      <w:r w:rsidRPr="00FD055F">
        <w:t>Metodología de asignación del COMA</w:t>
      </w:r>
      <w:bookmarkEnd w:id="260"/>
      <w:bookmarkEnd w:id="261"/>
      <w:bookmarkEnd w:id="262"/>
    </w:p>
    <w:p w14:paraId="7288C45F" w14:textId="77777777" w:rsidR="0079428C" w:rsidRPr="00B06D23" w:rsidRDefault="0079428C" w:rsidP="0079428C">
      <w:pPr>
        <w:rPr>
          <w:lang w:val="es-ES"/>
        </w:rPr>
      </w:pPr>
      <w:r w:rsidRPr="00B06D23">
        <w:rPr>
          <w:lang w:val="es-ES"/>
        </w:rPr>
        <w:t>Se denominan costos directos a aquellos en los que se puede identificar la instalación que origina el costo o el propietario al que le fue asignado .</w:t>
      </w:r>
    </w:p>
    <w:p w14:paraId="03E27151" w14:textId="77777777" w:rsidR="0079428C" w:rsidRPr="00B06D23" w:rsidRDefault="0079428C" w:rsidP="0079428C">
      <w:pPr>
        <w:jc w:val="left"/>
        <w:rPr>
          <w:lang w:val="es-ES"/>
        </w:rPr>
      </w:pPr>
      <w:r w:rsidRPr="00B06D23">
        <w:rPr>
          <w:lang w:val="es-ES"/>
        </w:rPr>
        <w:t>La asignación del COMA a cada tramo se realizará de la siguiente forma.</w:t>
      </w:r>
    </w:p>
    <w:p w14:paraId="2121ED32" w14:textId="77777777" w:rsidR="0079428C" w:rsidRPr="00B06D23" w:rsidRDefault="0079428C" w:rsidP="002E20CA">
      <w:pPr>
        <w:pStyle w:val="Prrafodelista"/>
        <w:numPr>
          <w:ilvl w:val="0"/>
          <w:numId w:val="37"/>
        </w:numPr>
        <w:rPr>
          <w:lang w:val="es-ES"/>
        </w:rPr>
      </w:pPr>
      <w:r w:rsidRPr="00B06D23">
        <w:rPr>
          <w:lang w:val="es-ES"/>
        </w:rPr>
        <w:t>Costos directos: asignación directa a las intalaciones que componen cada tramo. Dentro de esta categoria se incluyen los costos de operación y mantenimiento en terreno, los costos de vigilancia de subestaciones, costo de contribuciones, y  consumo de electricidad por subestación.</w:t>
      </w:r>
    </w:p>
    <w:p w14:paraId="2D95568E" w14:textId="77777777" w:rsidR="0079428C" w:rsidRPr="00B06D23" w:rsidRDefault="0079428C" w:rsidP="0079428C">
      <w:pPr>
        <w:pStyle w:val="Prrafodelista"/>
        <w:jc w:val="left"/>
        <w:rPr>
          <w:lang w:val="es-ES"/>
        </w:rPr>
      </w:pPr>
    </w:p>
    <w:p w14:paraId="552652B0" w14:textId="77777777" w:rsidR="0079428C" w:rsidRPr="00B06D23" w:rsidRDefault="0079428C" w:rsidP="002E20CA">
      <w:pPr>
        <w:pStyle w:val="Prrafodelista"/>
        <w:numPr>
          <w:ilvl w:val="0"/>
          <w:numId w:val="37"/>
        </w:numPr>
        <w:rPr>
          <w:lang w:val="es-ES"/>
        </w:rPr>
      </w:pPr>
      <w:r w:rsidRPr="00B06D23">
        <w:rPr>
          <w:lang w:val="es-ES"/>
        </w:rPr>
        <w:t>Costos indirectos de unidades regionales que supervisan las actividades de terreno: asignación  de los costos de cada regional a cada tramo en función del V.I del tramo sobre el total del V.I de los tramos que atiende esa unidad regional. Dentro de esta categoria se incluyen los costos del personal y gastos asociados de las oficinas regionales que supervisan las instalaciones a su cargo y los costos de bienes muebles e inmuebles de cada regional.</w:t>
      </w:r>
    </w:p>
    <w:p w14:paraId="3A3F0041" w14:textId="77777777" w:rsidR="0079428C" w:rsidRPr="00B06D23" w:rsidRDefault="0079428C" w:rsidP="0079428C">
      <w:pPr>
        <w:pStyle w:val="Prrafodelista"/>
        <w:jc w:val="left"/>
        <w:rPr>
          <w:lang w:val="es-ES"/>
        </w:rPr>
      </w:pPr>
    </w:p>
    <w:p w14:paraId="1DF9A10C" w14:textId="77777777" w:rsidR="0079428C" w:rsidRPr="00B06D23" w:rsidRDefault="0079428C" w:rsidP="002E20CA">
      <w:pPr>
        <w:pStyle w:val="Prrafodelista"/>
        <w:numPr>
          <w:ilvl w:val="0"/>
          <w:numId w:val="37"/>
        </w:numPr>
        <w:rPr>
          <w:lang w:val="es-ES"/>
        </w:rPr>
      </w:pPr>
      <w:r w:rsidRPr="00B06D23">
        <w:rPr>
          <w:lang w:val="es-ES"/>
        </w:rPr>
        <w:t>Costos indirectos de estructura: asignación a cada tramo en forma similar a lo indicado en punto 2) pero considerando como denominador el V.I total de la EM. Dentro de esta categoria se incluyen se incluyen los costos del personal y gastos asociados a la estructura central  de apoyo que sirve a toda la empresa de transmision nacional asi como los bienes muebles e inmuebles asociados a dicha estructura.</w:t>
      </w:r>
    </w:p>
    <w:p w14:paraId="0CA3FE43" w14:textId="77777777" w:rsidR="0079428C" w:rsidRPr="00B06D23" w:rsidRDefault="0079428C" w:rsidP="0079428C">
      <w:pPr>
        <w:jc w:val="left"/>
        <w:rPr>
          <w:lang w:val="es-ES"/>
        </w:rPr>
      </w:pPr>
      <w:r w:rsidRPr="00B06D23">
        <w:rPr>
          <w:lang w:val="es-ES"/>
        </w:rPr>
        <w:t>Con  respecto a los BMI, éstos se asignarán con el mismo criterio indicado en el punto 2).</w:t>
      </w:r>
    </w:p>
    <w:p w14:paraId="0A5E0CF6" w14:textId="77777777" w:rsidR="0079428C" w:rsidRPr="00F465C5" w:rsidRDefault="0079428C" w:rsidP="0079428C">
      <w:pPr>
        <w:pStyle w:val="Ttulo3"/>
      </w:pPr>
      <w:bookmarkStart w:id="263" w:name="_Toc24439460"/>
      <w:bookmarkStart w:id="264" w:name="_Toc32389957"/>
      <w:bookmarkStart w:id="265" w:name="_Toc34398154"/>
      <w:bookmarkStart w:id="266" w:name="_Toc34687248"/>
      <w:r w:rsidRPr="00F465C5">
        <w:t>Modelo de cálculo del COMA</w:t>
      </w:r>
      <w:bookmarkEnd w:id="263"/>
      <w:bookmarkEnd w:id="264"/>
      <w:bookmarkEnd w:id="265"/>
      <w:bookmarkEnd w:id="266"/>
    </w:p>
    <w:p w14:paraId="5523EAD2" w14:textId="77777777" w:rsidR="0079428C" w:rsidRPr="00B06D23" w:rsidRDefault="0079428C" w:rsidP="0079428C">
      <w:pPr>
        <w:tabs>
          <w:tab w:val="left" w:pos="5954"/>
        </w:tabs>
        <w:rPr>
          <w:rFonts w:cs="Arial"/>
          <w:szCs w:val="22"/>
          <w:lang w:val="es-ES"/>
        </w:rPr>
      </w:pPr>
      <w:r w:rsidRPr="00B06D23">
        <w:rPr>
          <w:rFonts w:cs="Arial"/>
          <w:szCs w:val="22"/>
          <w:lang w:val="es-ES"/>
        </w:rPr>
        <w:t>Este punto presenta la descripción funcional del modelo que realizará los cálculos del COMA.</w:t>
      </w:r>
    </w:p>
    <w:p w14:paraId="5DF44FA2" w14:textId="77777777" w:rsidR="0079428C" w:rsidRPr="00B06D23" w:rsidRDefault="0079428C" w:rsidP="0079428C">
      <w:pPr>
        <w:tabs>
          <w:tab w:val="left" w:pos="5954"/>
        </w:tabs>
        <w:rPr>
          <w:rFonts w:cs="Arial"/>
          <w:szCs w:val="22"/>
          <w:lang w:val="es-ES"/>
        </w:rPr>
      </w:pPr>
      <w:r w:rsidRPr="00B06D23">
        <w:rPr>
          <w:rFonts w:cs="Arial"/>
          <w:szCs w:val="22"/>
          <w:lang w:val="es-ES"/>
        </w:rPr>
        <w:t>Para el cálculo de los costos eficientes de las actividades de explotación, el consultor utilizará un software especialmente desarrollado que asegura la trazabilidad, la facilidad de seguimiento y la consistencia de los datos y resultados. La aplicación será desarrollada en MS Excel®.</w:t>
      </w:r>
    </w:p>
    <w:p w14:paraId="009FCF6D" w14:textId="77777777" w:rsidR="0079428C" w:rsidRPr="00B06D23" w:rsidRDefault="0079428C" w:rsidP="0079428C">
      <w:pPr>
        <w:tabs>
          <w:tab w:val="left" w:pos="5954"/>
        </w:tabs>
        <w:rPr>
          <w:rFonts w:cs="Arial"/>
          <w:szCs w:val="22"/>
          <w:lang w:val="es-ES"/>
        </w:rPr>
      </w:pPr>
      <w:r w:rsidRPr="00B06D23">
        <w:rPr>
          <w:rFonts w:cs="Arial"/>
          <w:szCs w:val="22"/>
          <w:lang w:val="es-ES"/>
        </w:rPr>
        <w:t>El software desarrollado para el cálculo de los costos de administración y costos directos de operación y mantenimiento y comercialización se denomina ME-ROMA (</w:t>
      </w:r>
      <w:r w:rsidRPr="00B06D23">
        <w:rPr>
          <w:rFonts w:cs="Arial"/>
          <w:i/>
          <w:iCs/>
          <w:szCs w:val="22"/>
          <w:lang w:val="es-ES"/>
        </w:rPr>
        <w:t>Requirements of Operation, Maintenance and Administration</w:t>
      </w:r>
      <w:r w:rsidRPr="00B06D23">
        <w:rPr>
          <w:rFonts w:cs="Arial"/>
          <w:szCs w:val="22"/>
          <w:lang w:val="es-ES"/>
        </w:rPr>
        <w:t>), el mismo permite detallar las diferentes tareas que se realizan para operar el sistema eléctrico, llevar a cabo el mantenimiento correctivo y preventivo, y describir los costos de su estructura administrativa y en términos generales permite considerar cualquier otra tarea que resulte necesaria considerar en el diseño de la empresa eficiente de transmisión nacional.</w:t>
      </w:r>
    </w:p>
    <w:p w14:paraId="0DE52659" w14:textId="77777777" w:rsidR="0079428C" w:rsidRPr="00B06D23" w:rsidRDefault="0079428C" w:rsidP="0079428C">
      <w:pPr>
        <w:tabs>
          <w:tab w:val="left" w:pos="5954"/>
        </w:tabs>
        <w:rPr>
          <w:rFonts w:cs="Arial"/>
          <w:szCs w:val="22"/>
          <w:lang w:val="es-ES"/>
        </w:rPr>
      </w:pPr>
      <w:r w:rsidRPr="00B06D23">
        <w:rPr>
          <w:rFonts w:cs="Arial"/>
          <w:szCs w:val="22"/>
          <w:lang w:val="es-ES"/>
        </w:rPr>
        <w:t>En el siguiente gráfico incorporamos una visión funcional del costeo, centrada en la trazabilidad y operación del sistema.</w:t>
      </w:r>
    </w:p>
    <w:p w14:paraId="2AFCDC15" w14:textId="77777777" w:rsidR="0079428C" w:rsidRPr="00B06D23" w:rsidRDefault="0079428C" w:rsidP="002E20CA">
      <w:pPr>
        <w:numPr>
          <w:ilvl w:val="0"/>
          <w:numId w:val="34"/>
        </w:numPr>
        <w:spacing w:before="60" w:after="120" w:line="360" w:lineRule="auto"/>
        <w:rPr>
          <w:rFonts w:cs="Calibri"/>
          <w:lang w:val="es-ES"/>
        </w:rPr>
      </w:pPr>
      <w:r w:rsidRPr="00B06D23">
        <w:rPr>
          <w:rFonts w:cs="Calibri"/>
          <w:lang w:val="es-ES"/>
        </w:rPr>
        <w:t>Generación de elementos de costeo: está constituida por la base de datos de costos unitarios de materiales, servicios y salarios relevados del mercado.</w:t>
      </w:r>
    </w:p>
    <w:p w14:paraId="4193D600" w14:textId="77777777" w:rsidR="0079428C" w:rsidRPr="00B06D23" w:rsidRDefault="0079428C" w:rsidP="002E20CA">
      <w:pPr>
        <w:numPr>
          <w:ilvl w:val="0"/>
          <w:numId w:val="34"/>
        </w:numPr>
        <w:spacing w:before="60" w:after="120" w:line="360" w:lineRule="auto"/>
        <w:rPr>
          <w:rFonts w:cs="Calibri"/>
          <w:lang w:val="es-ES"/>
        </w:rPr>
      </w:pPr>
      <w:r w:rsidRPr="00B06D23">
        <w:rPr>
          <w:rFonts w:cs="Calibri"/>
          <w:lang w:val="es-ES"/>
        </w:rPr>
        <w:t>Proyectos de costeo: está constituida por la infraestructura de los activos físicos, es decir estaciones transformadoras, líneas, paños, y equipos de compensación.</w:t>
      </w:r>
    </w:p>
    <w:p w14:paraId="5F85A151" w14:textId="77777777" w:rsidR="0079428C" w:rsidRPr="00B06D23" w:rsidRDefault="0079428C" w:rsidP="002E20CA">
      <w:pPr>
        <w:numPr>
          <w:ilvl w:val="0"/>
          <w:numId w:val="34"/>
        </w:numPr>
        <w:spacing w:before="60" w:after="120" w:line="360" w:lineRule="auto"/>
        <w:rPr>
          <w:rFonts w:cs="Calibri"/>
          <w:lang w:val="es-ES"/>
        </w:rPr>
      </w:pPr>
      <w:r w:rsidRPr="00B06D23">
        <w:rPr>
          <w:rFonts w:cs="Calibri"/>
          <w:lang w:val="es-ES"/>
        </w:rPr>
        <w:t>Análisis de resultados: son las tablas de salida según los requerimientos de las bases técnicas.</w:t>
      </w:r>
    </w:p>
    <w:p w14:paraId="248A8462" w14:textId="77777777" w:rsidR="0079428C" w:rsidRPr="00B06D23" w:rsidRDefault="0079428C" w:rsidP="0079428C">
      <w:pPr>
        <w:spacing w:before="60" w:after="120" w:line="240" w:lineRule="auto"/>
        <w:ind w:left="709" w:hanging="709"/>
        <w:jc w:val="center"/>
        <w:rPr>
          <w:rFonts w:eastAsia="Times New Roman" w:cs="Calibri"/>
          <w:b/>
          <w:lang w:val="es-ES" w:eastAsia="es-ES"/>
        </w:rPr>
      </w:pPr>
      <w:r w:rsidRPr="00B06D23">
        <w:rPr>
          <w:rFonts w:eastAsia="Times New Roman" w:cs="Calibri"/>
          <w:b/>
          <w:lang w:val="es-ES" w:eastAsia="es-ES"/>
        </w:rPr>
        <w:t>Figura Flujograma de Costeo</w:t>
      </w:r>
    </w:p>
    <w:p w14:paraId="710562EA" w14:textId="77777777" w:rsidR="0079428C" w:rsidRPr="00B06D23" w:rsidRDefault="0079428C" w:rsidP="0079428C">
      <w:pPr>
        <w:spacing w:before="60" w:after="120" w:line="240" w:lineRule="auto"/>
        <w:jc w:val="center"/>
        <w:rPr>
          <w:rFonts w:eastAsia="Times New Roman" w:cs="Calibri"/>
          <w:lang w:val="es-ES" w:eastAsia="es-ES"/>
        </w:rPr>
      </w:pPr>
      <w:r w:rsidRPr="00B06D23">
        <w:rPr>
          <w:rFonts w:eastAsia="Times New Roman" w:cs="Calibri"/>
          <w:noProof/>
          <w:lang w:val="es-AR" w:eastAsia="es-AR"/>
        </w:rPr>
        <w:drawing>
          <wp:inline distT="0" distB="0" distL="0" distR="0" wp14:anchorId="184A506B" wp14:editId="75FBC6CD">
            <wp:extent cx="4924425" cy="2305050"/>
            <wp:effectExtent l="0" t="0" r="0" b="0"/>
            <wp:docPr id="5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24425" cy="2305050"/>
                    </a:xfrm>
                    <a:prstGeom prst="rect">
                      <a:avLst/>
                    </a:prstGeom>
                    <a:noFill/>
                    <a:ln>
                      <a:noFill/>
                    </a:ln>
                  </pic:spPr>
                </pic:pic>
              </a:graphicData>
            </a:graphic>
          </wp:inline>
        </w:drawing>
      </w:r>
    </w:p>
    <w:p w14:paraId="76B09780" w14:textId="77777777" w:rsidR="0079428C" w:rsidRPr="00B06D23" w:rsidRDefault="0079428C" w:rsidP="0079428C">
      <w:pPr>
        <w:spacing w:before="60" w:after="120" w:line="240" w:lineRule="auto"/>
        <w:rPr>
          <w:rFonts w:eastAsia="Times New Roman" w:cs="Calibri"/>
          <w:lang w:val="es-ES" w:eastAsia="es-ES"/>
        </w:rPr>
      </w:pPr>
    </w:p>
    <w:p w14:paraId="6FB10A4D" w14:textId="77777777" w:rsidR="0079428C" w:rsidRPr="00B06D23" w:rsidRDefault="0079428C" w:rsidP="0079428C">
      <w:pPr>
        <w:spacing w:before="60" w:after="120" w:line="240" w:lineRule="auto"/>
        <w:rPr>
          <w:rFonts w:eastAsia="Times New Roman" w:cs="Calibri"/>
          <w:lang w:val="es-ES" w:eastAsia="es-ES"/>
        </w:rPr>
      </w:pPr>
      <w:r w:rsidRPr="00B06D23">
        <w:rPr>
          <w:rFonts w:eastAsia="Times New Roman" w:cs="Calibri"/>
          <w:lang w:val="es-ES" w:eastAsia="es-ES"/>
        </w:rPr>
        <w:t>El modelo permite particularizar:</w:t>
      </w:r>
    </w:p>
    <w:p w14:paraId="75E50F1A" w14:textId="77777777" w:rsidR="0079428C" w:rsidRPr="00B06D23" w:rsidRDefault="0079428C" w:rsidP="002E20CA">
      <w:pPr>
        <w:pStyle w:val="Prrafodelista"/>
        <w:numPr>
          <w:ilvl w:val="0"/>
          <w:numId w:val="35"/>
        </w:numPr>
        <w:tabs>
          <w:tab w:val="left" w:pos="5954"/>
        </w:tabs>
        <w:rPr>
          <w:rFonts w:cs="Arial"/>
          <w:szCs w:val="22"/>
          <w:lang w:val="es-ES"/>
        </w:rPr>
      </w:pPr>
      <w:r w:rsidRPr="00B06D23">
        <w:rPr>
          <w:rFonts w:cs="Arial"/>
          <w:szCs w:val="22"/>
          <w:lang w:val="es-ES"/>
        </w:rPr>
        <w:t>Las tareas de mantenimiento preventivo y correctivo con su frecuencia de ejecución y cuadrilla asociada para cada Unidad Constructiva (UC) y sus componentes. Por ejemplo, para la UC Paño, las tareas para los componentes interruptor, desconectador, sistema de control y protecciones, sistema de medición.</w:t>
      </w:r>
    </w:p>
    <w:p w14:paraId="6F813E45" w14:textId="77777777" w:rsidR="0079428C" w:rsidRPr="00B06D23" w:rsidRDefault="0079428C" w:rsidP="002E20CA">
      <w:pPr>
        <w:pStyle w:val="Prrafodelista"/>
        <w:numPr>
          <w:ilvl w:val="0"/>
          <w:numId w:val="35"/>
        </w:numPr>
        <w:tabs>
          <w:tab w:val="left" w:pos="5954"/>
        </w:tabs>
        <w:rPr>
          <w:rFonts w:cs="Arial"/>
          <w:szCs w:val="22"/>
          <w:lang w:val="es-ES"/>
        </w:rPr>
      </w:pPr>
      <w:r w:rsidRPr="00B06D23">
        <w:rPr>
          <w:rFonts w:cs="Arial"/>
          <w:szCs w:val="22"/>
          <w:lang w:val="es-ES"/>
        </w:rPr>
        <w:t>Las frecuencias específicas de ejecución de tareas de mantenimiento relacionadas con el medio (ej Contaminación salina) para cada UC en particular en función de su ubicación.</w:t>
      </w:r>
    </w:p>
    <w:p w14:paraId="4C3ED793" w14:textId="77777777" w:rsidR="0079428C" w:rsidRPr="00B06D23" w:rsidRDefault="0079428C" w:rsidP="002E20CA">
      <w:pPr>
        <w:pStyle w:val="Prrafodelista"/>
        <w:numPr>
          <w:ilvl w:val="0"/>
          <w:numId w:val="35"/>
        </w:numPr>
        <w:tabs>
          <w:tab w:val="left" w:pos="5954"/>
        </w:tabs>
        <w:rPr>
          <w:rFonts w:cs="Arial"/>
          <w:szCs w:val="22"/>
          <w:lang w:val="es-ES"/>
        </w:rPr>
      </w:pPr>
      <w:r w:rsidRPr="00B06D23">
        <w:rPr>
          <w:rFonts w:cs="Arial"/>
          <w:szCs w:val="22"/>
          <w:lang w:val="es-ES"/>
        </w:rPr>
        <w:t>Los tiempos de traslado de las cuadrillas a cada UC en función de su ubicación y la distancia a las sedes técnicas de donde parten las cuadrillas.</w:t>
      </w:r>
    </w:p>
    <w:p w14:paraId="21E0FBA5" w14:textId="77777777" w:rsidR="0079428C" w:rsidRPr="00B06D23" w:rsidRDefault="0079428C" w:rsidP="0079428C">
      <w:pPr>
        <w:spacing w:before="60" w:after="120" w:line="240" w:lineRule="auto"/>
        <w:rPr>
          <w:rFonts w:cs="Arial"/>
          <w:szCs w:val="22"/>
          <w:lang w:val="es-ES"/>
        </w:rPr>
      </w:pPr>
      <w:r w:rsidRPr="00B06D23">
        <w:rPr>
          <w:rFonts w:cs="Arial"/>
          <w:szCs w:val="22"/>
          <w:lang w:val="es-ES"/>
        </w:rPr>
        <w:t>De esta manera el modelo permite definir en forma detallada activo por activo de las tareas, factores exógenos, y tiempos de traslado que permite una adecuada caracterización de los recursos requeridos para las tareas de operación y mantenimiento.</w:t>
      </w:r>
    </w:p>
    <w:p w14:paraId="4F22A93B" w14:textId="77777777" w:rsidR="0079428C" w:rsidRPr="00354C2E" w:rsidRDefault="0079428C" w:rsidP="0079428C">
      <w:pPr>
        <w:spacing w:before="60" w:after="120" w:line="240" w:lineRule="auto"/>
        <w:rPr>
          <w:rFonts w:cs="Arial"/>
          <w:szCs w:val="22"/>
          <w:lang w:val="es-ES"/>
        </w:rPr>
      </w:pPr>
      <w:r w:rsidRPr="00354C2E">
        <w:rPr>
          <w:rFonts w:cs="Arial"/>
          <w:szCs w:val="22"/>
          <w:lang w:val="es-ES"/>
        </w:rPr>
        <w:t>El modelo se componen de dos módulos que son:</w:t>
      </w:r>
    </w:p>
    <w:p w14:paraId="7FC3106D" w14:textId="77777777" w:rsidR="0079428C" w:rsidRPr="00354C2E" w:rsidRDefault="0079428C" w:rsidP="002E20CA">
      <w:pPr>
        <w:pStyle w:val="Prrafodelista"/>
        <w:numPr>
          <w:ilvl w:val="0"/>
          <w:numId w:val="60"/>
        </w:numPr>
        <w:spacing w:before="60" w:after="120" w:line="240" w:lineRule="auto"/>
        <w:rPr>
          <w:rFonts w:cs="Arial"/>
          <w:szCs w:val="22"/>
          <w:lang w:val="es-ES"/>
        </w:rPr>
      </w:pPr>
      <w:r w:rsidRPr="00354C2E">
        <w:rPr>
          <w:rFonts w:cs="Arial"/>
          <w:szCs w:val="22"/>
          <w:lang w:val="es-ES"/>
        </w:rPr>
        <w:t xml:space="preserve">Estructura Central y Regionales: Archivo “Modelo EC&amp;ER” </w:t>
      </w:r>
    </w:p>
    <w:p w14:paraId="795A1730" w14:textId="1279BC94" w:rsidR="0079428C" w:rsidRPr="00354C2E" w:rsidRDefault="00F64D04" w:rsidP="002E20CA">
      <w:pPr>
        <w:pStyle w:val="Prrafodelista"/>
        <w:numPr>
          <w:ilvl w:val="0"/>
          <w:numId w:val="60"/>
        </w:numPr>
        <w:spacing w:before="60" w:after="120" w:line="240" w:lineRule="auto"/>
        <w:rPr>
          <w:rFonts w:cs="Arial"/>
          <w:szCs w:val="22"/>
          <w:lang w:val="es-ES"/>
        </w:rPr>
      </w:pPr>
      <w:r w:rsidRPr="00354C2E">
        <w:rPr>
          <w:rFonts w:cs="Arial"/>
          <w:szCs w:val="22"/>
          <w:lang w:val="es-ES"/>
        </w:rPr>
        <w:t>Costos directos de brigadas de OyM: Archivos: “ModeloV4.xlsm” para líneas y “ModeloV4_SE.xlsx” para subestaciones.</w:t>
      </w:r>
    </w:p>
    <w:p w14:paraId="1038745E" w14:textId="77777777" w:rsidR="0079428C" w:rsidRPr="00B06D23" w:rsidRDefault="0079428C" w:rsidP="0079428C">
      <w:pPr>
        <w:pStyle w:val="Ttulo4"/>
        <w:rPr>
          <w:lang w:val="es-ES"/>
        </w:rPr>
      </w:pPr>
      <w:bookmarkStart w:id="267" w:name="_Toc34398155"/>
      <w:bookmarkStart w:id="268" w:name="_Toc34687249"/>
      <w:r w:rsidRPr="00B06D23">
        <w:rPr>
          <w:lang w:val="es-ES"/>
        </w:rPr>
        <w:t>Estructura Central y Regionales</w:t>
      </w:r>
      <w:bookmarkEnd w:id="267"/>
      <w:bookmarkEnd w:id="268"/>
    </w:p>
    <w:p w14:paraId="60D4EB3A" w14:textId="77777777" w:rsidR="0079428C" w:rsidRPr="00B06D23" w:rsidRDefault="0079428C" w:rsidP="0079428C">
      <w:pPr>
        <w:rPr>
          <w:lang w:val="es-ES"/>
        </w:rPr>
      </w:pPr>
      <w:r w:rsidRPr="00B06D23">
        <w:rPr>
          <w:lang w:val="es-ES"/>
        </w:rPr>
        <w:t>En este módulo se dimensiona y  calculan los costos del personal de plantilla y gastos  de la estructura central (“Corporate”) y de las unidades regionales (norte, centro, centro sur y sur).</w:t>
      </w:r>
    </w:p>
    <w:p w14:paraId="6350E8EF" w14:textId="77777777" w:rsidR="0079428C" w:rsidRPr="00B06D23" w:rsidRDefault="0079428C" w:rsidP="0079428C">
      <w:pPr>
        <w:rPr>
          <w:lang w:val="es-ES"/>
        </w:rPr>
      </w:pPr>
      <w:r w:rsidRPr="00B06D23">
        <w:rPr>
          <w:lang w:val="es-ES"/>
        </w:rPr>
        <w:t xml:space="preserve">El modelo esta estructura de manera que se tiene una hoja denominada “Estructura Central” y una hoja para cada una de las regionales (Regional Norte, Centro, Centro Sur y Sur)- </w:t>
      </w:r>
    </w:p>
    <w:p w14:paraId="32050300" w14:textId="77777777" w:rsidR="0079428C" w:rsidRPr="00B06D23" w:rsidRDefault="0079428C" w:rsidP="0079428C">
      <w:pPr>
        <w:rPr>
          <w:lang w:val="es-ES"/>
        </w:rPr>
      </w:pPr>
      <w:r w:rsidRPr="00B06D23">
        <w:rPr>
          <w:lang w:val="es-ES"/>
        </w:rPr>
        <w:t>En dichas hojas se determina la cantidad de personal para  las Gerencias, Subgerencias, Departamentos en consistencia con la organización empresaria definida en el Anexo COMA_1_Organización empresaria.</w:t>
      </w:r>
    </w:p>
    <w:p w14:paraId="0550D93E" w14:textId="77777777" w:rsidR="0079428C" w:rsidRPr="00B06D23" w:rsidRDefault="0079428C" w:rsidP="0079428C">
      <w:pPr>
        <w:rPr>
          <w:lang w:val="es-ES"/>
        </w:rPr>
      </w:pPr>
      <w:r w:rsidRPr="00B06D23">
        <w:rPr>
          <w:lang w:val="es-ES"/>
        </w:rPr>
        <w:t>Cada puesto y área tiene asociado un items de gastos o bienes muebles e inmuebles que se configura (con 1 o cero) en función de las requerimientos de cada uno.</w:t>
      </w:r>
    </w:p>
    <w:p w14:paraId="09AAC285" w14:textId="77777777" w:rsidR="0079428C" w:rsidRPr="00B06D23" w:rsidRDefault="0079428C" w:rsidP="0079428C">
      <w:pPr>
        <w:rPr>
          <w:lang w:val="es-ES"/>
        </w:rPr>
      </w:pPr>
      <w:r w:rsidRPr="00B06D23">
        <w:rPr>
          <w:lang w:val="es-ES"/>
        </w:rPr>
        <w:t>En forma similar se configuran los gastos o bienes muebles e inmuebles que están asociados al Corporate o cada una de las regionales.</w:t>
      </w:r>
    </w:p>
    <w:p w14:paraId="76F5151F" w14:textId="77777777" w:rsidR="0079428C" w:rsidRPr="00B06D23" w:rsidRDefault="0079428C" w:rsidP="0079428C">
      <w:pPr>
        <w:rPr>
          <w:lang w:val="es-ES"/>
        </w:rPr>
      </w:pPr>
      <w:r w:rsidRPr="00B06D23">
        <w:rPr>
          <w:lang w:val="es-ES"/>
        </w:rPr>
        <w:t>En la hoja “Atencion_SE” se determina la cantidad de operadores y supervisores de operación en función del tamaño y nivel de telemando de la subestación. En la misma hoja se estima la cantidad de m2 de bodegas.</w:t>
      </w:r>
    </w:p>
    <w:p w14:paraId="333837EE" w14:textId="77777777" w:rsidR="0079428C" w:rsidRPr="00B06D23" w:rsidRDefault="0079428C" w:rsidP="0079428C">
      <w:pPr>
        <w:rPr>
          <w:lang w:val="es-ES"/>
        </w:rPr>
      </w:pPr>
      <w:r w:rsidRPr="00B06D23">
        <w:rPr>
          <w:lang w:val="es-ES"/>
        </w:rPr>
        <w:t>La valorización de los gastos se realiza con los costos unitarios que se encuentran consignados en cada hoja, y que están vinculados al archivo soporte denominado “Precios Insumos No electricos” que se encuentra en la Carpeta “Datos”. Dentro de dicha carpeta se pueden encontrar los soportes de los costos unitarios utilizados.</w:t>
      </w:r>
    </w:p>
    <w:p w14:paraId="0EC66E12" w14:textId="77777777" w:rsidR="0079428C" w:rsidRPr="00B06D23" w:rsidRDefault="0079428C" w:rsidP="0079428C">
      <w:pPr>
        <w:rPr>
          <w:lang w:val="es-ES"/>
        </w:rPr>
      </w:pPr>
      <w:r w:rsidRPr="00B06D23">
        <w:rPr>
          <w:lang w:val="es-ES"/>
        </w:rPr>
        <w:t>Los costos laborales son tomados de la hoja “Salarios” dentro del mismo archivo que se encuentra vinculada al archivo soporte de la encuesta PWC que se encuentra en la hoja “Datos”.</w:t>
      </w:r>
    </w:p>
    <w:p w14:paraId="6D795C63" w14:textId="77777777" w:rsidR="0079428C" w:rsidRPr="00B06D23" w:rsidRDefault="0079428C" w:rsidP="0079428C">
      <w:pPr>
        <w:spacing w:before="60" w:after="120" w:line="240" w:lineRule="auto"/>
        <w:rPr>
          <w:rFonts w:cs="Arial"/>
          <w:szCs w:val="22"/>
          <w:lang w:val="es-ES"/>
        </w:rPr>
      </w:pPr>
      <w:r w:rsidRPr="00B06D23">
        <w:rPr>
          <w:rFonts w:cs="Arial"/>
          <w:szCs w:val="22"/>
          <w:lang w:val="es-ES"/>
        </w:rPr>
        <w:t xml:space="preserve">Finalmente las hoja “Resumen” presenta los resultados del COMA de la estructura Central, y las hojas “Tabla Cálculo VATT” y “Tabla Cálculo VATT1 las hojas  que se utilizan para el cálculo del COMA por tramo. </w:t>
      </w:r>
    </w:p>
    <w:p w14:paraId="63DA367A" w14:textId="77777777" w:rsidR="0079428C" w:rsidRPr="00354C2E" w:rsidRDefault="0079428C" w:rsidP="0079428C">
      <w:pPr>
        <w:pStyle w:val="Ttulo4"/>
        <w:rPr>
          <w:lang w:val="es-ES"/>
        </w:rPr>
      </w:pPr>
      <w:bookmarkStart w:id="269" w:name="_Toc34398156"/>
      <w:bookmarkStart w:id="270" w:name="_Ref34639054"/>
      <w:bookmarkStart w:id="271" w:name="_Toc34687250"/>
      <w:r w:rsidRPr="00354C2E">
        <w:rPr>
          <w:lang w:val="es-ES"/>
        </w:rPr>
        <w:t>Costos directos de OyM</w:t>
      </w:r>
      <w:bookmarkEnd w:id="269"/>
      <w:bookmarkEnd w:id="270"/>
      <w:bookmarkEnd w:id="271"/>
    </w:p>
    <w:p w14:paraId="19814A14" w14:textId="77777777" w:rsidR="00F64D04" w:rsidRPr="00354C2E" w:rsidRDefault="00F64D04" w:rsidP="00F64D04">
      <w:pPr>
        <w:spacing w:before="60" w:after="120" w:line="240" w:lineRule="auto"/>
        <w:rPr>
          <w:rFonts w:cs="Arial"/>
          <w:szCs w:val="22"/>
          <w:lang w:val="es-ES"/>
        </w:rPr>
      </w:pPr>
      <w:r w:rsidRPr="00354C2E">
        <w:rPr>
          <w:rFonts w:cs="Arial"/>
          <w:szCs w:val="22"/>
          <w:lang w:val="es-ES"/>
        </w:rPr>
        <w:t>En este módulo se dimensionan los costos directos de operación y mantenimiento, los cuales son abordados en dos módulos:</w:t>
      </w:r>
    </w:p>
    <w:p w14:paraId="10038E4D" w14:textId="77777777" w:rsidR="00F64D04" w:rsidRPr="00354C2E" w:rsidRDefault="00F64D04" w:rsidP="002E20CA">
      <w:pPr>
        <w:pStyle w:val="Prrafodelista"/>
        <w:numPr>
          <w:ilvl w:val="0"/>
          <w:numId w:val="70"/>
        </w:numPr>
        <w:spacing w:before="60" w:after="120" w:line="240" w:lineRule="auto"/>
        <w:rPr>
          <w:rFonts w:cs="Arial"/>
          <w:szCs w:val="22"/>
          <w:lang w:val="es-ES"/>
        </w:rPr>
      </w:pPr>
      <w:r w:rsidRPr="00354C2E">
        <w:rPr>
          <w:rFonts w:cs="Arial"/>
          <w:szCs w:val="22"/>
          <w:lang w:val="es-ES"/>
        </w:rPr>
        <w:t>Módulo de costos de COMA directos de líneas, sin incluir los campos de línea (ModeloV4.xlsm).</w:t>
      </w:r>
    </w:p>
    <w:p w14:paraId="7376D9D1" w14:textId="77777777" w:rsidR="00F64D04" w:rsidRPr="00354C2E" w:rsidRDefault="00F64D04" w:rsidP="002E20CA">
      <w:pPr>
        <w:pStyle w:val="Prrafodelista"/>
        <w:numPr>
          <w:ilvl w:val="0"/>
          <w:numId w:val="70"/>
        </w:numPr>
        <w:spacing w:before="60" w:after="120" w:line="240" w:lineRule="auto"/>
        <w:rPr>
          <w:rFonts w:cs="Arial"/>
          <w:szCs w:val="22"/>
          <w:lang w:val="es-ES"/>
        </w:rPr>
      </w:pPr>
      <w:r w:rsidRPr="00354C2E">
        <w:rPr>
          <w:rFonts w:cs="Arial"/>
          <w:szCs w:val="22"/>
          <w:lang w:val="es-ES"/>
        </w:rPr>
        <w:t>Módulo de costos de COMA directos de Subestaciones (ModeloV4_SE.xlsx).</w:t>
      </w:r>
    </w:p>
    <w:p w14:paraId="318F0975" w14:textId="34214C57" w:rsidR="00F64D04" w:rsidRPr="00354C2E" w:rsidRDefault="00F64D04" w:rsidP="00F64D04">
      <w:pPr>
        <w:spacing w:before="60" w:after="120" w:line="240" w:lineRule="auto"/>
        <w:rPr>
          <w:rFonts w:cs="Arial"/>
          <w:szCs w:val="22"/>
          <w:lang w:val="es-ES"/>
        </w:rPr>
      </w:pPr>
    </w:p>
    <w:p w14:paraId="5019B497" w14:textId="6E2E4D10" w:rsidR="00F64D04" w:rsidRDefault="00F64D04" w:rsidP="00F64D04">
      <w:pPr>
        <w:spacing w:before="60" w:after="120" w:line="240" w:lineRule="auto"/>
        <w:rPr>
          <w:rFonts w:cs="Arial"/>
          <w:szCs w:val="22"/>
          <w:lang w:val="es-ES"/>
        </w:rPr>
      </w:pPr>
    </w:p>
    <w:p w14:paraId="014F56B4" w14:textId="56229268" w:rsidR="000D3EEE" w:rsidRPr="00354C2E" w:rsidRDefault="000D3EEE" w:rsidP="00F64D04">
      <w:pPr>
        <w:spacing w:before="60" w:after="120" w:line="240" w:lineRule="auto"/>
        <w:rPr>
          <w:rFonts w:cs="Arial"/>
          <w:szCs w:val="22"/>
          <w:lang w:val="es-ES"/>
        </w:rPr>
      </w:pPr>
      <w:r w:rsidRPr="00354C2E">
        <w:rPr>
          <w:rFonts w:cs="Arial"/>
          <w:noProof/>
          <w:szCs w:val="22"/>
          <w:lang w:val="es-ES"/>
        </w:rPr>
        <mc:AlternateContent>
          <mc:Choice Requires="wpg">
            <w:drawing>
              <wp:anchor distT="0" distB="0" distL="114300" distR="114300" simplePos="0" relativeHeight="251660288" behindDoc="0" locked="0" layoutInCell="1" allowOverlap="1" wp14:anchorId="07578982" wp14:editId="4442FF04">
                <wp:simplePos x="0" y="0"/>
                <wp:positionH relativeFrom="column">
                  <wp:posOffset>0</wp:posOffset>
                </wp:positionH>
                <wp:positionV relativeFrom="paragraph">
                  <wp:posOffset>0</wp:posOffset>
                </wp:positionV>
                <wp:extent cx="5403913" cy="4241800"/>
                <wp:effectExtent l="0" t="0" r="6350" b="6350"/>
                <wp:wrapNone/>
                <wp:docPr id="18" name="Grupo 18"/>
                <wp:cNvGraphicFramePr/>
                <a:graphic xmlns:a="http://schemas.openxmlformats.org/drawingml/2006/main">
                  <a:graphicData uri="http://schemas.microsoft.com/office/word/2010/wordprocessingGroup">
                    <wpg:wgp>
                      <wpg:cNvGrpSpPr/>
                      <wpg:grpSpPr>
                        <a:xfrm>
                          <a:off x="0" y="0"/>
                          <a:ext cx="5403913" cy="4241800"/>
                          <a:chOff x="0" y="0"/>
                          <a:chExt cx="5403913" cy="4241800"/>
                        </a:xfrm>
                      </wpg:grpSpPr>
                      <wps:wsp>
                        <wps:cNvPr id="19" name="Cuadro de texto 19"/>
                        <wps:cNvSpPr txBox="1"/>
                        <wps:spPr>
                          <a:xfrm>
                            <a:off x="0" y="0"/>
                            <a:ext cx="2516505" cy="850900"/>
                          </a:xfrm>
                          <a:prstGeom prst="rect">
                            <a:avLst/>
                          </a:prstGeom>
                          <a:solidFill>
                            <a:srgbClr val="DED092"/>
                          </a:solidFill>
                          <a:ln w="6350">
                            <a:noFill/>
                          </a:ln>
                        </wps:spPr>
                        <wps:txbx>
                          <w:txbxContent>
                            <w:p w14:paraId="712A7BA2" w14:textId="77777777" w:rsidR="00904836" w:rsidRPr="00505378" w:rsidRDefault="00904836" w:rsidP="000D3EEE">
                              <w:pPr>
                                <w:rPr>
                                  <w:b/>
                                  <w:bCs/>
                                  <w:sz w:val="20"/>
                                  <w:szCs w:val="20"/>
                                  <w:lang w:val="es-AR"/>
                                </w:rPr>
                              </w:pPr>
                              <w:r w:rsidRPr="00505378">
                                <w:rPr>
                                  <w:b/>
                                  <w:bCs/>
                                  <w:sz w:val="20"/>
                                  <w:szCs w:val="20"/>
                                  <w:lang w:val="es-AR"/>
                                </w:rPr>
                                <w:t>Módulo de COMA directo de Líneas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Cuadro de texto 20"/>
                        <wps:cNvSpPr txBox="1"/>
                        <wps:spPr>
                          <a:xfrm>
                            <a:off x="0" y="914400"/>
                            <a:ext cx="2516863" cy="3327400"/>
                          </a:xfrm>
                          <a:prstGeom prst="rect">
                            <a:avLst/>
                          </a:prstGeom>
                          <a:solidFill>
                            <a:srgbClr val="DED092"/>
                          </a:solidFill>
                          <a:ln w="6350">
                            <a:noFill/>
                          </a:ln>
                        </wps:spPr>
                        <wps:txbx>
                          <w:txbxContent>
                            <w:p w14:paraId="05D5E739" w14:textId="77777777" w:rsidR="00904836" w:rsidRPr="00505378" w:rsidRDefault="00904836" w:rsidP="000D3EEE">
                              <w:pPr>
                                <w:spacing w:after="120" w:line="240" w:lineRule="auto"/>
                                <w:rPr>
                                  <w:b/>
                                  <w:bCs/>
                                  <w:sz w:val="20"/>
                                  <w:szCs w:val="20"/>
                                  <w:lang w:val="es-AR"/>
                                </w:rPr>
                              </w:pPr>
                              <w:r w:rsidRPr="00505378">
                                <w:rPr>
                                  <w:b/>
                                  <w:bCs/>
                                  <w:sz w:val="20"/>
                                  <w:szCs w:val="20"/>
                                  <w:lang w:val="es-AR"/>
                                </w:rPr>
                                <w:t>Módulo de COMA directo de Subestaciones</w:t>
                              </w:r>
                            </w:p>
                            <w:p w14:paraId="7A142270" w14:textId="77777777" w:rsidR="00904836" w:rsidRPr="00505378" w:rsidRDefault="00904836" w:rsidP="000D3EEE">
                              <w:pPr>
                                <w:spacing w:after="240"/>
                                <w:rPr>
                                  <w:sz w:val="20"/>
                                  <w:szCs w:val="20"/>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Cuadro de texto 21"/>
                        <wps:cNvSpPr txBox="1"/>
                        <wps:spPr>
                          <a:xfrm>
                            <a:off x="99588" y="2906162"/>
                            <a:ext cx="2235200" cy="1276350"/>
                          </a:xfrm>
                          <a:prstGeom prst="rect">
                            <a:avLst/>
                          </a:prstGeom>
                          <a:solidFill>
                            <a:srgbClr val="CCB658"/>
                          </a:solidFill>
                          <a:ln w="6350">
                            <a:noFill/>
                          </a:ln>
                        </wps:spPr>
                        <wps:txbx>
                          <w:txbxContent>
                            <w:p w14:paraId="717A0D62" w14:textId="77777777" w:rsidR="00904836" w:rsidRPr="00505378" w:rsidRDefault="00904836" w:rsidP="000D3EEE">
                              <w:pPr>
                                <w:spacing w:after="60" w:line="240" w:lineRule="auto"/>
                                <w:rPr>
                                  <w:b/>
                                  <w:bCs/>
                                  <w:sz w:val="18"/>
                                  <w:szCs w:val="18"/>
                                  <w:lang w:val="es-AR"/>
                                </w:rPr>
                              </w:pPr>
                              <w:r w:rsidRPr="00505378">
                                <w:rPr>
                                  <w:b/>
                                  <w:bCs/>
                                  <w:sz w:val="18"/>
                                  <w:szCs w:val="18"/>
                                  <w:lang w:val="es-AR"/>
                                </w:rPr>
                                <w:t xml:space="preserve">Tramo de </w:t>
                              </w:r>
                              <w:r>
                                <w:rPr>
                                  <w:b/>
                                  <w:bCs/>
                                  <w:sz w:val="18"/>
                                  <w:szCs w:val="18"/>
                                  <w:lang w:val="es-AR"/>
                                </w:rPr>
                                <w:t>Subestación</w:t>
                              </w:r>
                            </w:p>
                            <w:p w14:paraId="72605B9D" w14:textId="77777777" w:rsidR="00904836" w:rsidRPr="008F5475" w:rsidRDefault="00904836" w:rsidP="000D3EEE">
                              <w:pPr>
                                <w:spacing w:after="0" w:line="240" w:lineRule="auto"/>
                                <w:rPr>
                                  <w:sz w:val="18"/>
                                  <w:szCs w:val="18"/>
                                  <w:lang w:val="es-AR"/>
                                </w:rPr>
                              </w:pPr>
                              <w:r w:rsidRPr="008F5475">
                                <w:rPr>
                                  <w:sz w:val="18"/>
                                  <w:szCs w:val="18"/>
                                  <w:lang w:val="es-AR"/>
                                </w:rPr>
                                <w:t>Subestación: Muy Grande, Grande, Mediana, Chica y Muy Chica</w:t>
                              </w:r>
                            </w:p>
                            <w:p w14:paraId="75A78F57" w14:textId="77777777" w:rsidR="00904836" w:rsidRPr="008F5475" w:rsidRDefault="00904836" w:rsidP="000D3EEE">
                              <w:pPr>
                                <w:spacing w:after="0" w:line="240" w:lineRule="auto"/>
                                <w:rPr>
                                  <w:sz w:val="18"/>
                                  <w:szCs w:val="18"/>
                                  <w:lang w:val="es-AR"/>
                                </w:rPr>
                              </w:pPr>
                              <w:r w:rsidRPr="008F5475">
                                <w:rPr>
                                  <w:sz w:val="18"/>
                                  <w:szCs w:val="18"/>
                                  <w:lang w:val="es-AR"/>
                                </w:rPr>
                                <w:t>Transformador trifásico: 220/MT y 66/MT</w:t>
                              </w:r>
                            </w:p>
                            <w:p w14:paraId="3832FFCE" w14:textId="77777777" w:rsidR="00904836" w:rsidRPr="008F5475" w:rsidRDefault="00904836" w:rsidP="000D3EEE">
                              <w:pPr>
                                <w:spacing w:after="0" w:line="240" w:lineRule="auto"/>
                                <w:rPr>
                                  <w:sz w:val="18"/>
                                  <w:szCs w:val="18"/>
                                  <w:lang w:val="es-AR"/>
                                </w:rPr>
                              </w:pPr>
                              <w:r w:rsidRPr="008F5475">
                                <w:rPr>
                                  <w:sz w:val="18"/>
                                  <w:szCs w:val="18"/>
                                  <w:lang w:val="es-AR"/>
                                </w:rPr>
                                <w:t>Condensador SHUNT: 500 kV, 220 kV, 154 kV, 110 kV, 66 kV y MT.</w:t>
                              </w:r>
                            </w:p>
                            <w:p w14:paraId="178C5DC7" w14:textId="77777777" w:rsidR="00904836" w:rsidRPr="009D12B8" w:rsidRDefault="00904836" w:rsidP="000D3EEE">
                              <w:pPr>
                                <w:spacing w:after="0" w:line="240" w:lineRule="auto"/>
                                <w:rPr>
                                  <w:sz w:val="18"/>
                                  <w:szCs w:val="18"/>
                                  <w:lang w:val="en-US"/>
                                </w:rPr>
                              </w:pPr>
                              <w:r w:rsidRPr="009D12B8">
                                <w:rPr>
                                  <w:sz w:val="18"/>
                                  <w:szCs w:val="18"/>
                                  <w:lang w:val="en-US"/>
                                </w:rPr>
                                <w:t>Reactor Barra 500kV, 220 kV, 66 kV, MT</w:t>
                              </w:r>
                            </w:p>
                            <w:p w14:paraId="7EF649E5" w14:textId="77777777" w:rsidR="00904836" w:rsidRPr="009D12B8" w:rsidRDefault="00904836" w:rsidP="000D3EEE">
                              <w:pPr>
                                <w:spacing w:after="0" w:line="240" w:lineRule="auto"/>
                                <w:rPr>
                                  <w:sz w:val="18"/>
                                  <w:szCs w:val="18"/>
                                  <w:lang w:val="en-US"/>
                                </w:rPr>
                              </w:pPr>
                              <w:r w:rsidRPr="009D12B8">
                                <w:rPr>
                                  <w:sz w:val="18"/>
                                  <w:szCs w:val="18"/>
                                  <w:lang w:val="en-US"/>
                                </w:rPr>
                                <w:t>CER/StatCom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Cuadro de texto 22"/>
                        <wps:cNvSpPr txBox="1"/>
                        <wps:spPr>
                          <a:xfrm>
                            <a:off x="99588" y="1149790"/>
                            <a:ext cx="2235200" cy="1701800"/>
                          </a:xfrm>
                          <a:prstGeom prst="rect">
                            <a:avLst/>
                          </a:prstGeom>
                          <a:solidFill>
                            <a:srgbClr val="CCB658"/>
                          </a:solidFill>
                          <a:ln w="6350">
                            <a:noFill/>
                          </a:ln>
                        </wps:spPr>
                        <wps:txbx>
                          <w:txbxContent>
                            <w:p w14:paraId="497DD5A5" w14:textId="77777777" w:rsidR="00904836" w:rsidRPr="00505378" w:rsidRDefault="00904836" w:rsidP="000D3EEE">
                              <w:pPr>
                                <w:spacing w:after="60" w:line="240" w:lineRule="auto"/>
                                <w:rPr>
                                  <w:b/>
                                  <w:bCs/>
                                  <w:sz w:val="18"/>
                                  <w:szCs w:val="18"/>
                                  <w:lang w:val="es-AR"/>
                                </w:rPr>
                              </w:pPr>
                              <w:r w:rsidRPr="00505378">
                                <w:rPr>
                                  <w:b/>
                                  <w:bCs/>
                                  <w:sz w:val="18"/>
                                  <w:szCs w:val="18"/>
                                  <w:lang w:val="es-AR"/>
                                </w:rPr>
                                <w:t xml:space="preserve">Tramo de </w:t>
                              </w:r>
                              <w:r>
                                <w:rPr>
                                  <w:b/>
                                  <w:bCs/>
                                  <w:sz w:val="18"/>
                                  <w:szCs w:val="18"/>
                                  <w:lang w:val="es-AR"/>
                                </w:rPr>
                                <w:t>Transporte</w:t>
                              </w:r>
                            </w:p>
                            <w:p w14:paraId="7B79F3BA" w14:textId="77777777" w:rsidR="00904836" w:rsidRPr="008F5475" w:rsidRDefault="00904836" w:rsidP="000D3EEE">
                              <w:pPr>
                                <w:spacing w:after="0" w:line="240" w:lineRule="auto"/>
                                <w:rPr>
                                  <w:sz w:val="18"/>
                                  <w:szCs w:val="18"/>
                                  <w:lang w:val="es-AR"/>
                                </w:rPr>
                              </w:pPr>
                              <w:r w:rsidRPr="008F5475">
                                <w:rPr>
                                  <w:sz w:val="18"/>
                                  <w:szCs w:val="18"/>
                                  <w:lang w:val="es-AR"/>
                                </w:rPr>
                                <w:t>Capacitor Serie 220</w:t>
                              </w:r>
                            </w:p>
                            <w:p w14:paraId="10883024" w14:textId="77777777" w:rsidR="00904836" w:rsidRPr="008F5475" w:rsidRDefault="00904836" w:rsidP="000D3EEE">
                              <w:pPr>
                                <w:spacing w:after="0" w:line="240" w:lineRule="auto"/>
                                <w:rPr>
                                  <w:sz w:val="18"/>
                                  <w:szCs w:val="18"/>
                                  <w:lang w:val="es-AR"/>
                                </w:rPr>
                              </w:pPr>
                              <w:r w:rsidRPr="008F5475">
                                <w:rPr>
                                  <w:sz w:val="18"/>
                                  <w:szCs w:val="18"/>
                                  <w:lang w:val="es-AR"/>
                                </w:rPr>
                                <w:t>Capacitor Serie 500</w:t>
                              </w:r>
                            </w:p>
                            <w:p w14:paraId="53AB9B6F" w14:textId="77777777" w:rsidR="00904836" w:rsidRPr="008F5475" w:rsidRDefault="00904836" w:rsidP="000D3EEE">
                              <w:pPr>
                                <w:spacing w:after="0" w:line="240" w:lineRule="auto"/>
                                <w:rPr>
                                  <w:sz w:val="18"/>
                                  <w:szCs w:val="18"/>
                                  <w:lang w:val="es-AR"/>
                                </w:rPr>
                              </w:pPr>
                              <w:r w:rsidRPr="008F5475">
                                <w:rPr>
                                  <w:sz w:val="18"/>
                                  <w:szCs w:val="18"/>
                                  <w:lang w:val="es-AR"/>
                                </w:rPr>
                                <w:t>Paño 220</w:t>
                              </w:r>
                            </w:p>
                            <w:p w14:paraId="7976E0AA" w14:textId="77777777" w:rsidR="00904836" w:rsidRPr="008F5475" w:rsidRDefault="00904836" w:rsidP="000D3EEE">
                              <w:pPr>
                                <w:spacing w:after="0" w:line="240" w:lineRule="auto"/>
                                <w:rPr>
                                  <w:sz w:val="18"/>
                                  <w:szCs w:val="18"/>
                                  <w:lang w:val="es-AR"/>
                                </w:rPr>
                              </w:pPr>
                              <w:r w:rsidRPr="008F5475">
                                <w:rPr>
                                  <w:sz w:val="18"/>
                                  <w:szCs w:val="18"/>
                                  <w:lang w:val="es-AR"/>
                                </w:rPr>
                                <w:t>Paño 500</w:t>
                              </w:r>
                            </w:p>
                            <w:p w14:paraId="6095D6D0" w14:textId="77777777" w:rsidR="00904836" w:rsidRPr="008F5475" w:rsidRDefault="00904836" w:rsidP="000D3EEE">
                              <w:pPr>
                                <w:spacing w:after="0" w:line="240" w:lineRule="auto"/>
                                <w:rPr>
                                  <w:sz w:val="18"/>
                                  <w:szCs w:val="18"/>
                                  <w:lang w:val="es-AR"/>
                                </w:rPr>
                              </w:pPr>
                              <w:r w:rsidRPr="008F5475">
                                <w:rPr>
                                  <w:sz w:val="18"/>
                                  <w:szCs w:val="18"/>
                                  <w:lang w:val="es-AR"/>
                                </w:rPr>
                                <w:t>Paño 66</w:t>
                              </w:r>
                            </w:p>
                            <w:p w14:paraId="6F5EC98B" w14:textId="77777777" w:rsidR="00904836" w:rsidRPr="008F5475" w:rsidRDefault="00904836" w:rsidP="000D3EEE">
                              <w:pPr>
                                <w:spacing w:after="0" w:line="240" w:lineRule="auto"/>
                                <w:rPr>
                                  <w:sz w:val="18"/>
                                  <w:szCs w:val="18"/>
                                  <w:lang w:val="es-AR"/>
                                </w:rPr>
                              </w:pPr>
                              <w:r w:rsidRPr="008F5475">
                                <w:rPr>
                                  <w:sz w:val="18"/>
                                  <w:szCs w:val="18"/>
                                  <w:lang w:val="es-AR"/>
                                </w:rPr>
                                <w:t>Paño MT</w:t>
                              </w:r>
                            </w:p>
                            <w:p w14:paraId="2266CD7D" w14:textId="77777777" w:rsidR="00904836" w:rsidRPr="008F5475" w:rsidRDefault="00904836" w:rsidP="000D3EEE">
                              <w:pPr>
                                <w:spacing w:after="0" w:line="240" w:lineRule="auto"/>
                                <w:rPr>
                                  <w:sz w:val="18"/>
                                  <w:szCs w:val="18"/>
                                  <w:lang w:val="es-AR"/>
                                </w:rPr>
                              </w:pPr>
                              <w:r w:rsidRPr="008F5475">
                                <w:rPr>
                                  <w:sz w:val="18"/>
                                  <w:szCs w:val="18"/>
                                  <w:lang w:val="es-AR"/>
                                </w:rPr>
                                <w:t>Reactor línea 220</w:t>
                              </w:r>
                            </w:p>
                            <w:p w14:paraId="5CE5EEC7" w14:textId="77777777" w:rsidR="00904836" w:rsidRPr="008F5475" w:rsidRDefault="00904836" w:rsidP="000D3EEE">
                              <w:pPr>
                                <w:spacing w:after="0" w:line="240" w:lineRule="auto"/>
                                <w:rPr>
                                  <w:sz w:val="18"/>
                                  <w:szCs w:val="18"/>
                                  <w:lang w:val="es-AR"/>
                                </w:rPr>
                              </w:pPr>
                              <w:r w:rsidRPr="008F5475">
                                <w:rPr>
                                  <w:sz w:val="18"/>
                                  <w:szCs w:val="18"/>
                                  <w:lang w:val="es-AR"/>
                                </w:rPr>
                                <w:t>Reactor línea 500</w:t>
                              </w:r>
                            </w:p>
                            <w:p w14:paraId="7C06353C" w14:textId="77777777" w:rsidR="00904836" w:rsidRPr="008F5475" w:rsidRDefault="00904836" w:rsidP="000D3EEE">
                              <w:pPr>
                                <w:spacing w:after="0" w:line="240" w:lineRule="auto"/>
                                <w:rPr>
                                  <w:sz w:val="18"/>
                                  <w:szCs w:val="18"/>
                                  <w:lang w:val="es-AR"/>
                                </w:rPr>
                              </w:pPr>
                              <w:r w:rsidRPr="008F5475">
                                <w:rPr>
                                  <w:sz w:val="18"/>
                                  <w:szCs w:val="18"/>
                                  <w:lang w:val="es-AR"/>
                                </w:rPr>
                                <w:t>Transformador desfasador 220</w:t>
                              </w:r>
                            </w:p>
                            <w:p w14:paraId="1535430C" w14:textId="77777777" w:rsidR="00904836" w:rsidRPr="00505378" w:rsidRDefault="00904836" w:rsidP="000D3EEE">
                              <w:pPr>
                                <w:spacing w:after="0" w:line="240" w:lineRule="auto"/>
                                <w:rPr>
                                  <w:sz w:val="18"/>
                                  <w:szCs w:val="18"/>
                                  <w:lang w:val="es-AR"/>
                                </w:rPr>
                              </w:pPr>
                              <w:r w:rsidRPr="008F5475">
                                <w:rPr>
                                  <w:sz w:val="18"/>
                                  <w:szCs w:val="18"/>
                                  <w:lang w:val="es-AR"/>
                                </w:rPr>
                                <w:t>Transformador monofásico 500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Cuadro de texto 23"/>
                        <wps:cNvSpPr txBox="1"/>
                        <wps:spPr>
                          <a:xfrm>
                            <a:off x="108642" y="235390"/>
                            <a:ext cx="2235200" cy="539750"/>
                          </a:xfrm>
                          <a:prstGeom prst="rect">
                            <a:avLst/>
                          </a:prstGeom>
                          <a:solidFill>
                            <a:srgbClr val="CCB658"/>
                          </a:solidFill>
                          <a:ln w="6350">
                            <a:noFill/>
                          </a:ln>
                        </wps:spPr>
                        <wps:txbx>
                          <w:txbxContent>
                            <w:p w14:paraId="3759EDC4" w14:textId="77777777" w:rsidR="00904836" w:rsidRPr="00505378" w:rsidRDefault="00904836" w:rsidP="000D3EEE">
                              <w:pPr>
                                <w:spacing w:after="60" w:line="240" w:lineRule="auto"/>
                                <w:rPr>
                                  <w:b/>
                                  <w:bCs/>
                                  <w:sz w:val="18"/>
                                  <w:szCs w:val="18"/>
                                  <w:lang w:val="es-AR"/>
                                </w:rPr>
                              </w:pPr>
                              <w:r w:rsidRPr="00505378">
                                <w:rPr>
                                  <w:b/>
                                  <w:bCs/>
                                  <w:sz w:val="18"/>
                                  <w:szCs w:val="18"/>
                                  <w:lang w:val="es-AR"/>
                                </w:rPr>
                                <w:t xml:space="preserve">Tramo de </w:t>
                              </w:r>
                              <w:r>
                                <w:rPr>
                                  <w:b/>
                                  <w:bCs/>
                                  <w:sz w:val="18"/>
                                  <w:szCs w:val="18"/>
                                  <w:lang w:val="es-AR"/>
                                </w:rPr>
                                <w:t>Transporte</w:t>
                              </w:r>
                            </w:p>
                            <w:p w14:paraId="100339D8" w14:textId="77777777" w:rsidR="00904836" w:rsidRPr="008F5475" w:rsidRDefault="00904836" w:rsidP="000D3EEE">
                              <w:pPr>
                                <w:spacing w:after="0" w:line="240" w:lineRule="auto"/>
                                <w:rPr>
                                  <w:sz w:val="18"/>
                                  <w:szCs w:val="18"/>
                                  <w:lang w:val="es-AR"/>
                                </w:rPr>
                              </w:pPr>
                              <w:r>
                                <w:rPr>
                                  <w:sz w:val="18"/>
                                  <w:szCs w:val="18"/>
                                  <w:lang w:val="es-AR"/>
                                </w:rPr>
                                <w:t>Línea</w:t>
                              </w:r>
                              <w:r w:rsidRPr="008F5475">
                                <w:rPr>
                                  <w:sz w:val="18"/>
                                  <w:szCs w:val="18"/>
                                  <w:lang w:val="es-AR"/>
                                </w:rPr>
                                <w:t xml:space="preserve"> 220</w:t>
                              </w:r>
                            </w:p>
                            <w:p w14:paraId="66CECB70" w14:textId="77777777" w:rsidR="00904836" w:rsidRPr="008F5475" w:rsidRDefault="00904836" w:rsidP="000D3EEE">
                              <w:pPr>
                                <w:spacing w:after="0" w:line="240" w:lineRule="auto"/>
                                <w:rPr>
                                  <w:sz w:val="18"/>
                                  <w:szCs w:val="18"/>
                                  <w:lang w:val="es-AR"/>
                                </w:rPr>
                              </w:pPr>
                              <w:r>
                                <w:rPr>
                                  <w:sz w:val="18"/>
                                  <w:szCs w:val="18"/>
                                  <w:lang w:val="es-AR"/>
                                </w:rPr>
                                <w:t>Línea</w:t>
                              </w:r>
                              <w:r w:rsidRPr="008F5475">
                                <w:rPr>
                                  <w:sz w:val="18"/>
                                  <w:szCs w:val="18"/>
                                  <w:lang w:val="es-AR"/>
                                </w:rPr>
                                <w:t xml:space="preserve"> 500</w:t>
                              </w:r>
                            </w:p>
                            <w:p w14:paraId="265F7BD4" w14:textId="77777777" w:rsidR="00904836" w:rsidRPr="00505378" w:rsidRDefault="00904836" w:rsidP="000D3EEE">
                              <w:pPr>
                                <w:spacing w:after="0" w:line="240" w:lineRule="auto"/>
                                <w:rPr>
                                  <w:sz w:val="18"/>
                                  <w:szCs w:val="18"/>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Cuadro de texto 34"/>
                        <wps:cNvSpPr txBox="1"/>
                        <wps:spPr>
                          <a:xfrm>
                            <a:off x="3168713" y="0"/>
                            <a:ext cx="2235200" cy="1982708"/>
                          </a:xfrm>
                          <a:prstGeom prst="rect">
                            <a:avLst/>
                          </a:prstGeom>
                          <a:solidFill>
                            <a:srgbClr val="DED092"/>
                          </a:solidFill>
                          <a:ln w="6350">
                            <a:noFill/>
                          </a:ln>
                        </wps:spPr>
                        <wps:txbx>
                          <w:txbxContent>
                            <w:p w14:paraId="381E3C52" w14:textId="77777777" w:rsidR="00904836" w:rsidRPr="00505378" w:rsidRDefault="00904836" w:rsidP="000D3EEE">
                              <w:pPr>
                                <w:spacing w:after="60" w:line="240" w:lineRule="auto"/>
                                <w:jc w:val="center"/>
                                <w:rPr>
                                  <w:b/>
                                  <w:bCs/>
                                  <w:lang w:val="es-AR"/>
                                </w:rPr>
                              </w:pPr>
                              <w:r w:rsidRPr="00505378">
                                <w:rPr>
                                  <w:b/>
                                  <w:bCs/>
                                  <w:lang w:val="es-AR"/>
                                </w:rPr>
                                <w:t>COMA de Tramo de Transporte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Cuadro de texto 35"/>
                        <wps:cNvSpPr txBox="1"/>
                        <wps:spPr>
                          <a:xfrm>
                            <a:off x="3159659" y="2082297"/>
                            <a:ext cx="2235200" cy="2154473"/>
                          </a:xfrm>
                          <a:prstGeom prst="rect">
                            <a:avLst/>
                          </a:prstGeom>
                          <a:solidFill>
                            <a:srgbClr val="DED092"/>
                          </a:solidFill>
                          <a:ln w="6350">
                            <a:noFill/>
                          </a:ln>
                        </wps:spPr>
                        <wps:txbx>
                          <w:txbxContent>
                            <w:p w14:paraId="7AFCFA7D" w14:textId="77777777" w:rsidR="00904836" w:rsidRPr="00505378" w:rsidRDefault="00904836" w:rsidP="000D3EEE">
                              <w:pPr>
                                <w:spacing w:after="60" w:line="240" w:lineRule="auto"/>
                                <w:jc w:val="center"/>
                                <w:rPr>
                                  <w:b/>
                                  <w:bCs/>
                                  <w:lang w:val="es-AR"/>
                                </w:rPr>
                              </w:pPr>
                              <w:r w:rsidRPr="00505378">
                                <w:rPr>
                                  <w:b/>
                                  <w:bCs/>
                                  <w:lang w:val="es-AR"/>
                                </w:rPr>
                                <w:t>COMA de Tramo de Subestación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Conector: angular 36"/>
                        <wps:cNvCnPr/>
                        <wps:spPr>
                          <a:xfrm>
                            <a:off x="2335794" y="516047"/>
                            <a:ext cx="823865" cy="334853"/>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wps:wsp>
                        <wps:cNvPr id="37" name="Conector: angular 37"/>
                        <wps:cNvCnPr/>
                        <wps:spPr>
                          <a:xfrm flipV="1">
                            <a:off x="2335794" y="1280310"/>
                            <a:ext cx="825871" cy="747666"/>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wps:wsp>
                        <wps:cNvPr id="49" name="Conector: angular 49"/>
                        <wps:cNvCnPr/>
                        <wps:spPr>
                          <a:xfrm flipV="1">
                            <a:off x="2335794" y="3163431"/>
                            <a:ext cx="833925" cy="398352"/>
                          </a:xfrm>
                          <a:prstGeom prst="bentConnector3">
                            <a:avLst/>
                          </a:prstGeom>
                          <a:ln w="1905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7578982" id="Grupo 18" o:spid="_x0000_s1072" style="position:absolute;left:0;text-align:left;margin-left:0;margin-top:0;width:425.5pt;height:334pt;z-index:251660288" coordsize="54039,42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">
                <v:shape id="Cuadro de texto 19" o:spid="_x0000_s1073" type="#_x0000_t202" style="position:absolute;width:25165;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" fillcolor="#ded092" stroked="f" strokeweight=".5pt">
                  <v:textbox>
                    <w:txbxContent>
                      <w:p w14:paraId="712A7BA2" w14:textId="77777777" w:rsidR="00904836" w:rsidRPr="00505378" w:rsidRDefault="00904836" w:rsidP="000D3EEE">
                        <w:pPr>
                          <w:rPr>
                            <w:b/>
                            <w:bCs/>
                            <w:sz w:val="20"/>
                            <w:szCs w:val="20"/>
                            <w:lang w:val="es-AR"/>
                          </w:rPr>
                        </w:pPr>
                        <w:r w:rsidRPr="00505378">
                          <w:rPr>
                            <w:b/>
                            <w:bCs/>
                            <w:sz w:val="20"/>
                            <w:szCs w:val="20"/>
                            <w:lang w:val="es-AR"/>
                          </w:rPr>
                          <w:t>Módulo de COMA directo de Líneas</w:t>
                        </w:r>
                      </w:p>
                    </w:txbxContent>
                  </v:textbox>
                </v:shape>
                <v:shape id="Cuadro de texto 20" o:spid="_x0000_s1074" type="#_x0000_t202" style="position:absolute;top:9144;width:25168;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" fillcolor="#ded092" stroked="f" strokeweight=".5pt">
                  <v:textbox>
                    <w:txbxContent>
                      <w:p w14:paraId="05D5E739" w14:textId="77777777" w:rsidR="00904836" w:rsidRPr="00505378" w:rsidRDefault="00904836" w:rsidP="000D3EEE">
                        <w:pPr>
                          <w:spacing w:after="120" w:line="240" w:lineRule="auto"/>
                          <w:rPr>
                            <w:b/>
                            <w:bCs/>
                            <w:sz w:val="20"/>
                            <w:szCs w:val="20"/>
                            <w:lang w:val="es-AR"/>
                          </w:rPr>
                        </w:pPr>
                        <w:r w:rsidRPr="00505378">
                          <w:rPr>
                            <w:b/>
                            <w:bCs/>
                            <w:sz w:val="20"/>
                            <w:szCs w:val="20"/>
                            <w:lang w:val="es-AR"/>
                          </w:rPr>
                          <w:t>Módulo de COMA directo de Subestaciones</w:t>
                        </w:r>
                      </w:p>
                      <w:p w14:paraId="7A142270" w14:textId="77777777" w:rsidR="00904836" w:rsidRPr="00505378" w:rsidRDefault="00904836" w:rsidP="000D3EEE">
                        <w:pPr>
                          <w:spacing w:after="240"/>
                          <w:rPr>
                            <w:sz w:val="20"/>
                            <w:szCs w:val="20"/>
                            <w:lang w:val="es-AR"/>
                          </w:rPr>
                        </w:pPr>
                      </w:p>
                    </w:txbxContent>
                  </v:textbox>
                </v:shape>
                <v:shape id="Cuadro de texto 21" o:spid="_x0000_s1075" type="#_x0000_t202" style="position:absolute;left:995;top:29061;width:22352;height:12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" fillcolor="#ccb658" stroked="f" strokeweight=".5pt">
                  <v:textbox>
                    <w:txbxContent>
                      <w:p w14:paraId="717A0D62" w14:textId="77777777" w:rsidR="00904836" w:rsidRPr="00505378" w:rsidRDefault="00904836" w:rsidP="000D3EEE">
                        <w:pPr>
                          <w:spacing w:after="60" w:line="240" w:lineRule="auto"/>
                          <w:rPr>
                            <w:b/>
                            <w:bCs/>
                            <w:sz w:val="18"/>
                            <w:szCs w:val="18"/>
                            <w:lang w:val="es-AR"/>
                          </w:rPr>
                        </w:pPr>
                        <w:r w:rsidRPr="00505378">
                          <w:rPr>
                            <w:b/>
                            <w:bCs/>
                            <w:sz w:val="18"/>
                            <w:szCs w:val="18"/>
                            <w:lang w:val="es-AR"/>
                          </w:rPr>
                          <w:t xml:space="preserve">Tramo de </w:t>
                        </w:r>
                        <w:r>
                          <w:rPr>
                            <w:b/>
                            <w:bCs/>
                            <w:sz w:val="18"/>
                            <w:szCs w:val="18"/>
                            <w:lang w:val="es-AR"/>
                          </w:rPr>
                          <w:t>Subestación</w:t>
                        </w:r>
                      </w:p>
                      <w:p w14:paraId="72605B9D" w14:textId="77777777" w:rsidR="00904836" w:rsidRPr="008F5475" w:rsidRDefault="00904836" w:rsidP="000D3EEE">
                        <w:pPr>
                          <w:spacing w:after="0" w:line="240" w:lineRule="auto"/>
                          <w:rPr>
                            <w:sz w:val="18"/>
                            <w:szCs w:val="18"/>
                            <w:lang w:val="es-AR"/>
                          </w:rPr>
                        </w:pPr>
                        <w:r w:rsidRPr="008F5475">
                          <w:rPr>
                            <w:sz w:val="18"/>
                            <w:szCs w:val="18"/>
                            <w:lang w:val="es-AR"/>
                          </w:rPr>
                          <w:t>Subestación: Muy Grande, Grande, Mediana, Chica y Muy Chica</w:t>
                        </w:r>
                      </w:p>
                      <w:p w14:paraId="75A78F57" w14:textId="77777777" w:rsidR="00904836" w:rsidRPr="008F5475" w:rsidRDefault="00904836" w:rsidP="000D3EEE">
                        <w:pPr>
                          <w:spacing w:after="0" w:line="240" w:lineRule="auto"/>
                          <w:rPr>
                            <w:sz w:val="18"/>
                            <w:szCs w:val="18"/>
                            <w:lang w:val="es-AR"/>
                          </w:rPr>
                        </w:pPr>
                        <w:r w:rsidRPr="008F5475">
                          <w:rPr>
                            <w:sz w:val="18"/>
                            <w:szCs w:val="18"/>
                            <w:lang w:val="es-AR"/>
                          </w:rPr>
                          <w:t>Transformador trifásico: 220/MT y 66/MT</w:t>
                        </w:r>
                      </w:p>
                      <w:p w14:paraId="3832FFCE" w14:textId="77777777" w:rsidR="00904836" w:rsidRPr="008F5475" w:rsidRDefault="00904836" w:rsidP="000D3EEE">
                        <w:pPr>
                          <w:spacing w:after="0" w:line="240" w:lineRule="auto"/>
                          <w:rPr>
                            <w:sz w:val="18"/>
                            <w:szCs w:val="18"/>
                            <w:lang w:val="es-AR"/>
                          </w:rPr>
                        </w:pPr>
                        <w:r w:rsidRPr="008F5475">
                          <w:rPr>
                            <w:sz w:val="18"/>
                            <w:szCs w:val="18"/>
                            <w:lang w:val="es-AR"/>
                          </w:rPr>
                          <w:t>Condensador SHUNT: 500 kV, 220 kV, 154 kV, 110 kV, 66 kV y MT.</w:t>
                        </w:r>
                      </w:p>
                      <w:p w14:paraId="178C5DC7" w14:textId="77777777" w:rsidR="00904836" w:rsidRPr="009D12B8" w:rsidRDefault="00904836" w:rsidP="000D3EEE">
                        <w:pPr>
                          <w:spacing w:after="0" w:line="240" w:lineRule="auto"/>
                          <w:rPr>
                            <w:sz w:val="18"/>
                            <w:szCs w:val="18"/>
                            <w:lang w:val="en-US"/>
                          </w:rPr>
                        </w:pPr>
                        <w:r w:rsidRPr="009D12B8">
                          <w:rPr>
                            <w:sz w:val="18"/>
                            <w:szCs w:val="18"/>
                            <w:lang w:val="en-US"/>
                          </w:rPr>
                          <w:t>Reactor Barra 500kV, 220 kV, 66 kV, MT</w:t>
                        </w:r>
                      </w:p>
                      <w:p w14:paraId="7EF649E5" w14:textId="77777777" w:rsidR="00904836" w:rsidRPr="009D12B8" w:rsidRDefault="00904836" w:rsidP="000D3EEE">
                        <w:pPr>
                          <w:spacing w:after="0" w:line="240" w:lineRule="auto"/>
                          <w:rPr>
                            <w:sz w:val="18"/>
                            <w:szCs w:val="18"/>
                            <w:lang w:val="en-US"/>
                          </w:rPr>
                        </w:pPr>
                        <w:r w:rsidRPr="009D12B8">
                          <w:rPr>
                            <w:sz w:val="18"/>
                            <w:szCs w:val="18"/>
                            <w:lang w:val="en-US"/>
                          </w:rPr>
                          <w:t>CER/StatCom</w:t>
                        </w:r>
                      </w:p>
                    </w:txbxContent>
                  </v:textbox>
                </v:shape>
                <v:shape id="Cuadro de texto 22" o:spid="_x0000_s1076" type="#_x0000_t202" style="position:absolute;left:995;top:11497;width:22352;height:17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" fillcolor="#ccb658" stroked="f" strokeweight=".5pt">
                  <v:textbox>
                    <w:txbxContent>
                      <w:p w14:paraId="497DD5A5" w14:textId="77777777" w:rsidR="00904836" w:rsidRPr="00505378" w:rsidRDefault="00904836" w:rsidP="000D3EEE">
                        <w:pPr>
                          <w:spacing w:after="60" w:line="240" w:lineRule="auto"/>
                          <w:rPr>
                            <w:b/>
                            <w:bCs/>
                            <w:sz w:val="18"/>
                            <w:szCs w:val="18"/>
                            <w:lang w:val="es-AR"/>
                          </w:rPr>
                        </w:pPr>
                        <w:r w:rsidRPr="00505378">
                          <w:rPr>
                            <w:b/>
                            <w:bCs/>
                            <w:sz w:val="18"/>
                            <w:szCs w:val="18"/>
                            <w:lang w:val="es-AR"/>
                          </w:rPr>
                          <w:t xml:space="preserve">Tramo de </w:t>
                        </w:r>
                        <w:r>
                          <w:rPr>
                            <w:b/>
                            <w:bCs/>
                            <w:sz w:val="18"/>
                            <w:szCs w:val="18"/>
                            <w:lang w:val="es-AR"/>
                          </w:rPr>
                          <w:t>Transporte</w:t>
                        </w:r>
                      </w:p>
                      <w:p w14:paraId="7B79F3BA" w14:textId="77777777" w:rsidR="00904836" w:rsidRPr="008F5475" w:rsidRDefault="00904836" w:rsidP="000D3EEE">
                        <w:pPr>
                          <w:spacing w:after="0" w:line="240" w:lineRule="auto"/>
                          <w:rPr>
                            <w:sz w:val="18"/>
                            <w:szCs w:val="18"/>
                            <w:lang w:val="es-AR"/>
                          </w:rPr>
                        </w:pPr>
                        <w:r w:rsidRPr="008F5475">
                          <w:rPr>
                            <w:sz w:val="18"/>
                            <w:szCs w:val="18"/>
                            <w:lang w:val="es-AR"/>
                          </w:rPr>
                          <w:t>Capacitor Serie 220</w:t>
                        </w:r>
                      </w:p>
                      <w:p w14:paraId="10883024" w14:textId="77777777" w:rsidR="00904836" w:rsidRPr="008F5475" w:rsidRDefault="00904836" w:rsidP="000D3EEE">
                        <w:pPr>
                          <w:spacing w:after="0" w:line="240" w:lineRule="auto"/>
                          <w:rPr>
                            <w:sz w:val="18"/>
                            <w:szCs w:val="18"/>
                            <w:lang w:val="es-AR"/>
                          </w:rPr>
                        </w:pPr>
                        <w:r w:rsidRPr="008F5475">
                          <w:rPr>
                            <w:sz w:val="18"/>
                            <w:szCs w:val="18"/>
                            <w:lang w:val="es-AR"/>
                          </w:rPr>
                          <w:t>Capacitor Serie 500</w:t>
                        </w:r>
                      </w:p>
                      <w:p w14:paraId="53AB9B6F" w14:textId="77777777" w:rsidR="00904836" w:rsidRPr="008F5475" w:rsidRDefault="00904836" w:rsidP="000D3EEE">
                        <w:pPr>
                          <w:spacing w:after="0" w:line="240" w:lineRule="auto"/>
                          <w:rPr>
                            <w:sz w:val="18"/>
                            <w:szCs w:val="18"/>
                            <w:lang w:val="es-AR"/>
                          </w:rPr>
                        </w:pPr>
                        <w:r w:rsidRPr="008F5475">
                          <w:rPr>
                            <w:sz w:val="18"/>
                            <w:szCs w:val="18"/>
                            <w:lang w:val="es-AR"/>
                          </w:rPr>
                          <w:t>Paño 220</w:t>
                        </w:r>
                      </w:p>
                      <w:p w14:paraId="7976E0AA" w14:textId="77777777" w:rsidR="00904836" w:rsidRPr="008F5475" w:rsidRDefault="00904836" w:rsidP="000D3EEE">
                        <w:pPr>
                          <w:spacing w:after="0" w:line="240" w:lineRule="auto"/>
                          <w:rPr>
                            <w:sz w:val="18"/>
                            <w:szCs w:val="18"/>
                            <w:lang w:val="es-AR"/>
                          </w:rPr>
                        </w:pPr>
                        <w:r w:rsidRPr="008F5475">
                          <w:rPr>
                            <w:sz w:val="18"/>
                            <w:szCs w:val="18"/>
                            <w:lang w:val="es-AR"/>
                          </w:rPr>
                          <w:t>Paño 500</w:t>
                        </w:r>
                      </w:p>
                      <w:p w14:paraId="6095D6D0" w14:textId="77777777" w:rsidR="00904836" w:rsidRPr="008F5475" w:rsidRDefault="00904836" w:rsidP="000D3EEE">
                        <w:pPr>
                          <w:spacing w:after="0" w:line="240" w:lineRule="auto"/>
                          <w:rPr>
                            <w:sz w:val="18"/>
                            <w:szCs w:val="18"/>
                            <w:lang w:val="es-AR"/>
                          </w:rPr>
                        </w:pPr>
                        <w:r w:rsidRPr="008F5475">
                          <w:rPr>
                            <w:sz w:val="18"/>
                            <w:szCs w:val="18"/>
                            <w:lang w:val="es-AR"/>
                          </w:rPr>
                          <w:t>Paño 66</w:t>
                        </w:r>
                      </w:p>
                      <w:p w14:paraId="6F5EC98B" w14:textId="77777777" w:rsidR="00904836" w:rsidRPr="008F5475" w:rsidRDefault="00904836" w:rsidP="000D3EEE">
                        <w:pPr>
                          <w:spacing w:after="0" w:line="240" w:lineRule="auto"/>
                          <w:rPr>
                            <w:sz w:val="18"/>
                            <w:szCs w:val="18"/>
                            <w:lang w:val="es-AR"/>
                          </w:rPr>
                        </w:pPr>
                        <w:r w:rsidRPr="008F5475">
                          <w:rPr>
                            <w:sz w:val="18"/>
                            <w:szCs w:val="18"/>
                            <w:lang w:val="es-AR"/>
                          </w:rPr>
                          <w:t>Paño MT</w:t>
                        </w:r>
                      </w:p>
                      <w:p w14:paraId="2266CD7D" w14:textId="77777777" w:rsidR="00904836" w:rsidRPr="008F5475" w:rsidRDefault="00904836" w:rsidP="000D3EEE">
                        <w:pPr>
                          <w:spacing w:after="0" w:line="240" w:lineRule="auto"/>
                          <w:rPr>
                            <w:sz w:val="18"/>
                            <w:szCs w:val="18"/>
                            <w:lang w:val="es-AR"/>
                          </w:rPr>
                        </w:pPr>
                        <w:r w:rsidRPr="008F5475">
                          <w:rPr>
                            <w:sz w:val="18"/>
                            <w:szCs w:val="18"/>
                            <w:lang w:val="es-AR"/>
                          </w:rPr>
                          <w:t>Reactor línea 220</w:t>
                        </w:r>
                      </w:p>
                      <w:p w14:paraId="5CE5EEC7" w14:textId="77777777" w:rsidR="00904836" w:rsidRPr="008F5475" w:rsidRDefault="00904836" w:rsidP="000D3EEE">
                        <w:pPr>
                          <w:spacing w:after="0" w:line="240" w:lineRule="auto"/>
                          <w:rPr>
                            <w:sz w:val="18"/>
                            <w:szCs w:val="18"/>
                            <w:lang w:val="es-AR"/>
                          </w:rPr>
                        </w:pPr>
                        <w:r w:rsidRPr="008F5475">
                          <w:rPr>
                            <w:sz w:val="18"/>
                            <w:szCs w:val="18"/>
                            <w:lang w:val="es-AR"/>
                          </w:rPr>
                          <w:t>Reactor línea 500</w:t>
                        </w:r>
                      </w:p>
                      <w:p w14:paraId="7C06353C" w14:textId="77777777" w:rsidR="00904836" w:rsidRPr="008F5475" w:rsidRDefault="00904836" w:rsidP="000D3EEE">
                        <w:pPr>
                          <w:spacing w:after="0" w:line="240" w:lineRule="auto"/>
                          <w:rPr>
                            <w:sz w:val="18"/>
                            <w:szCs w:val="18"/>
                            <w:lang w:val="es-AR"/>
                          </w:rPr>
                        </w:pPr>
                        <w:r w:rsidRPr="008F5475">
                          <w:rPr>
                            <w:sz w:val="18"/>
                            <w:szCs w:val="18"/>
                            <w:lang w:val="es-AR"/>
                          </w:rPr>
                          <w:t>Transformador desfasador 220</w:t>
                        </w:r>
                      </w:p>
                      <w:p w14:paraId="1535430C" w14:textId="77777777" w:rsidR="00904836" w:rsidRPr="00505378" w:rsidRDefault="00904836" w:rsidP="000D3EEE">
                        <w:pPr>
                          <w:spacing w:after="0" w:line="240" w:lineRule="auto"/>
                          <w:rPr>
                            <w:sz w:val="18"/>
                            <w:szCs w:val="18"/>
                            <w:lang w:val="es-AR"/>
                          </w:rPr>
                        </w:pPr>
                        <w:r w:rsidRPr="008F5475">
                          <w:rPr>
                            <w:sz w:val="18"/>
                            <w:szCs w:val="18"/>
                            <w:lang w:val="es-AR"/>
                          </w:rPr>
                          <w:t>Transformador monofásico 500</w:t>
                        </w:r>
                      </w:p>
                    </w:txbxContent>
                  </v:textbox>
                </v:shape>
                <v:shape id="Cuadro de texto 23" o:spid="_x0000_s1077" type="#_x0000_t202" style="position:absolute;left:1086;top:2353;width:22352;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" fillcolor="#ccb658" stroked="f" strokeweight=".5pt">
                  <v:textbox>
                    <w:txbxContent>
                      <w:p w14:paraId="3759EDC4" w14:textId="77777777" w:rsidR="00904836" w:rsidRPr="00505378" w:rsidRDefault="00904836" w:rsidP="000D3EEE">
                        <w:pPr>
                          <w:spacing w:after="60" w:line="240" w:lineRule="auto"/>
                          <w:rPr>
                            <w:b/>
                            <w:bCs/>
                            <w:sz w:val="18"/>
                            <w:szCs w:val="18"/>
                            <w:lang w:val="es-AR"/>
                          </w:rPr>
                        </w:pPr>
                        <w:r w:rsidRPr="00505378">
                          <w:rPr>
                            <w:b/>
                            <w:bCs/>
                            <w:sz w:val="18"/>
                            <w:szCs w:val="18"/>
                            <w:lang w:val="es-AR"/>
                          </w:rPr>
                          <w:t xml:space="preserve">Tramo de </w:t>
                        </w:r>
                        <w:r>
                          <w:rPr>
                            <w:b/>
                            <w:bCs/>
                            <w:sz w:val="18"/>
                            <w:szCs w:val="18"/>
                            <w:lang w:val="es-AR"/>
                          </w:rPr>
                          <w:t>Transporte</w:t>
                        </w:r>
                      </w:p>
                      <w:p w14:paraId="100339D8" w14:textId="77777777" w:rsidR="00904836" w:rsidRPr="008F5475" w:rsidRDefault="00904836" w:rsidP="000D3EEE">
                        <w:pPr>
                          <w:spacing w:after="0" w:line="240" w:lineRule="auto"/>
                          <w:rPr>
                            <w:sz w:val="18"/>
                            <w:szCs w:val="18"/>
                            <w:lang w:val="es-AR"/>
                          </w:rPr>
                        </w:pPr>
                        <w:r>
                          <w:rPr>
                            <w:sz w:val="18"/>
                            <w:szCs w:val="18"/>
                            <w:lang w:val="es-AR"/>
                          </w:rPr>
                          <w:t>Línea</w:t>
                        </w:r>
                        <w:r w:rsidRPr="008F5475">
                          <w:rPr>
                            <w:sz w:val="18"/>
                            <w:szCs w:val="18"/>
                            <w:lang w:val="es-AR"/>
                          </w:rPr>
                          <w:t xml:space="preserve"> 220</w:t>
                        </w:r>
                      </w:p>
                      <w:p w14:paraId="66CECB70" w14:textId="77777777" w:rsidR="00904836" w:rsidRPr="008F5475" w:rsidRDefault="00904836" w:rsidP="000D3EEE">
                        <w:pPr>
                          <w:spacing w:after="0" w:line="240" w:lineRule="auto"/>
                          <w:rPr>
                            <w:sz w:val="18"/>
                            <w:szCs w:val="18"/>
                            <w:lang w:val="es-AR"/>
                          </w:rPr>
                        </w:pPr>
                        <w:r>
                          <w:rPr>
                            <w:sz w:val="18"/>
                            <w:szCs w:val="18"/>
                            <w:lang w:val="es-AR"/>
                          </w:rPr>
                          <w:t>Línea</w:t>
                        </w:r>
                        <w:r w:rsidRPr="008F5475">
                          <w:rPr>
                            <w:sz w:val="18"/>
                            <w:szCs w:val="18"/>
                            <w:lang w:val="es-AR"/>
                          </w:rPr>
                          <w:t xml:space="preserve"> 500</w:t>
                        </w:r>
                      </w:p>
                      <w:p w14:paraId="265F7BD4" w14:textId="77777777" w:rsidR="00904836" w:rsidRPr="00505378" w:rsidRDefault="00904836" w:rsidP="000D3EEE">
                        <w:pPr>
                          <w:spacing w:after="0" w:line="240" w:lineRule="auto"/>
                          <w:rPr>
                            <w:sz w:val="18"/>
                            <w:szCs w:val="18"/>
                            <w:lang w:val="es-AR"/>
                          </w:rPr>
                        </w:pPr>
                      </w:p>
                    </w:txbxContent>
                  </v:textbox>
                </v:shape>
                <v:shape id="Cuadro de texto 34" o:spid="_x0000_s1078" type="#_x0000_t202" style="position:absolute;left:31687;width:22352;height:19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" fillcolor="#ded092" stroked="f" strokeweight=".5pt">
                  <v:textbox>
                    <w:txbxContent>
                      <w:p w14:paraId="381E3C52" w14:textId="77777777" w:rsidR="00904836" w:rsidRPr="00505378" w:rsidRDefault="00904836" w:rsidP="000D3EEE">
                        <w:pPr>
                          <w:spacing w:after="60" w:line="240" w:lineRule="auto"/>
                          <w:jc w:val="center"/>
                          <w:rPr>
                            <w:b/>
                            <w:bCs/>
                            <w:lang w:val="es-AR"/>
                          </w:rPr>
                        </w:pPr>
                        <w:r w:rsidRPr="00505378">
                          <w:rPr>
                            <w:b/>
                            <w:bCs/>
                            <w:lang w:val="es-AR"/>
                          </w:rPr>
                          <w:t>COMA de Tramo de Transporte</w:t>
                        </w:r>
                      </w:p>
                    </w:txbxContent>
                  </v:textbox>
                </v:shape>
                <v:shape id="Cuadro de texto 35" o:spid="_x0000_s1079" type="#_x0000_t202" style="position:absolute;left:31596;top:20822;width:22352;height:215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" fillcolor="#ded092" stroked="f" strokeweight=".5pt">
                  <v:textbox>
                    <w:txbxContent>
                      <w:p w14:paraId="7AFCFA7D" w14:textId="77777777" w:rsidR="00904836" w:rsidRPr="00505378" w:rsidRDefault="00904836" w:rsidP="000D3EEE">
                        <w:pPr>
                          <w:spacing w:after="60" w:line="240" w:lineRule="auto"/>
                          <w:jc w:val="center"/>
                          <w:rPr>
                            <w:b/>
                            <w:bCs/>
                            <w:lang w:val="es-AR"/>
                          </w:rPr>
                        </w:pPr>
                        <w:r w:rsidRPr="00505378">
                          <w:rPr>
                            <w:b/>
                            <w:bCs/>
                            <w:lang w:val="es-AR"/>
                          </w:rPr>
                          <w:t>COMA de Tramo de Subestación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36" o:spid="_x0000_s1080" type="#_x0000_t34" style="position:absolute;left:23357;top:5160;width:8239;height:334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" strokecolor="#4472c4 [3204]" strokeweight="1.5pt">
                  <v:stroke endarrow="block"/>
                </v:shape>
                <v:shape id="Conector: angular 37" o:spid="_x0000_s1081" type="#_x0000_t34" style="position:absolute;left:23357;top:12803;width:8259;height:747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" strokecolor="#4472c4 [3204]" strokeweight="1.5pt">
                  <v:stroke endarrow="block"/>
                </v:shape>
                <v:shape id="Conector: angular 49" o:spid="_x0000_s1082" type="#_x0000_t34" style="position:absolute;left:23357;top:31634;width:8340;height:398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" strokecolor="#4472c4 [3204]" strokeweight="1.5pt">
                  <v:stroke endarrow="block"/>
                </v:shape>
              </v:group>
            </w:pict>
          </mc:Fallback>
        </mc:AlternateContent>
      </w:r>
    </w:p>
    <w:p w14:paraId="0531D70E" w14:textId="77777777" w:rsidR="00F64D04" w:rsidRPr="00354C2E" w:rsidRDefault="00F64D04" w:rsidP="00F64D04">
      <w:pPr>
        <w:spacing w:before="60" w:after="120" w:line="240" w:lineRule="auto"/>
        <w:rPr>
          <w:rFonts w:cs="Arial"/>
          <w:szCs w:val="22"/>
          <w:lang w:val="es-ES"/>
        </w:rPr>
      </w:pPr>
    </w:p>
    <w:p w14:paraId="6413F186" w14:textId="77777777" w:rsidR="00F64D04" w:rsidRPr="00354C2E" w:rsidRDefault="00F64D04" w:rsidP="00F64D04">
      <w:pPr>
        <w:spacing w:before="60" w:after="120" w:line="240" w:lineRule="auto"/>
        <w:rPr>
          <w:rFonts w:cs="Arial"/>
          <w:szCs w:val="22"/>
          <w:lang w:val="es-ES"/>
        </w:rPr>
      </w:pPr>
    </w:p>
    <w:p w14:paraId="6C259FC8" w14:textId="77777777" w:rsidR="00F64D04" w:rsidRPr="00354C2E" w:rsidRDefault="00F64D04" w:rsidP="00F64D04">
      <w:pPr>
        <w:spacing w:before="60" w:after="120" w:line="240" w:lineRule="auto"/>
        <w:rPr>
          <w:rFonts w:cs="Arial"/>
          <w:szCs w:val="22"/>
          <w:lang w:val="es-ES"/>
        </w:rPr>
      </w:pPr>
    </w:p>
    <w:p w14:paraId="7A6FB064" w14:textId="77777777" w:rsidR="00F64D04" w:rsidRPr="00354C2E" w:rsidRDefault="00F64D04" w:rsidP="00F64D04">
      <w:pPr>
        <w:spacing w:before="60" w:after="120" w:line="240" w:lineRule="auto"/>
        <w:rPr>
          <w:rFonts w:cs="Arial"/>
          <w:szCs w:val="22"/>
          <w:lang w:val="es-ES"/>
        </w:rPr>
      </w:pPr>
    </w:p>
    <w:p w14:paraId="29CEEC88" w14:textId="77777777" w:rsidR="00F64D04" w:rsidRPr="00354C2E" w:rsidRDefault="00F64D04" w:rsidP="00F64D04">
      <w:pPr>
        <w:spacing w:before="60" w:after="120" w:line="240" w:lineRule="auto"/>
        <w:rPr>
          <w:rFonts w:cs="Arial"/>
          <w:szCs w:val="22"/>
          <w:lang w:val="es-ES"/>
        </w:rPr>
      </w:pPr>
    </w:p>
    <w:p w14:paraId="0254EF28" w14:textId="77777777" w:rsidR="00F64D04" w:rsidRPr="00354C2E" w:rsidRDefault="00F64D04" w:rsidP="00F64D04">
      <w:pPr>
        <w:spacing w:before="60" w:after="120" w:line="240" w:lineRule="auto"/>
        <w:rPr>
          <w:rFonts w:cs="Arial"/>
          <w:szCs w:val="22"/>
          <w:lang w:val="es-ES"/>
        </w:rPr>
      </w:pPr>
    </w:p>
    <w:p w14:paraId="0F678B87" w14:textId="77777777" w:rsidR="00F64D04" w:rsidRPr="00354C2E" w:rsidRDefault="00F64D04" w:rsidP="00F64D04">
      <w:pPr>
        <w:spacing w:before="60" w:after="120" w:line="240" w:lineRule="auto"/>
        <w:rPr>
          <w:rFonts w:cs="Arial"/>
          <w:szCs w:val="22"/>
          <w:lang w:val="es-ES"/>
        </w:rPr>
      </w:pPr>
    </w:p>
    <w:p w14:paraId="12608427" w14:textId="77777777" w:rsidR="00F64D04" w:rsidRPr="00354C2E" w:rsidRDefault="00F64D04" w:rsidP="00F64D04">
      <w:pPr>
        <w:spacing w:before="60" w:after="120" w:line="240" w:lineRule="auto"/>
        <w:rPr>
          <w:rFonts w:cs="Arial"/>
          <w:szCs w:val="22"/>
          <w:lang w:val="es-ES"/>
        </w:rPr>
      </w:pPr>
    </w:p>
    <w:p w14:paraId="1BBA88F0" w14:textId="77777777" w:rsidR="00F64D04" w:rsidRPr="00354C2E" w:rsidRDefault="00F64D04" w:rsidP="00F64D04">
      <w:pPr>
        <w:spacing w:before="60" w:after="120" w:line="240" w:lineRule="auto"/>
        <w:rPr>
          <w:rFonts w:cs="Arial"/>
          <w:szCs w:val="22"/>
          <w:lang w:val="es-ES"/>
        </w:rPr>
      </w:pPr>
    </w:p>
    <w:p w14:paraId="5E241E93" w14:textId="77777777" w:rsidR="00F64D04" w:rsidRPr="00354C2E" w:rsidRDefault="00F64D04" w:rsidP="00F64D04">
      <w:pPr>
        <w:spacing w:before="60" w:after="120" w:line="240" w:lineRule="auto"/>
        <w:rPr>
          <w:rFonts w:cs="Arial"/>
          <w:szCs w:val="22"/>
          <w:lang w:val="es-ES"/>
        </w:rPr>
      </w:pPr>
    </w:p>
    <w:p w14:paraId="06B3ADC9" w14:textId="77777777" w:rsidR="000D3EEE" w:rsidRDefault="000D3EEE" w:rsidP="00F64D04">
      <w:pPr>
        <w:spacing w:before="60" w:after="120" w:line="240" w:lineRule="auto"/>
        <w:rPr>
          <w:rFonts w:cs="Arial"/>
          <w:szCs w:val="22"/>
          <w:lang w:val="es-ES"/>
        </w:rPr>
      </w:pPr>
    </w:p>
    <w:p w14:paraId="51D3F6BD" w14:textId="77777777" w:rsidR="000D3EEE" w:rsidRDefault="000D3EEE" w:rsidP="00F64D04">
      <w:pPr>
        <w:spacing w:before="60" w:after="120" w:line="240" w:lineRule="auto"/>
        <w:rPr>
          <w:rFonts w:cs="Arial"/>
          <w:szCs w:val="22"/>
          <w:lang w:val="es-ES"/>
        </w:rPr>
      </w:pPr>
    </w:p>
    <w:p w14:paraId="5D33D053" w14:textId="77777777" w:rsidR="000D3EEE" w:rsidRDefault="000D3EEE" w:rsidP="00F64D04">
      <w:pPr>
        <w:spacing w:before="60" w:after="120" w:line="240" w:lineRule="auto"/>
        <w:rPr>
          <w:rFonts w:cs="Arial"/>
          <w:szCs w:val="22"/>
          <w:lang w:val="es-ES"/>
        </w:rPr>
      </w:pPr>
    </w:p>
    <w:p w14:paraId="53682C15" w14:textId="77777777" w:rsidR="000D3EEE" w:rsidRDefault="000D3EEE" w:rsidP="00F64D04">
      <w:pPr>
        <w:spacing w:before="60" w:after="120" w:line="240" w:lineRule="auto"/>
        <w:rPr>
          <w:rFonts w:cs="Arial"/>
          <w:szCs w:val="22"/>
          <w:lang w:val="es-ES"/>
        </w:rPr>
      </w:pPr>
    </w:p>
    <w:p w14:paraId="08DB3E99" w14:textId="77777777" w:rsidR="000D3EEE" w:rsidRDefault="000D3EEE" w:rsidP="00F64D04">
      <w:pPr>
        <w:spacing w:before="60" w:after="120" w:line="240" w:lineRule="auto"/>
        <w:rPr>
          <w:rFonts w:cs="Arial"/>
          <w:szCs w:val="22"/>
          <w:lang w:val="es-ES"/>
        </w:rPr>
      </w:pPr>
    </w:p>
    <w:p w14:paraId="535D414B" w14:textId="77777777" w:rsidR="000D3EEE" w:rsidRDefault="000D3EEE" w:rsidP="00F64D04">
      <w:pPr>
        <w:spacing w:before="60" w:after="120" w:line="240" w:lineRule="auto"/>
        <w:rPr>
          <w:rFonts w:cs="Arial"/>
          <w:szCs w:val="22"/>
          <w:lang w:val="es-ES"/>
        </w:rPr>
      </w:pPr>
    </w:p>
    <w:p w14:paraId="2AB5E0DE" w14:textId="0CAF537C" w:rsidR="00F64D04" w:rsidRPr="00354C2E" w:rsidRDefault="00F64D04" w:rsidP="00F64D04">
      <w:pPr>
        <w:spacing w:before="60" w:after="120" w:line="240" w:lineRule="auto"/>
        <w:rPr>
          <w:rFonts w:cs="Arial"/>
          <w:szCs w:val="22"/>
          <w:lang w:val="es-ES"/>
        </w:rPr>
      </w:pPr>
      <w:r w:rsidRPr="00354C2E">
        <w:rPr>
          <w:rFonts w:cs="Arial"/>
          <w:szCs w:val="22"/>
          <w:lang w:val="es-ES"/>
        </w:rPr>
        <w:t xml:space="preserve">En cada caso, la determinación de los COMA directos se realiza desagregando el cálculo en dos partes: costo propio de la tarea y los costos de desplazamiento.  </w:t>
      </w:r>
    </w:p>
    <w:p w14:paraId="1E807AF8" w14:textId="15991EBC" w:rsidR="00F64D04" w:rsidRPr="0060133B" w:rsidRDefault="00F64D04" w:rsidP="0060133B">
      <w:pPr>
        <w:rPr>
          <w:lang w:val="es-ES"/>
        </w:rPr>
      </w:pPr>
      <w:r w:rsidRPr="0060133B">
        <w:rPr>
          <w:lang w:val="es-ES"/>
        </w:rPr>
        <w:t xml:space="preserve">El costo propio de la tarea está determinado por la duración de la misma, la frecuencia de ejecución y los recursos de cuadrilla (operarios, herramientas, vehículos, etc.) y materiales requeridos en cada caso. El costo de desplazamiento está compuesto por el tiempo de aproximación a la zona de trabajo y el tiempo de desplazamiento entre tareas y tiene tratamiento distinto según el módulo de que se trate y de acuerdo a si la tarea es calificada como programable (PR) o no programable (NP), para mas detalle referirse al numeral </w:t>
      </w:r>
      <w:r w:rsidRPr="0060133B">
        <w:rPr>
          <w:lang w:val="es-ES"/>
        </w:rPr>
        <w:fldChar w:fldCharType="begin"/>
      </w:r>
      <w:r w:rsidRPr="0060133B">
        <w:rPr>
          <w:lang w:val="es-ES"/>
        </w:rPr>
        <w:instrText xml:space="preserve"> REF _Ref34639145 \r \h </w:instrText>
      </w:r>
      <w:r w:rsidR="00354C2E" w:rsidRPr="0060133B">
        <w:rPr>
          <w:lang w:val="es-ES"/>
        </w:rPr>
        <w:instrText xml:space="preserve"> \* MERGEFORMAT </w:instrText>
      </w:r>
      <w:r w:rsidRPr="0060133B">
        <w:rPr>
          <w:lang w:val="es-ES"/>
        </w:rPr>
      </w:r>
      <w:r w:rsidRPr="0060133B">
        <w:rPr>
          <w:lang w:val="es-ES"/>
        </w:rPr>
        <w:fldChar w:fldCharType="separate"/>
      </w:r>
      <w:r w:rsidR="00F14BED">
        <w:rPr>
          <w:lang w:val="es-ES"/>
        </w:rPr>
        <w:t>6.2.4.2</w:t>
      </w:r>
      <w:r w:rsidRPr="0060133B">
        <w:rPr>
          <w:lang w:val="es-ES"/>
        </w:rPr>
        <w:fldChar w:fldCharType="end"/>
      </w:r>
      <w:r w:rsidRPr="0060133B">
        <w:rPr>
          <w:lang w:val="es-ES"/>
        </w:rPr>
        <w:t>.</w:t>
      </w:r>
    </w:p>
    <w:p w14:paraId="41FA3929" w14:textId="77777777" w:rsidR="00F64D04" w:rsidRPr="0060133B" w:rsidRDefault="00F64D04" w:rsidP="0060133B">
      <w:pPr>
        <w:rPr>
          <w:lang w:val="es-ES"/>
        </w:rPr>
      </w:pPr>
      <w:r w:rsidRPr="0060133B">
        <w:rPr>
          <w:lang w:val="es-ES"/>
        </w:rPr>
        <w:t>Finalmente, ambos componentes definen la necesidad de recursos totales para la ejecución de las actividades de COMA Directos, los cuales son calculados para cada tramo en particular.</w:t>
      </w:r>
    </w:p>
    <w:p w14:paraId="376FB528" w14:textId="77777777" w:rsidR="00F64D04" w:rsidRPr="00354C2E" w:rsidRDefault="00F64D04" w:rsidP="00F64D04">
      <w:pPr>
        <w:spacing w:before="60" w:after="120" w:line="240" w:lineRule="auto"/>
        <w:rPr>
          <w:rFonts w:cs="Arial"/>
          <w:b/>
          <w:bCs/>
          <w:szCs w:val="22"/>
          <w:lang w:val="es-ES"/>
        </w:rPr>
      </w:pPr>
      <w:r w:rsidRPr="00354C2E">
        <w:rPr>
          <w:rFonts w:cs="Arial"/>
          <w:b/>
          <w:bCs/>
          <w:szCs w:val="22"/>
          <w:lang w:val="es-ES"/>
        </w:rPr>
        <w:t>Módulo de costos de COMA directos de líneas</w:t>
      </w:r>
    </w:p>
    <w:p w14:paraId="5385A283" w14:textId="77777777" w:rsidR="00F64D04" w:rsidRPr="00354C2E" w:rsidRDefault="00F64D04" w:rsidP="00F64D04">
      <w:pPr>
        <w:spacing w:before="60" w:after="120" w:line="240" w:lineRule="auto"/>
        <w:rPr>
          <w:rFonts w:cs="Arial"/>
          <w:szCs w:val="22"/>
          <w:lang w:val="es-ES"/>
        </w:rPr>
      </w:pPr>
      <w:r w:rsidRPr="00354C2E">
        <w:rPr>
          <w:rFonts w:cs="Arial"/>
          <w:szCs w:val="22"/>
          <w:lang w:val="es-ES"/>
        </w:rPr>
        <w:t xml:space="preserve">Este módulo esta conformado por las siguientes hojas de cálculo: </w:t>
      </w:r>
    </w:p>
    <w:p w14:paraId="48B85368"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Datos_Generales en donde se especifican datos utilizados en todo el módulo como identificación de regionales, centros operativos, cuadrillas, etc.</w:t>
      </w:r>
    </w:p>
    <w:p w14:paraId="6264921F"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TramosTLineas en donde se definen los tramos de transporte objeto del estudio, se asigna el o los centros operativos desde donde parten las cuadrillas, de definen las cantidades de cada subcomponente y frecuencias particulares.</w:t>
      </w:r>
    </w:p>
    <w:p w14:paraId="4746AB31"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Geoposicionamiento Se definen las distancias y velocidades que son necesarias para llegar desde el CO a la subestación cabecera de la línea (Información obtenida de Google Earth).</w:t>
      </w:r>
    </w:p>
    <w:p w14:paraId="7D226145"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TareasLineas contiene la base de datos de tareas para cada componente.</w:t>
      </w:r>
    </w:p>
    <w:p w14:paraId="2AFA988B"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OYM_Lineas se calculan los COMA directos correspondientes a la ejecución de cada tarea para cada componente.</w:t>
      </w:r>
    </w:p>
    <w:p w14:paraId="6ABAC55D"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OYM_Lineas_Salida_PR se calculan los tiempos de desplazamiento para cada cuadrilla y para cada subestación correspondiente a las actividades caracterizadas como programables.</w:t>
      </w:r>
    </w:p>
    <w:p w14:paraId="1A327BD2"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OYM_Lineas_Salida_NP se calculan los tiempos de desplazamiento para cada cuadrilla y para cada subestación correspondiente a las actividades caracterizadas como no programables.</w:t>
      </w:r>
    </w:p>
    <w:p w14:paraId="1DC4E482"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Salida se totalizan los COMA directos por cada componente, se asigna a su tramo de transporte correspondiente, se asignan los tiempos de desplazamiento, pernoctes, viaticos, etc.</w:t>
      </w:r>
    </w:p>
    <w:p w14:paraId="257F1211" w14:textId="77777777" w:rsidR="00F64D04" w:rsidRPr="00354C2E" w:rsidRDefault="00F64D04" w:rsidP="00F64D04">
      <w:pPr>
        <w:spacing w:before="60" w:after="120" w:line="240" w:lineRule="auto"/>
        <w:rPr>
          <w:rFonts w:cs="Arial"/>
          <w:b/>
          <w:bCs/>
          <w:szCs w:val="22"/>
          <w:lang w:val="es-ES"/>
        </w:rPr>
      </w:pPr>
      <w:r w:rsidRPr="00354C2E">
        <w:rPr>
          <w:rFonts w:cs="Arial"/>
          <w:b/>
          <w:bCs/>
          <w:szCs w:val="22"/>
          <w:lang w:val="es-ES"/>
        </w:rPr>
        <w:t>Módulo de costos de COMA directos de Subestaciones</w:t>
      </w:r>
    </w:p>
    <w:p w14:paraId="16E4CA8E" w14:textId="77777777" w:rsidR="00F64D04" w:rsidRPr="00354C2E" w:rsidRDefault="00F64D04" w:rsidP="00F64D04">
      <w:pPr>
        <w:spacing w:before="60" w:after="120" w:line="240" w:lineRule="auto"/>
        <w:rPr>
          <w:rFonts w:cs="Arial"/>
          <w:szCs w:val="22"/>
          <w:lang w:val="es-ES"/>
        </w:rPr>
      </w:pPr>
      <w:r w:rsidRPr="00354C2E">
        <w:rPr>
          <w:rFonts w:cs="Arial"/>
          <w:szCs w:val="22"/>
          <w:lang w:val="es-ES"/>
        </w:rPr>
        <w:t xml:space="preserve">Este módulo esta conformado por las siguientes hojas de cálculo: </w:t>
      </w:r>
    </w:p>
    <w:p w14:paraId="623B5BC9"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Datos_Generales en donde se especifican datos utilizados en todo el módulo como identificación de regionales, centros operativos, cuadrillas, etc.</w:t>
      </w:r>
    </w:p>
    <w:p w14:paraId="1A3D22AF"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TramosSubestaciones en donde se definen los tramos de subestación, se asignan los centros operativos desde donde parten las cuadrillas.</w:t>
      </w:r>
    </w:p>
    <w:p w14:paraId="3668664C"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Geoposicionamiento Se definen las distancias y velocidades que son necesarias para llegar desde el CO a la subestación (Información obtenida de Google Earth).</w:t>
      </w:r>
    </w:p>
    <w:p w14:paraId="5E293977"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SE donde se definen los componentes de cada sub estación  junto con las cantidades correspondientes de cada uno y de sus subcomponentes y finalmente la asignación a cada tramo de transporte o subestación según corresponda.</w:t>
      </w:r>
    </w:p>
    <w:p w14:paraId="6E8E6B7C"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TareasSSEE contiene la base de datos de tareas para cada componente.</w:t>
      </w:r>
    </w:p>
    <w:p w14:paraId="68BE6B68"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OYM_SE se calculan los COMA directos correspondientes a la ejecución de cada tarea para cada componente.</w:t>
      </w:r>
    </w:p>
    <w:p w14:paraId="6C2B5C41"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OYM_SSEE_Salida_PR se calculan los tiempos de desplazamiento para cada cuadrilla y para cada subestación correspondiente a las actividades caracterizadas como programables.</w:t>
      </w:r>
    </w:p>
    <w:p w14:paraId="567F23E5" w14:textId="77777777" w:rsidR="00F64D04"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OYM_SSEE_Salida_NP se calculan los tiempos de desplazamiento para cada cuadrilla y para cada subestación correspondiente a las actividades caracterizadas como no programables.</w:t>
      </w:r>
    </w:p>
    <w:p w14:paraId="4568D18B" w14:textId="6690F2D0" w:rsidR="0079428C" w:rsidRPr="00354C2E" w:rsidRDefault="00F64D04" w:rsidP="002E20CA">
      <w:pPr>
        <w:pStyle w:val="Prrafodelista"/>
        <w:numPr>
          <w:ilvl w:val="0"/>
          <w:numId w:val="71"/>
        </w:numPr>
        <w:spacing w:before="60" w:after="120" w:line="240" w:lineRule="auto"/>
        <w:rPr>
          <w:rFonts w:cs="Arial"/>
          <w:szCs w:val="22"/>
          <w:lang w:val="es-ES"/>
        </w:rPr>
      </w:pPr>
      <w:r w:rsidRPr="00354C2E">
        <w:rPr>
          <w:rFonts w:cs="Arial"/>
          <w:szCs w:val="22"/>
          <w:lang w:val="es-ES"/>
        </w:rPr>
        <w:t>Salida se totalizan los COMA directos por cada componente, se asigna a su tramo de transporte o de subestación correspondiente, se asignan los tiempos de desplazamiento, pernoctes, viaticos, etc.</w:t>
      </w:r>
    </w:p>
    <w:p w14:paraId="613B9890" w14:textId="77777777" w:rsidR="0079428C" w:rsidRPr="00F465C5" w:rsidRDefault="0079428C" w:rsidP="0079428C">
      <w:pPr>
        <w:pStyle w:val="Ttulo3"/>
      </w:pPr>
      <w:r w:rsidRPr="00F465C5">
        <w:t xml:space="preserve"> </w:t>
      </w:r>
      <w:bookmarkStart w:id="272" w:name="_Toc32389958"/>
      <w:bookmarkStart w:id="273" w:name="_Toc34398157"/>
      <w:bookmarkStart w:id="274" w:name="_Toc34687251"/>
      <w:r w:rsidRPr="00F465C5">
        <w:t>Tratamiento de las economías de ámbito</w:t>
      </w:r>
      <w:bookmarkEnd w:id="272"/>
      <w:bookmarkEnd w:id="273"/>
      <w:bookmarkEnd w:id="274"/>
    </w:p>
    <w:p w14:paraId="4658A8B3" w14:textId="77777777" w:rsidR="0079428C" w:rsidRPr="00B06D23" w:rsidRDefault="0079428C" w:rsidP="0079428C">
      <w:pPr>
        <w:rPr>
          <w:lang w:val="es-ES"/>
        </w:rPr>
      </w:pPr>
      <w:r w:rsidRPr="00B06D23">
        <w:rPr>
          <w:lang w:val="es-ES"/>
        </w:rPr>
        <w:t>A los efectos de efectuar eventualmente los descuentos por economías de ámbito que corresponda para aquellas empresas de transmisión nacional que realicen actividades distintas al servicio de transmisión, el Consultor identificó en la estructura de la empresa modelo las partidas de costo susceptibles de economías de ámbito, considerando que son costos que pueden ser compartidos con otras actividades, lo que se comunicará al Comité con la debida justificación.</w:t>
      </w:r>
    </w:p>
    <w:p w14:paraId="524CB371" w14:textId="17DBDF47" w:rsidR="0079428C" w:rsidRPr="00B06D23" w:rsidRDefault="0079428C" w:rsidP="0079428C">
      <w:pPr>
        <w:rPr>
          <w:lang w:val="es-ES"/>
        </w:rPr>
      </w:pPr>
      <w:r w:rsidRPr="00B06D23">
        <w:rPr>
          <w:lang w:val="es-ES"/>
        </w:rPr>
        <w:t>Para definir las partidas suceptibles de economías de ámbito el criterio que se utiliz</w:t>
      </w:r>
      <w:r w:rsidR="000D3EEE">
        <w:rPr>
          <w:lang w:val="es-ES"/>
        </w:rPr>
        <w:t>ó</w:t>
      </w:r>
      <w:r w:rsidRPr="00B06D23">
        <w:rPr>
          <w:lang w:val="es-ES"/>
        </w:rPr>
        <w:t xml:space="preserve"> </w:t>
      </w:r>
      <w:r w:rsidR="000D3EEE">
        <w:rPr>
          <w:lang w:val="es-ES"/>
        </w:rPr>
        <w:t>fué</w:t>
      </w:r>
      <w:r w:rsidRPr="00B06D23">
        <w:rPr>
          <w:lang w:val="es-ES"/>
        </w:rPr>
        <w:t xml:space="preserve"> considerar que la empresa modelo es eficiente y aprovecha las holguras inherentes para la prestación conjunta del servicio de transmisión nacional y otros servicios distintos de transmisión. </w:t>
      </w:r>
    </w:p>
    <w:p w14:paraId="638CDCC7" w14:textId="77777777" w:rsidR="0079428C" w:rsidRPr="00B06D23" w:rsidRDefault="0079428C" w:rsidP="0079428C">
      <w:pPr>
        <w:rPr>
          <w:lang w:val="es-ES"/>
        </w:rPr>
      </w:pPr>
      <w:r w:rsidRPr="00B06D23">
        <w:rPr>
          <w:lang w:val="es-ES"/>
        </w:rPr>
        <w:t>La identificación de las holguras que dan origen a las partidas sujetas a economías de ámbito se realizó sobre la base del análisis de la estructura organizacional y BMI asociados, diseñados para la empresa modelo,  y la posibilidad de su aprovechamiento para la prestación de otros servicios distintos de transmisión, y teniendo en cuenta antecedentes regulatorios en la materia.</w:t>
      </w:r>
    </w:p>
    <w:p w14:paraId="2DFE9942" w14:textId="77777777" w:rsidR="0079428C" w:rsidRPr="00B06D23" w:rsidRDefault="0079428C" w:rsidP="0079428C">
      <w:pPr>
        <w:rPr>
          <w:lang w:val="es-ES"/>
        </w:rPr>
      </w:pPr>
      <w:r w:rsidRPr="00B06D23">
        <w:rPr>
          <w:lang w:val="es-ES"/>
        </w:rPr>
        <w:t>En este informe se identifican las partidas que se consideran sujetas a economías de ámbito y tal como indican las bases técnicas se somete a consideración de la CNE.</w:t>
      </w:r>
    </w:p>
    <w:p w14:paraId="1B4A4016" w14:textId="77777777" w:rsidR="0079428C" w:rsidRPr="00B06D23" w:rsidRDefault="0079428C" w:rsidP="0079428C">
      <w:pPr>
        <w:rPr>
          <w:lang w:val="es-ES"/>
        </w:rPr>
      </w:pPr>
      <w:r w:rsidRPr="00B06D23">
        <w:rPr>
          <w:lang w:val="es-ES"/>
        </w:rPr>
        <w:t>Las partidas se clasifican en:</w:t>
      </w:r>
    </w:p>
    <w:p w14:paraId="0A894DEF" w14:textId="77777777" w:rsidR="0079428C" w:rsidRPr="00B06D23" w:rsidRDefault="0079428C" w:rsidP="002E20CA">
      <w:pPr>
        <w:pStyle w:val="Prrafodelista"/>
        <w:numPr>
          <w:ilvl w:val="0"/>
          <w:numId w:val="59"/>
        </w:numPr>
        <w:rPr>
          <w:lang w:val="es-ES"/>
        </w:rPr>
      </w:pPr>
      <w:r w:rsidRPr="00B06D23">
        <w:rPr>
          <w:lang w:val="es-ES"/>
        </w:rPr>
        <w:t>Corporativo: son gastos que realiza la empresa modelo a nivel global de toda la empresa.</w:t>
      </w:r>
    </w:p>
    <w:p w14:paraId="507F774E" w14:textId="77777777" w:rsidR="0079428C" w:rsidRPr="00B06D23" w:rsidRDefault="0079428C" w:rsidP="002E20CA">
      <w:pPr>
        <w:pStyle w:val="Prrafodelista"/>
        <w:numPr>
          <w:ilvl w:val="0"/>
          <w:numId w:val="59"/>
        </w:numPr>
        <w:rPr>
          <w:lang w:val="es-ES"/>
        </w:rPr>
      </w:pPr>
      <w:r w:rsidRPr="00B06D23">
        <w:rPr>
          <w:lang w:val="es-ES"/>
        </w:rPr>
        <w:t>Personal: son costos laborales de los puestos con sus gastos asociados (consumo de energía eléctrica, agua, comunicaciones, etc) y sus bienes muebles e inmuebles.</w:t>
      </w:r>
    </w:p>
    <w:p w14:paraId="4510CEFE" w14:textId="77777777" w:rsidR="0079428C" w:rsidRPr="00B06D23" w:rsidRDefault="0079428C" w:rsidP="0079428C">
      <w:pPr>
        <w:rPr>
          <w:lang w:val="es-ES"/>
        </w:rPr>
      </w:pPr>
      <w:r w:rsidRPr="00B06D23">
        <w:rPr>
          <w:lang w:val="es-ES"/>
        </w:rPr>
        <w:t>Cada una de las partidas mencionadas se clasifican en costos laborales, gastos y la anualidad de los BM&amp;I.</w:t>
      </w:r>
    </w:p>
    <w:p w14:paraId="30E1B014" w14:textId="77777777" w:rsidR="0079428C" w:rsidRPr="00B06D23" w:rsidRDefault="0079428C" w:rsidP="0079428C">
      <w:pPr>
        <w:rPr>
          <w:lang w:val="es-ES"/>
        </w:rPr>
      </w:pPr>
      <w:r w:rsidRPr="00B06D23">
        <w:rPr>
          <w:lang w:val="es-ES"/>
        </w:rPr>
        <w:t>En el Anexo COMA_3 Modelo/ Modelo EC&amp;ER/ Economías Ambito están identificadas las partidas propuestas sujetas a economías de ámbito y que se corresponden a la estructura central (“corporate”) de la EM. Las partidas identificadas se deberán asignar a cada tramo en función de su A.V.I.</w:t>
      </w:r>
    </w:p>
    <w:p w14:paraId="5D2CC5E2" w14:textId="69115E16" w:rsidR="0079428C" w:rsidRPr="00B06D23" w:rsidRDefault="0079428C" w:rsidP="0079428C">
      <w:pPr>
        <w:rPr>
          <w:lang w:val="es-ES"/>
        </w:rPr>
      </w:pPr>
      <w:r w:rsidRPr="00B06D23">
        <w:rPr>
          <w:lang w:val="es-ES"/>
        </w:rPr>
        <w:t xml:space="preserve">En posterior informe y homologadas las partidas de  ámbito con la </w:t>
      </w:r>
      <w:r w:rsidRPr="00B06D23">
        <w:rPr>
          <w:b/>
          <w:lang w:val="es-ES"/>
        </w:rPr>
        <w:t>CNE se</w:t>
      </w:r>
      <w:r w:rsidRPr="00B06D23">
        <w:rPr>
          <w:lang w:val="es-ES"/>
        </w:rPr>
        <w:t xml:space="preserve"> aplicarán l a la remuneración de las empresas propietarias de las instalaciones de transmisión como un descuento a incluir dentro del C.O.M.A o bienes muebles e inmuebles (BMI) en cada uno de sus tramo</w:t>
      </w:r>
      <w:r w:rsidR="000D3EEE">
        <w:rPr>
          <w:lang w:val="es-ES"/>
        </w:rPr>
        <w:t>s</w:t>
      </w:r>
      <w:r w:rsidRPr="00B06D23">
        <w:rPr>
          <w:lang w:val="es-ES"/>
        </w:rPr>
        <w:t xml:space="preserve">, según corresponda, para lo cual se aplicará la siguiente metodología: </w:t>
      </w:r>
    </w:p>
    <w:p w14:paraId="19B0480B" w14:textId="77777777" w:rsidR="0079428C" w:rsidRPr="00B06D23" w:rsidRDefault="0079428C" w:rsidP="0079428C">
      <w:pPr>
        <w:rPr>
          <w:lang w:val="es-ES"/>
        </w:rPr>
      </w:pPr>
      <w:r w:rsidRPr="00B06D23">
        <w:rPr>
          <w:lang w:val="es-ES"/>
        </w:rPr>
        <w:t xml:space="preserve">1) Se calculará la participación de dicha partida de costo en el C.O.M.A y/o BMI, según corresponda, de cada tramo como el cuociente del A.V.I del tramo dividido por el  A.V.I total del sistema. </w:t>
      </w:r>
    </w:p>
    <w:p w14:paraId="1AC898C7" w14:textId="77777777" w:rsidR="0079428C" w:rsidRPr="00B06D23" w:rsidRDefault="0079428C" w:rsidP="0079428C">
      <w:pPr>
        <w:rPr>
          <w:lang w:val="es-ES"/>
        </w:rPr>
      </w:pPr>
      <w:r w:rsidRPr="00B06D23">
        <w:rPr>
          <w:lang w:val="es-ES"/>
        </w:rPr>
        <w:t xml:space="preserve">2) Con la proporción determinada el punto 1) se calculará el costo de la partida de C.O.M.A y/o  BMI susceptible de descuento asignable a cada tramo. </w:t>
      </w:r>
    </w:p>
    <w:p w14:paraId="1C99C869" w14:textId="77777777" w:rsidR="0079428C" w:rsidRPr="00B06D23" w:rsidRDefault="0079428C" w:rsidP="0079428C">
      <w:pPr>
        <w:rPr>
          <w:lang w:val="es-ES"/>
        </w:rPr>
      </w:pPr>
      <w:r w:rsidRPr="00B06D23">
        <w:rPr>
          <w:lang w:val="es-ES"/>
        </w:rPr>
        <w:t>3) Se determinará el Valor Límite de Descuento por Economías de Ámbito (VLDEA) como el producto del costo de la partida de C.O.M.A y/o B.M.I  determinada en el punto 2) multiplicando por un driver que sea representativo de la utilización de dicha partida en otras actividades diferentes de la actividad de transmisión.</w:t>
      </w:r>
    </w:p>
    <w:p w14:paraId="52AA2DE0" w14:textId="77777777" w:rsidR="0079428C" w:rsidRPr="00B06D23" w:rsidRDefault="0079428C" w:rsidP="0079428C">
      <w:pPr>
        <w:rPr>
          <w:lang w:val="es-ES"/>
        </w:rPr>
      </w:pPr>
      <w:r w:rsidRPr="00B06D23">
        <w:rPr>
          <w:lang w:val="es-ES"/>
        </w:rPr>
        <w:t>4)  Para el cálculo del driver se utilizará la siguiente expresión matemática para cada partida de costo calculada según el punto 2) y para cada tramo</w:t>
      </w:r>
    </w:p>
    <w:p w14:paraId="65AEBA06" w14:textId="77777777" w:rsidR="0079428C" w:rsidRPr="00B06D23" w:rsidRDefault="0079428C" w:rsidP="0079428C">
      <w:pPr>
        <w:rPr>
          <w:lang w:val="es-ES"/>
        </w:rPr>
      </w:pPr>
      <m:oMathPara>
        <m:oMath>
          <m:r>
            <w:rPr>
              <w:rFonts w:ascii="Cambria Math" w:hAnsi="Cambria Math"/>
              <w:lang w:val="es-ES"/>
            </w:rPr>
            <m:t>DEA=</m:t>
          </m:r>
          <m:f>
            <m:fPr>
              <m:ctrlPr>
                <w:rPr>
                  <w:rFonts w:ascii="Cambria Math" w:hAnsi="Cambria Math"/>
                  <w:i/>
                  <w:lang w:val="es-ES"/>
                </w:rPr>
              </m:ctrlPr>
            </m:fPr>
            <m:num>
              <m:r>
                <w:rPr>
                  <w:rFonts w:ascii="Cambria Math" w:hAnsi="Cambria Math"/>
                  <w:lang w:val="es-ES"/>
                </w:rPr>
                <m:t>INVATT</m:t>
              </m:r>
            </m:num>
            <m:den>
              <m:r>
                <w:rPr>
                  <w:rFonts w:ascii="Cambria Math" w:hAnsi="Cambria Math"/>
                  <w:lang w:val="es-ES"/>
                </w:rPr>
                <m:t>INVATT+IVATT</m:t>
              </m:r>
            </m:den>
          </m:f>
        </m:oMath>
      </m:oMathPara>
    </w:p>
    <w:p w14:paraId="7B23553D" w14:textId="77777777" w:rsidR="0079428C" w:rsidRPr="00B06D23" w:rsidRDefault="0079428C" w:rsidP="0079428C">
      <w:pPr>
        <w:rPr>
          <w:lang w:val="es-ES"/>
        </w:rPr>
      </w:pPr>
      <w:r w:rsidRPr="00B06D23">
        <w:rPr>
          <w:lang w:val="es-ES"/>
        </w:rPr>
        <w:t>Dónde:</w:t>
      </w:r>
    </w:p>
    <w:p w14:paraId="1589F5EE" w14:textId="77777777" w:rsidR="0079428C" w:rsidRPr="00B06D23" w:rsidRDefault="0079428C" w:rsidP="002E20CA">
      <w:pPr>
        <w:pStyle w:val="Prrafodelista"/>
        <w:numPr>
          <w:ilvl w:val="0"/>
          <w:numId w:val="36"/>
        </w:numPr>
        <w:rPr>
          <w:lang w:val="es-ES"/>
        </w:rPr>
      </w:pPr>
      <w:r w:rsidRPr="00B06D23">
        <w:rPr>
          <w:lang w:val="es-ES"/>
        </w:rPr>
        <w:t>DEA: Driver de economías de ámbito asignable al tramo.</w:t>
      </w:r>
    </w:p>
    <w:p w14:paraId="68AC6D2C" w14:textId="77777777" w:rsidR="0079428C" w:rsidRPr="00B06D23" w:rsidRDefault="0079428C" w:rsidP="002E20CA">
      <w:pPr>
        <w:pStyle w:val="Prrafodelista"/>
        <w:numPr>
          <w:ilvl w:val="0"/>
          <w:numId w:val="36"/>
        </w:numPr>
        <w:rPr>
          <w:lang w:val="es-ES"/>
        </w:rPr>
      </w:pPr>
      <w:r w:rsidRPr="00B06D23">
        <w:rPr>
          <w:lang w:val="es-ES"/>
        </w:rPr>
        <w:t>IVATT (Ingresos VATT): ingresos provenientes de actividades del sistema de transmisión nacional para el propietario del tramo</w:t>
      </w:r>
    </w:p>
    <w:p w14:paraId="39E5164A" w14:textId="77777777" w:rsidR="0079428C" w:rsidRPr="00B06D23" w:rsidRDefault="0079428C" w:rsidP="002E20CA">
      <w:pPr>
        <w:pStyle w:val="Prrafodelista"/>
        <w:numPr>
          <w:ilvl w:val="0"/>
          <w:numId w:val="36"/>
        </w:numPr>
        <w:rPr>
          <w:lang w:val="es-ES"/>
        </w:rPr>
      </w:pPr>
      <w:r w:rsidRPr="00B06D23">
        <w:rPr>
          <w:lang w:val="es-ES"/>
        </w:rPr>
        <w:t>INVATT (Ingresos NO VATT): ingresos provenientes de actividades remuneradas que no corresponden a transmisión pero que hacen uso de los recursos del sistema de transmisión del propietario del tramo.</w:t>
      </w:r>
    </w:p>
    <w:p w14:paraId="2494DE8A" w14:textId="77777777" w:rsidR="0079428C" w:rsidRPr="00B06D23" w:rsidRDefault="0079428C" w:rsidP="0079428C">
      <w:pPr>
        <w:shd w:val="clear" w:color="auto" w:fill="FFFFFF" w:themeFill="background1"/>
        <w:spacing w:after="160" w:line="256" w:lineRule="auto"/>
        <w:rPr>
          <w:lang w:val="es-ES"/>
        </w:rPr>
      </w:pPr>
      <w:r w:rsidRPr="00B06D23">
        <w:rPr>
          <w:lang w:val="es-ES"/>
        </w:rPr>
        <w:t>No obstante, el Consultor tendrá en consideración que la prestación de servicios distintintos al servicio de transmisión requiere en la empresa no sólo la utilización de recursos compartidos con las actividades de transmisión, estos susceptibles de ser descontados por economías de ámbito, sino que también de recursos adicionales específicos, los que no dan origen a dicho descuento. Consecuentemente, en la fórmula anterior el INVATT debe corresponder solamente a la parte de los ingresos de actividades no VATT que tiene como contrapartida recursos efectivamente compartidos con las actividades de transmisión.</w:t>
      </w:r>
    </w:p>
    <w:p w14:paraId="7E2A1CCF" w14:textId="77777777" w:rsidR="0079428C" w:rsidRPr="00B06D23" w:rsidRDefault="0079428C" w:rsidP="0079428C">
      <w:pPr>
        <w:shd w:val="clear" w:color="auto" w:fill="FFFFFF" w:themeFill="background1"/>
        <w:spacing w:after="160" w:line="256" w:lineRule="auto"/>
        <w:rPr>
          <w:lang w:val="es-ES"/>
        </w:rPr>
      </w:pPr>
      <w:r w:rsidRPr="00B06D23">
        <w:rPr>
          <w:lang w:val="es-ES"/>
        </w:rPr>
        <w:t xml:space="preserve">La información de IVATT e INVATT deberá será solicitada a las empresas de transmisión nacional por medio del Comité. En la misma solicitud se deberá identificar todos los ingresos de la empresa propietaria del tramo para sus operaciones en territorio Chileno, discriminado por el origen de las actividades relacionadas y no relacionadas con la industria de la transmisión. Para estas últimas se indicará la naturaleza de la actividad y los recursos que comparte con las actividades de transmisión. </w:t>
      </w:r>
    </w:p>
    <w:p w14:paraId="30A038BF" w14:textId="77777777" w:rsidR="0079428C" w:rsidRPr="00B06D23" w:rsidRDefault="0079428C" w:rsidP="002E20CA">
      <w:pPr>
        <w:pStyle w:val="Prrafodelista"/>
        <w:numPr>
          <w:ilvl w:val="0"/>
          <w:numId w:val="18"/>
        </w:numPr>
        <w:shd w:val="clear" w:color="auto" w:fill="FFFFFF" w:themeFill="background1"/>
        <w:spacing w:after="160" w:line="256" w:lineRule="auto"/>
        <w:rPr>
          <w:lang w:val="es-ES"/>
        </w:rPr>
      </w:pPr>
      <w:r w:rsidRPr="00B06D23">
        <w:rPr>
          <w:lang w:val="es-ES"/>
        </w:rPr>
        <w:t>El VLDEA para cada partida se calculará con la siguiente expresión matemática:</w:t>
      </w:r>
    </w:p>
    <w:p w14:paraId="0DADC17F" w14:textId="77777777" w:rsidR="0079428C" w:rsidRPr="00B06D23" w:rsidRDefault="0079428C" w:rsidP="0079428C">
      <w:pPr>
        <w:pStyle w:val="Prrafodelista"/>
        <w:rPr>
          <w:lang w:val="es-ES"/>
        </w:rPr>
      </w:pPr>
    </w:p>
    <w:p w14:paraId="5DE4CAE6" w14:textId="77777777" w:rsidR="0079428C" w:rsidRPr="00B06D23" w:rsidRDefault="0079428C" w:rsidP="0079428C">
      <w:pPr>
        <w:pStyle w:val="Prrafodelista"/>
        <w:rPr>
          <w:lang w:val="es-ES"/>
        </w:rPr>
      </w:pPr>
      <m:oMathPara>
        <m:oMath>
          <m:r>
            <w:rPr>
              <w:rFonts w:ascii="Cambria Math" w:hAnsi="Cambria Math"/>
              <w:lang w:val="es-ES"/>
            </w:rPr>
            <m:t>VLDEA=DEA*PCSEA</m:t>
          </m:r>
        </m:oMath>
      </m:oMathPara>
    </w:p>
    <w:p w14:paraId="2D48C860" w14:textId="77777777" w:rsidR="0079428C" w:rsidRPr="00B06D23" w:rsidRDefault="0079428C" w:rsidP="0079428C">
      <w:pPr>
        <w:shd w:val="clear" w:color="auto" w:fill="FFFFFF" w:themeFill="background1"/>
        <w:spacing w:after="160" w:line="256" w:lineRule="auto"/>
        <w:ind w:left="360"/>
        <w:rPr>
          <w:lang w:val="es-ES"/>
        </w:rPr>
      </w:pPr>
      <w:r w:rsidRPr="00B06D23">
        <w:rPr>
          <w:lang w:val="es-ES"/>
        </w:rPr>
        <w:t>Donde:</w:t>
      </w:r>
    </w:p>
    <w:p w14:paraId="5C3BD727" w14:textId="77777777" w:rsidR="0079428C" w:rsidRPr="00B06D23" w:rsidRDefault="0079428C" w:rsidP="002E20CA">
      <w:pPr>
        <w:pStyle w:val="Prrafodelista"/>
        <w:numPr>
          <w:ilvl w:val="0"/>
          <w:numId w:val="38"/>
        </w:numPr>
        <w:shd w:val="clear" w:color="auto" w:fill="FFFFFF" w:themeFill="background1"/>
        <w:spacing w:after="160" w:line="256" w:lineRule="auto"/>
        <w:rPr>
          <w:lang w:val="es-ES"/>
        </w:rPr>
      </w:pPr>
      <w:r w:rsidRPr="00B06D23">
        <w:rPr>
          <w:lang w:val="es-ES"/>
        </w:rPr>
        <w:t>VLDEA: Valor Limite de Descuento por Economías de Ambito para cada partida</w:t>
      </w:r>
    </w:p>
    <w:p w14:paraId="7EB9C98F" w14:textId="77777777" w:rsidR="0079428C" w:rsidRPr="00B06D23" w:rsidRDefault="0079428C" w:rsidP="002E20CA">
      <w:pPr>
        <w:pStyle w:val="Prrafodelista"/>
        <w:numPr>
          <w:ilvl w:val="0"/>
          <w:numId w:val="38"/>
        </w:numPr>
        <w:shd w:val="clear" w:color="auto" w:fill="FFFFFF" w:themeFill="background1"/>
        <w:spacing w:after="160" w:line="256" w:lineRule="auto"/>
        <w:rPr>
          <w:lang w:val="es-ES"/>
        </w:rPr>
      </w:pPr>
      <w:r w:rsidRPr="00B06D23">
        <w:rPr>
          <w:lang w:val="es-ES"/>
        </w:rPr>
        <w:t>PCSEA: Partida de Costos Sujeta a Economías de Ambito (C.O.M.A y/o B.M.I)</w:t>
      </w:r>
    </w:p>
    <w:p w14:paraId="38765D59" w14:textId="77777777" w:rsidR="0079428C" w:rsidRPr="00B06D23" w:rsidRDefault="0079428C" w:rsidP="0079428C">
      <w:pPr>
        <w:pStyle w:val="Prrafodelista"/>
        <w:shd w:val="clear" w:color="auto" w:fill="FFFFFF" w:themeFill="background1"/>
        <w:spacing w:after="160" w:line="256" w:lineRule="auto"/>
        <w:ind w:left="1080"/>
        <w:rPr>
          <w:lang w:val="es-ES"/>
        </w:rPr>
      </w:pPr>
    </w:p>
    <w:p w14:paraId="2FE7F67A" w14:textId="77777777" w:rsidR="0079428C" w:rsidRPr="00B06D23" w:rsidRDefault="0079428C" w:rsidP="002E20CA">
      <w:pPr>
        <w:pStyle w:val="Prrafodelista"/>
        <w:numPr>
          <w:ilvl w:val="0"/>
          <w:numId w:val="18"/>
        </w:numPr>
        <w:shd w:val="clear" w:color="auto" w:fill="FFFFFF" w:themeFill="background1"/>
        <w:spacing w:after="160" w:line="256" w:lineRule="auto"/>
        <w:rPr>
          <w:lang w:val="es-ES"/>
        </w:rPr>
      </w:pPr>
      <w:r w:rsidRPr="00B06D23">
        <w:rPr>
          <w:lang w:val="es-ES"/>
        </w:rPr>
        <w:t xml:space="preserve">El descuento total por economías de ámbito se asignará a cada tramo como un descuento en la valorización del C.O.M.A y/o B.M.I según corresponda y  el VLDEA calculado en el punto 4). </w:t>
      </w:r>
    </w:p>
    <w:p w14:paraId="70E7634F" w14:textId="77777777" w:rsidR="0079428C" w:rsidRPr="00B06D23" w:rsidRDefault="0079428C" w:rsidP="0079428C">
      <w:pPr>
        <w:shd w:val="clear" w:color="auto" w:fill="FFFFFF" w:themeFill="background1"/>
        <w:spacing w:after="160" w:line="256" w:lineRule="auto"/>
        <w:rPr>
          <w:lang w:val="es-ES"/>
        </w:rPr>
      </w:pPr>
      <w:r w:rsidRPr="00B06D23">
        <w:rPr>
          <w:lang w:val="es-ES"/>
        </w:rPr>
        <w:t xml:space="preserve"> </w:t>
      </w:r>
    </w:p>
    <w:p w14:paraId="77D9C85B" w14:textId="77777777" w:rsidR="0079428C" w:rsidRPr="00F465C5" w:rsidRDefault="0079428C" w:rsidP="0079428C">
      <w:pPr>
        <w:pStyle w:val="Ttulo3"/>
      </w:pPr>
      <w:bookmarkStart w:id="275" w:name="_Toc34398158"/>
      <w:bookmarkStart w:id="276" w:name="_Toc34687252"/>
      <w:r w:rsidRPr="00F465C5">
        <w:t>Informacion aportada por el Comité Coodinador</w:t>
      </w:r>
      <w:bookmarkEnd w:id="275"/>
      <w:bookmarkEnd w:id="276"/>
    </w:p>
    <w:p w14:paraId="78E8323B" w14:textId="77777777" w:rsidR="0079428C" w:rsidRPr="00B06D23" w:rsidRDefault="0079428C" w:rsidP="0079428C">
      <w:pPr>
        <w:rPr>
          <w:lang w:val="es-ES"/>
        </w:rPr>
      </w:pPr>
      <w:r w:rsidRPr="00B06D23">
        <w:rPr>
          <w:lang w:val="es-ES"/>
        </w:rPr>
        <w:t>A través de la gestión de la CNE se recibió la siguiente información para el C.O.M.A</w:t>
      </w:r>
    </w:p>
    <w:p w14:paraId="7EDC0647" w14:textId="77777777" w:rsidR="0079428C" w:rsidRPr="00B06D23" w:rsidRDefault="0079428C" w:rsidP="0079428C">
      <w:pPr>
        <w:rPr>
          <w:lang w:val="es-ES"/>
        </w:rPr>
      </w:pPr>
      <w:r w:rsidRPr="00B06D23">
        <w:rPr>
          <w:lang w:val="es-ES"/>
        </w:rPr>
        <w:t>Consumo EE_ subestaciones_Respuestas Of. 59-2020</w:t>
      </w:r>
    </w:p>
    <w:p w14:paraId="59E9D3F1" w14:textId="77777777" w:rsidR="0079428C" w:rsidRPr="00B06D23" w:rsidRDefault="0079428C" w:rsidP="0079428C">
      <w:pPr>
        <w:rPr>
          <w:lang w:val="es-ES"/>
        </w:rPr>
      </w:pPr>
      <w:r w:rsidRPr="00B06D23">
        <w:rPr>
          <w:lang w:val="es-ES"/>
        </w:rPr>
        <w:t xml:space="preserve">Envío N°1 Estudio Nacional – Transelec </w:t>
      </w:r>
    </w:p>
    <w:p w14:paraId="7A74B205" w14:textId="77777777" w:rsidR="0079428C" w:rsidRPr="00B06D23" w:rsidRDefault="0079428C" w:rsidP="002E20CA">
      <w:pPr>
        <w:pStyle w:val="Prrafodelista"/>
        <w:numPr>
          <w:ilvl w:val="0"/>
          <w:numId w:val="56"/>
        </w:numPr>
        <w:rPr>
          <w:lang w:val="es-ES"/>
        </w:rPr>
      </w:pPr>
      <w:r w:rsidRPr="00B06D23">
        <w:rPr>
          <w:lang w:val="es-ES"/>
        </w:rPr>
        <w:t>01 Organización de contratistas</w:t>
      </w:r>
    </w:p>
    <w:p w14:paraId="69DE521D" w14:textId="77777777" w:rsidR="0079428C" w:rsidRPr="00B06D23" w:rsidRDefault="0079428C" w:rsidP="002E20CA">
      <w:pPr>
        <w:pStyle w:val="Prrafodelista"/>
        <w:numPr>
          <w:ilvl w:val="0"/>
          <w:numId w:val="56"/>
        </w:numPr>
        <w:rPr>
          <w:lang w:val="es-ES"/>
        </w:rPr>
      </w:pPr>
      <w:r w:rsidRPr="00B06D23">
        <w:rPr>
          <w:lang w:val="es-ES"/>
        </w:rPr>
        <w:t>02 Operación local de S.E</w:t>
      </w:r>
    </w:p>
    <w:p w14:paraId="11011CBF" w14:textId="77777777" w:rsidR="0079428C" w:rsidRPr="00B06D23" w:rsidRDefault="0079428C" w:rsidP="002E20CA">
      <w:pPr>
        <w:pStyle w:val="Prrafodelista"/>
        <w:numPr>
          <w:ilvl w:val="0"/>
          <w:numId w:val="56"/>
        </w:numPr>
        <w:rPr>
          <w:lang w:val="es-ES"/>
        </w:rPr>
      </w:pPr>
      <w:r w:rsidRPr="00B06D23">
        <w:rPr>
          <w:lang w:val="es-ES"/>
        </w:rPr>
        <w:t>04 Organización del personal propio</w:t>
      </w:r>
    </w:p>
    <w:p w14:paraId="72B888AD" w14:textId="77777777" w:rsidR="0079428C" w:rsidRPr="00B06D23" w:rsidRDefault="0079428C" w:rsidP="002E20CA">
      <w:pPr>
        <w:pStyle w:val="Prrafodelista"/>
        <w:numPr>
          <w:ilvl w:val="0"/>
          <w:numId w:val="56"/>
        </w:numPr>
        <w:rPr>
          <w:lang w:val="es-ES"/>
        </w:rPr>
      </w:pPr>
      <w:r w:rsidRPr="00B06D23">
        <w:rPr>
          <w:lang w:val="es-ES"/>
        </w:rPr>
        <w:t>05 Operación y Centro de Control</w:t>
      </w:r>
    </w:p>
    <w:p w14:paraId="2C604504" w14:textId="77777777" w:rsidR="0079428C" w:rsidRPr="00B06D23" w:rsidRDefault="0079428C" w:rsidP="002E20CA">
      <w:pPr>
        <w:pStyle w:val="Prrafodelista"/>
        <w:numPr>
          <w:ilvl w:val="0"/>
          <w:numId w:val="56"/>
        </w:numPr>
        <w:rPr>
          <w:lang w:val="es-ES"/>
        </w:rPr>
      </w:pPr>
      <w:r w:rsidRPr="00B06D23">
        <w:rPr>
          <w:lang w:val="es-ES"/>
        </w:rPr>
        <w:t>06 Bodegas</w:t>
      </w:r>
    </w:p>
    <w:p w14:paraId="04448126" w14:textId="77777777" w:rsidR="0079428C" w:rsidRPr="00B06D23" w:rsidRDefault="0079428C" w:rsidP="002E20CA">
      <w:pPr>
        <w:pStyle w:val="Prrafodelista"/>
        <w:numPr>
          <w:ilvl w:val="0"/>
          <w:numId w:val="56"/>
        </w:numPr>
        <w:rPr>
          <w:lang w:val="es-ES"/>
        </w:rPr>
      </w:pPr>
      <w:r w:rsidRPr="00B06D23">
        <w:rPr>
          <w:lang w:val="es-ES"/>
        </w:rPr>
        <w:t>07 Actividades de mantenimiento de terreno de mayor impacto en OyM</w:t>
      </w:r>
    </w:p>
    <w:p w14:paraId="531B4859" w14:textId="77777777" w:rsidR="0079428C" w:rsidRPr="00B06D23" w:rsidRDefault="0079428C" w:rsidP="002E20CA">
      <w:pPr>
        <w:pStyle w:val="Prrafodelista"/>
        <w:numPr>
          <w:ilvl w:val="0"/>
          <w:numId w:val="56"/>
        </w:numPr>
        <w:rPr>
          <w:lang w:val="es-ES"/>
        </w:rPr>
      </w:pPr>
      <w:r w:rsidRPr="00B06D23">
        <w:rPr>
          <w:lang w:val="es-ES"/>
        </w:rPr>
        <w:t>08 Guardias de vigilancia</w:t>
      </w:r>
    </w:p>
    <w:p w14:paraId="58B36B5A" w14:textId="77777777" w:rsidR="0079428C" w:rsidRPr="00B06D23" w:rsidRDefault="0079428C" w:rsidP="002E20CA">
      <w:pPr>
        <w:pStyle w:val="Prrafodelista"/>
        <w:numPr>
          <w:ilvl w:val="0"/>
          <w:numId w:val="56"/>
        </w:numPr>
        <w:rPr>
          <w:lang w:val="es-ES"/>
        </w:rPr>
      </w:pPr>
      <w:r w:rsidRPr="00B06D23">
        <w:rPr>
          <w:lang w:val="es-ES"/>
        </w:rPr>
        <w:t>09 Pago de indemnizaciones</w:t>
      </w:r>
    </w:p>
    <w:p w14:paraId="762A408C" w14:textId="77777777" w:rsidR="0079428C" w:rsidRPr="00B06D23" w:rsidRDefault="0079428C" w:rsidP="002E20CA">
      <w:pPr>
        <w:pStyle w:val="Prrafodelista"/>
        <w:numPr>
          <w:ilvl w:val="0"/>
          <w:numId w:val="56"/>
        </w:numPr>
        <w:rPr>
          <w:lang w:val="es-ES"/>
        </w:rPr>
      </w:pPr>
      <w:r w:rsidRPr="00B06D23">
        <w:rPr>
          <w:lang w:val="es-ES"/>
        </w:rPr>
        <w:t>10 Costos unitarios referenciales</w:t>
      </w:r>
    </w:p>
    <w:p w14:paraId="4DFB276E" w14:textId="77777777" w:rsidR="0079428C" w:rsidRPr="00B06D23" w:rsidRDefault="0079428C" w:rsidP="002E20CA">
      <w:pPr>
        <w:pStyle w:val="Prrafodelista"/>
        <w:numPr>
          <w:ilvl w:val="0"/>
          <w:numId w:val="56"/>
        </w:numPr>
        <w:rPr>
          <w:lang w:val="es-ES"/>
        </w:rPr>
      </w:pPr>
      <w:r w:rsidRPr="00B06D23">
        <w:rPr>
          <w:lang w:val="es-ES"/>
        </w:rPr>
        <w:t>11 Pago de Energía Eléctrica SS.EE</w:t>
      </w:r>
    </w:p>
    <w:p w14:paraId="37248872" w14:textId="77777777" w:rsidR="0079428C" w:rsidRPr="00B06D23" w:rsidRDefault="0079428C" w:rsidP="002E20CA">
      <w:pPr>
        <w:pStyle w:val="Prrafodelista"/>
        <w:numPr>
          <w:ilvl w:val="0"/>
          <w:numId w:val="56"/>
        </w:numPr>
        <w:rPr>
          <w:lang w:val="es-ES"/>
        </w:rPr>
      </w:pPr>
      <w:r w:rsidRPr="00B06D23">
        <w:rPr>
          <w:lang w:val="es-ES"/>
        </w:rPr>
        <w:t>12 Pago consumo agua potable SS.EE</w:t>
      </w:r>
    </w:p>
    <w:p w14:paraId="0F933CF5" w14:textId="77777777" w:rsidR="0079428C" w:rsidRPr="00B06D23" w:rsidRDefault="0079428C" w:rsidP="002E20CA">
      <w:pPr>
        <w:pStyle w:val="Prrafodelista"/>
        <w:numPr>
          <w:ilvl w:val="0"/>
          <w:numId w:val="56"/>
        </w:numPr>
        <w:rPr>
          <w:lang w:val="es-ES"/>
        </w:rPr>
      </w:pPr>
      <w:r w:rsidRPr="00B06D23">
        <w:rPr>
          <w:lang w:val="es-ES"/>
        </w:rPr>
        <w:t>13 Pago patentes comerciales</w:t>
      </w:r>
    </w:p>
    <w:p w14:paraId="1E9637AE" w14:textId="77777777" w:rsidR="0079428C" w:rsidRPr="00B06D23" w:rsidRDefault="0079428C" w:rsidP="002E20CA">
      <w:pPr>
        <w:pStyle w:val="Prrafodelista"/>
        <w:numPr>
          <w:ilvl w:val="0"/>
          <w:numId w:val="56"/>
        </w:numPr>
        <w:rPr>
          <w:lang w:val="es-ES"/>
        </w:rPr>
      </w:pPr>
      <w:r w:rsidRPr="00B06D23">
        <w:rPr>
          <w:lang w:val="es-ES"/>
        </w:rPr>
        <w:t>14 Pago contribuciones de bienes raíces</w:t>
      </w:r>
    </w:p>
    <w:p w14:paraId="03E2DC4A" w14:textId="77777777" w:rsidR="0079428C" w:rsidRPr="00B06D23" w:rsidRDefault="0079428C" w:rsidP="002E20CA">
      <w:pPr>
        <w:pStyle w:val="Prrafodelista"/>
        <w:numPr>
          <w:ilvl w:val="0"/>
          <w:numId w:val="56"/>
        </w:numPr>
        <w:rPr>
          <w:lang w:val="es-ES"/>
        </w:rPr>
      </w:pPr>
      <w:r w:rsidRPr="00B06D23">
        <w:rPr>
          <w:lang w:val="es-ES"/>
        </w:rPr>
        <w:t>15 Otras informaciones</w:t>
      </w:r>
    </w:p>
    <w:p w14:paraId="3129C0B3" w14:textId="77777777" w:rsidR="0079428C" w:rsidRPr="00B06D23" w:rsidRDefault="0079428C" w:rsidP="002E20CA">
      <w:pPr>
        <w:pStyle w:val="Prrafodelista"/>
        <w:numPr>
          <w:ilvl w:val="0"/>
          <w:numId w:val="56"/>
        </w:numPr>
        <w:rPr>
          <w:lang w:val="es-ES"/>
        </w:rPr>
      </w:pPr>
      <w:r w:rsidRPr="00B06D23">
        <w:rPr>
          <w:lang w:val="es-ES"/>
        </w:rPr>
        <w:t>Envío N°1 Estudio Nacional - Transelec-20190917T185626Z-001</w:t>
      </w:r>
    </w:p>
    <w:p w14:paraId="29D26740" w14:textId="77777777" w:rsidR="0079428C" w:rsidRPr="00B06D23" w:rsidRDefault="0079428C" w:rsidP="0079428C">
      <w:pPr>
        <w:ind w:left="360"/>
        <w:rPr>
          <w:lang w:val="es-ES"/>
        </w:rPr>
      </w:pPr>
      <w:r w:rsidRPr="00B06D23">
        <w:rPr>
          <w:lang w:val="es-ES"/>
        </w:rPr>
        <w:t>Envío N°2 Estudio Nacional – Transelec (con indice similar y complementaciones)</w:t>
      </w:r>
    </w:p>
    <w:p w14:paraId="07CFBC06" w14:textId="77777777" w:rsidR="0079428C" w:rsidRPr="00B06D23" w:rsidRDefault="0079428C" w:rsidP="002E20CA">
      <w:pPr>
        <w:pStyle w:val="Prrafodelista"/>
        <w:numPr>
          <w:ilvl w:val="0"/>
          <w:numId w:val="57"/>
        </w:numPr>
        <w:rPr>
          <w:lang w:val="es-ES"/>
        </w:rPr>
      </w:pPr>
      <w:r w:rsidRPr="00B06D23">
        <w:rPr>
          <w:lang w:val="es-ES"/>
        </w:rPr>
        <w:t>01 Organización de contratistas de OyM</w:t>
      </w:r>
    </w:p>
    <w:p w14:paraId="476CE761" w14:textId="77777777" w:rsidR="0079428C" w:rsidRPr="00B06D23" w:rsidRDefault="0079428C" w:rsidP="002E20CA">
      <w:pPr>
        <w:pStyle w:val="Prrafodelista"/>
        <w:numPr>
          <w:ilvl w:val="0"/>
          <w:numId w:val="57"/>
        </w:numPr>
        <w:rPr>
          <w:lang w:val="es-ES"/>
        </w:rPr>
      </w:pPr>
      <w:r w:rsidRPr="00B06D23">
        <w:rPr>
          <w:lang w:val="es-ES"/>
        </w:rPr>
        <w:t>02 Operación Local de Subestaciones</w:t>
      </w:r>
    </w:p>
    <w:p w14:paraId="37F54CBB" w14:textId="77777777" w:rsidR="0079428C" w:rsidRPr="00B06D23" w:rsidRDefault="0079428C" w:rsidP="002E20CA">
      <w:pPr>
        <w:pStyle w:val="Prrafodelista"/>
        <w:numPr>
          <w:ilvl w:val="0"/>
          <w:numId w:val="57"/>
        </w:numPr>
        <w:rPr>
          <w:lang w:val="es-ES"/>
        </w:rPr>
      </w:pPr>
      <w:r w:rsidRPr="00B06D23">
        <w:rPr>
          <w:lang w:val="es-ES"/>
        </w:rPr>
        <w:t>04 Organización del personal propio</w:t>
      </w:r>
    </w:p>
    <w:p w14:paraId="588D6944" w14:textId="77777777" w:rsidR="0079428C" w:rsidRPr="00B06D23" w:rsidRDefault="0079428C" w:rsidP="002E20CA">
      <w:pPr>
        <w:pStyle w:val="Prrafodelista"/>
        <w:numPr>
          <w:ilvl w:val="0"/>
          <w:numId w:val="57"/>
        </w:numPr>
        <w:rPr>
          <w:lang w:val="es-ES"/>
        </w:rPr>
      </w:pPr>
      <w:r w:rsidRPr="00B06D23">
        <w:rPr>
          <w:lang w:val="es-ES"/>
        </w:rPr>
        <w:t>09 Pago real de indemnizaciones</w:t>
      </w:r>
    </w:p>
    <w:p w14:paraId="440C2C8C" w14:textId="77777777" w:rsidR="0079428C" w:rsidRPr="00B06D23" w:rsidRDefault="0079428C" w:rsidP="002E20CA">
      <w:pPr>
        <w:pStyle w:val="Prrafodelista"/>
        <w:numPr>
          <w:ilvl w:val="0"/>
          <w:numId w:val="57"/>
        </w:numPr>
        <w:rPr>
          <w:lang w:val="es-ES"/>
        </w:rPr>
      </w:pPr>
      <w:r w:rsidRPr="00B06D23">
        <w:rPr>
          <w:lang w:val="es-ES"/>
        </w:rPr>
        <w:t>10 Costos unitarios referenciales</w:t>
      </w:r>
    </w:p>
    <w:p w14:paraId="2215BE58" w14:textId="77777777" w:rsidR="0079428C" w:rsidRPr="00B06D23" w:rsidRDefault="0079428C" w:rsidP="002E20CA">
      <w:pPr>
        <w:pStyle w:val="Prrafodelista"/>
        <w:numPr>
          <w:ilvl w:val="0"/>
          <w:numId w:val="57"/>
        </w:numPr>
        <w:rPr>
          <w:lang w:val="es-ES"/>
        </w:rPr>
      </w:pPr>
      <w:r w:rsidRPr="00B06D23">
        <w:rPr>
          <w:lang w:val="es-ES"/>
        </w:rPr>
        <w:t>11 Pago de Energía Eléctrica SSEE</w:t>
      </w:r>
    </w:p>
    <w:p w14:paraId="3733F463" w14:textId="77777777" w:rsidR="0079428C" w:rsidRPr="00B06D23" w:rsidRDefault="0079428C" w:rsidP="002E20CA">
      <w:pPr>
        <w:pStyle w:val="Prrafodelista"/>
        <w:numPr>
          <w:ilvl w:val="0"/>
          <w:numId w:val="57"/>
        </w:numPr>
        <w:rPr>
          <w:lang w:val="es-ES"/>
        </w:rPr>
      </w:pPr>
      <w:r w:rsidRPr="00B06D23">
        <w:rPr>
          <w:lang w:val="es-ES"/>
        </w:rPr>
        <w:t>12 Pago consumo agua potable SSEE</w:t>
      </w:r>
    </w:p>
    <w:p w14:paraId="5F333934" w14:textId="77777777" w:rsidR="0079428C" w:rsidRPr="00B06D23" w:rsidRDefault="0079428C" w:rsidP="002E20CA">
      <w:pPr>
        <w:pStyle w:val="Prrafodelista"/>
        <w:numPr>
          <w:ilvl w:val="0"/>
          <w:numId w:val="57"/>
        </w:numPr>
        <w:rPr>
          <w:lang w:val="es-ES"/>
        </w:rPr>
      </w:pPr>
      <w:r w:rsidRPr="00B06D23">
        <w:rPr>
          <w:lang w:val="es-ES"/>
        </w:rPr>
        <w:t>13 Pago patentes comerciales</w:t>
      </w:r>
    </w:p>
    <w:p w14:paraId="4B26656B" w14:textId="77777777" w:rsidR="0079428C" w:rsidRPr="00B06D23" w:rsidRDefault="0079428C" w:rsidP="002E20CA">
      <w:pPr>
        <w:pStyle w:val="Prrafodelista"/>
        <w:numPr>
          <w:ilvl w:val="0"/>
          <w:numId w:val="57"/>
        </w:numPr>
        <w:rPr>
          <w:lang w:val="es-ES"/>
        </w:rPr>
      </w:pPr>
      <w:r w:rsidRPr="00B06D23">
        <w:rPr>
          <w:lang w:val="es-ES"/>
        </w:rPr>
        <w:t xml:space="preserve">14 Pago contribuciones de bienes raíces </w:t>
      </w:r>
    </w:p>
    <w:p w14:paraId="1B0D986F" w14:textId="77777777" w:rsidR="0079428C" w:rsidRPr="00B06D23" w:rsidRDefault="0079428C" w:rsidP="002E20CA">
      <w:pPr>
        <w:pStyle w:val="Prrafodelista"/>
        <w:numPr>
          <w:ilvl w:val="0"/>
          <w:numId w:val="57"/>
        </w:numPr>
        <w:rPr>
          <w:lang w:val="es-ES"/>
        </w:rPr>
      </w:pPr>
      <w:r w:rsidRPr="00B06D23">
        <w:rPr>
          <w:lang w:val="es-ES"/>
        </w:rPr>
        <w:t>20191003 Respuesta a información COMA solicitada - Transelec</w:t>
      </w:r>
    </w:p>
    <w:p w14:paraId="739D96A4" w14:textId="77777777" w:rsidR="0079428C" w:rsidRPr="00B06D23" w:rsidRDefault="0079428C" w:rsidP="0079428C">
      <w:pPr>
        <w:rPr>
          <w:lang w:val="es-ES"/>
        </w:rPr>
      </w:pPr>
      <w:r w:rsidRPr="00B06D23">
        <w:rPr>
          <w:lang w:val="es-ES"/>
        </w:rPr>
        <w:t>Envío N°3 Estudio Nacional – Transelec</w:t>
      </w:r>
    </w:p>
    <w:p w14:paraId="7FA8F3E1" w14:textId="77777777" w:rsidR="0079428C" w:rsidRPr="00B06D23" w:rsidRDefault="0079428C" w:rsidP="002E20CA">
      <w:pPr>
        <w:pStyle w:val="Prrafodelista"/>
        <w:numPr>
          <w:ilvl w:val="0"/>
          <w:numId w:val="58"/>
        </w:numPr>
        <w:rPr>
          <w:lang w:val="es-ES"/>
        </w:rPr>
      </w:pPr>
      <w:r w:rsidRPr="00B06D23">
        <w:rPr>
          <w:lang w:val="es-ES"/>
        </w:rPr>
        <w:t>02. Costos de Servicios</w:t>
      </w:r>
    </w:p>
    <w:p w14:paraId="0FA10AEF" w14:textId="77777777" w:rsidR="0079428C" w:rsidRPr="00B06D23" w:rsidRDefault="0079428C" w:rsidP="002E20CA">
      <w:pPr>
        <w:pStyle w:val="Prrafodelista"/>
        <w:numPr>
          <w:ilvl w:val="0"/>
          <w:numId w:val="58"/>
        </w:numPr>
        <w:rPr>
          <w:lang w:val="es-ES"/>
        </w:rPr>
      </w:pPr>
      <w:r w:rsidRPr="00B06D23">
        <w:rPr>
          <w:lang w:val="es-ES"/>
        </w:rPr>
        <w:t>04. ii. VP Operaciones</w:t>
      </w:r>
    </w:p>
    <w:p w14:paraId="302D209B" w14:textId="77777777" w:rsidR="0079428C" w:rsidRPr="00B06D23" w:rsidRDefault="0079428C" w:rsidP="002E20CA">
      <w:pPr>
        <w:pStyle w:val="Prrafodelista"/>
        <w:numPr>
          <w:ilvl w:val="0"/>
          <w:numId w:val="58"/>
        </w:numPr>
        <w:rPr>
          <w:lang w:val="es-ES"/>
        </w:rPr>
      </w:pPr>
      <w:r w:rsidRPr="00B06D23">
        <w:rPr>
          <w:lang w:val="es-ES"/>
        </w:rPr>
        <w:t>04. iii. Control y Telecomunicaciones</w:t>
      </w:r>
    </w:p>
    <w:p w14:paraId="4E48B379" w14:textId="77777777" w:rsidR="0079428C" w:rsidRPr="00B06D23" w:rsidRDefault="0079428C" w:rsidP="002E20CA">
      <w:pPr>
        <w:pStyle w:val="Prrafodelista"/>
        <w:numPr>
          <w:ilvl w:val="0"/>
          <w:numId w:val="58"/>
        </w:numPr>
        <w:rPr>
          <w:lang w:val="es-ES"/>
        </w:rPr>
      </w:pPr>
      <w:r w:rsidRPr="00B06D23">
        <w:rPr>
          <w:lang w:val="es-ES"/>
        </w:rPr>
        <w:t>04. iv. Actividades de Mantenimiento</w:t>
      </w:r>
    </w:p>
    <w:p w14:paraId="561A08A4" w14:textId="77777777" w:rsidR="0079428C" w:rsidRPr="00B06D23" w:rsidRDefault="0079428C" w:rsidP="002E20CA">
      <w:pPr>
        <w:pStyle w:val="Prrafodelista"/>
        <w:numPr>
          <w:ilvl w:val="0"/>
          <w:numId w:val="58"/>
        </w:numPr>
        <w:rPr>
          <w:lang w:val="es-ES"/>
        </w:rPr>
      </w:pPr>
      <w:r w:rsidRPr="00B06D23">
        <w:rPr>
          <w:lang w:val="es-ES"/>
        </w:rPr>
        <w:t>04. vi. Seguridad Física</w:t>
      </w:r>
    </w:p>
    <w:p w14:paraId="3FCA53B2" w14:textId="77777777" w:rsidR="0079428C" w:rsidRPr="00B06D23" w:rsidRDefault="0079428C" w:rsidP="002E20CA">
      <w:pPr>
        <w:pStyle w:val="Prrafodelista"/>
        <w:numPr>
          <w:ilvl w:val="0"/>
          <w:numId w:val="58"/>
        </w:numPr>
        <w:rPr>
          <w:lang w:val="es-ES"/>
        </w:rPr>
      </w:pPr>
      <w:r w:rsidRPr="00B06D23">
        <w:rPr>
          <w:lang w:val="es-ES"/>
        </w:rPr>
        <w:t>04. vii. Descripción de Cargos</w:t>
      </w:r>
    </w:p>
    <w:p w14:paraId="4FF99E84" w14:textId="77777777" w:rsidR="0079428C" w:rsidRPr="00B06D23" w:rsidRDefault="0079428C" w:rsidP="002E20CA">
      <w:pPr>
        <w:pStyle w:val="Prrafodelista"/>
        <w:numPr>
          <w:ilvl w:val="0"/>
          <w:numId w:val="58"/>
        </w:numPr>
        <w:rPr>
          <w:lang w:val="es-ES"/>
        </w:rPr>
      </w:pPr>
      <w:r w:rsidRPr="00B06D23">
        <w:rPr>
          <w:lang w:val="es-ES"/>
        </w:rPr>
        <w:t>20191117 Respuesta de aclaraciones de la información COMA que fue recibida de Transelec</w:t>
      </w:r>
    </w:p>
    <w:p w14:paraId="36431967" w14:textId="77777777" w:rsidR="0079428C" w:rsidRPr="00B06D23" w:rsidRDefault="0079428C" w:rsidP="0079428C">
      <w:pPr>
        <w:rPr>
          <w:lang w:val="es-ES"/>
        </w:rPr>
      </w:pPr>
      <w:r w:rsidRPr="00B06D23">
        <w:rPr>
          <w:lang w:val="es-ES"/>
        </w:rPr>
        <w:t>Respuesta Of. 771-2019 11-11-2019: Antofagasta Minerals, Celeo Redes, Colbun Transmisión, ETSA, Ferrovial, REDENOR, TEN, Transemel</w:t>
      </w:r>
    </w:p>
    <w:p w14:paraId="47324A07" w14:textId="77777777" w:rsidR="0079428C" w:rsidRPr="00B06D23" w:rsidRDefault="0079428C" w:rsidP="0079428C">
      <w:pPr>
        <w:rPr>
          <w:lang w:val="es-ES"/>
        </w:rPr>
      </w:pPr>
      <w:r w:rsidRPr="00B06D23">
        <w:rPr>
          <w:lang w:val="es-ES"/>
        </w:rPr>
        <w:t>Respuestas Of. 687-2019 27-09-2019: Celeo Redes, CGE, Chilquinta, Colbún, Edelnor, Enel Distribucion, ENGIE, ISA Interchile, Red Eléctrica, SAESA</w:t>
      </w:r>
    </w:p>
    <w:p w14:paraId="6F4EBE90" w14:textId="77777777" w:rsidR="0079428C" w:rsidRPr="00B06D23" w:rsidRDefault="0079428C" w:rsidP="0079428C">
      <w:pPr>
        <w:rPr>
          <w:lang w:val="es-ES"/>
        </w:rPr>
      </w:pPr>
      <w:r w:rsidRPr="00B06D23">
        <w:rPr>
          <w:lang w:val="es-ES"/>
        </w:rPr>
        <w:t>Respuestas Of. CNE N° 40-2020_contribuciones</w:t>
      </w:r>
    </w:p>
    <w:p w14:paraId="3AF19A37" w14:textId="77777777" w:rsidR="0079428C" w:rsidRPr="00B06D23" w:rsidRDefault="0079428C" w:rsidP="0079428C">
      <w:pPr>
        <w:rPr>
          <w:lang w:val="es-ES"/>
        </w:rPr>
      </w:pPr>
      <w:r w:rsidRPr="00B06D23">
        <w:rPr>
          <w:lang w:val="es-ES"/>
        </w:rPr>
        <w:t>Respuestas Of. Ord. N° 5-2020 (caracterizacion)</w:t>
      </w:r>
    </w:p>
    <w:p w14:paraId="61B60C37" w14:textId="2BC60AB1" w:rsidR="0079428C" w:rsidRDefault="0079428C" w:rsidP="0079428C">
      <w:pPr>
        <w:rPr>
          <w:lang w:val="es-ES"/>
        </w:rPr>
      </w:pPr>
      <w:r w:rsidRPr="00B06D23">
        <w:rPr>
          <w:lang w:val="es-ES"/>
        </w:rPr>
        <w:t>Aclaraciones Respuestas Of. Ord. N° 5-2020</w:t>
      </w:r>
    </w:p>
    <w:p w14:paraId="6794F639" w14:textId="58B6E550" w:rsidR="00EE1E49" w:rsidRDefault="00EE1E49" w:rsidP="0079428C">
      <w:pPr>
        <w:rPr>
          <w:lang w:val="es-ES"/>
        </w:rPr>
      </w:pPr>
    </w:p>
    <w:p w14:paraId="1FFF8AD3" w14:textId="77777777" w:rsidR="0079428C" w:rsidRPr="00F465C5" w:rsidRDefault="0079428C" w:rsidP="0079428C">
      <w:pPr>
        <w:pStyle w:val="Ttulo3"/>
      </w:pPr>
      <w:bookmarkStart w:id="277" w:name="_Toc34398159"/>
      <w:bookmarkStart w:id="278" w:name="_Toc34687253"/>
      <w:r w:rsidRPr="00F465C5">
        <w:t>Cálculo de intangibles</w:t>
      </w:r>
      <w:bookmarkEnd w:id="277"/>
      <w:bookmarkEnd w:id="278"/>
    </w:p>
    <w:p w14:paraId="297D8942" w14:textId="778419FB" w:rsidR="0079428C" w:rsidRPr="00B06D23" w:rsidRDefault="0079428C" w:rsidP="0079428C">
      <w:pPr>
        <w:jc w:val="left"/>
        <w:rPr>
          <w:lang w:val="es-ES"/>
        </w:rPr>
      </w:pPr>
      <w:r w:rsidRPr="00B06D23">
        <w:rPr>
          <w:lang w:val="es-ES"/>
        </w:rPr>
        <w:t>Para el cálculo de intangibles se presenta el desarrollo metodológico detallado en el “Anexo COMA_5_Bienes intangibles”.</w:t>
      </w:r>
    </w:p>
    <w:p w14:paraId="50078331" w14:textId="78A2FD00" w:rsidR="0079428C" w:rsidRDefault="0079428C" w:rsidP="0079428C">
      <w:pPr>
        <w:jc w:val="left"/>
        <w:rPr>
          <w:lang w:val="es-ES"/>
        </w:rPr>
      </w:pPr>
      <w:r w:rsidRPr="00B06D23">
        <w:rPr>
          <w:lang w:val="es-ES"/>
        </w:rPr>
        <w:t>El soporte del cálculo se presenta en Anexo COMA_3 Modelo/ Modelo EC&amp;ER/ Intangilbles y el soporte de datos en Anexo COMA_3 Modelo/ Datos/ Precios Insumos No Electricos/Asesorías</w:t>
      </w:r>
    </w:p>
    <w:p w14:paraId="1FD0E3F6" w14:textId="77777777" w:rsidR="00EE1E49" w:rsidRPr="00B06D23" w:rsidRDefault="00EE1E49" w:rsidP="0079428C">
      <w:pPr>
        <w:jc w:val="left"/>
        <w:rPr>
          <w:lang w:val="es-ES"/>
        </w:rPr>
      </w:pPr>
    </w:p>
    <w:p w14:paraId="526CB5A1" w14:textId="77777777" w:rsidR="00725CE1" w:rsidRDefault="00725CE1" w:rsidP="00725CE1">
      <w:pPr>
        <w:sectPr w:rsidR="00725CE1" w:rsidSect="0058209B">
          <w:headerReference w:type="default" r:id="rId15"/>
          <w:pgSz w:w="12242" w:h="15842" w:code="1"/>
          <w:pgMar w:top="1134" w:right="1134" w:bottom="1134" w:left="1418" w:header="851" w:footer="1134" w:gutter="0"/>
          <w:cols w:space="708"/>
          <w:titlePg/>
          <w:docGrid w:linePitch="360"/>
        </w:sectPr>
      </w:pPr>
    </w:p>
    <w:p w14:paraId="6ACAD013" w14:textId="77777777" w:rsidR="00EE1E49" w:rsidRDefault="00EE1E49" w:rsidP="00EE1E49">
      <w:pPr>
        <w:pStyle w:val="Ttulo2"/>
        <w:rPr>
          <w:sz w:val="24"/>
          <w:szCs w:val="24"/>
        </w:rPr>
      </w:pPr>
      <w:bookmarkStart w:id="279" w:name="_Toc34687254"/>
      <w:r>
        <w:rPr>
          <w:sz w:val="24"/>
          <w:szCs w:val="24"/>
        </w:rPr>
        <w:t xml:space="preserve">Metodología aplicada a la determinación de </w:t>
      </w:r>
      <w:r w:rsidRPr="00671BB7">
        <w:rPr>
          <w:sz w:val="24"/>
          <w:szCs w:val="24"/>
        </w:rPr>
        <w:t>Labores de Ampliación</w:t>
      </w:r>
      <w:bookmarkEnd w:id="279"/>
    </w:p>
    <w:p w14:paraId="019D5DCB" w14:textId="77777777" w:rsidR="00EE1E49" w:rsidRDefault="00EE1E49" w:rsidP="00EE1E49">
      <w:pPr>
        <w:pStyle w:val="Ttulo3"/>
      </w:pPr>
      <w:bookmarkStart w:id="280" w:name="_Toc34687255"/>
      <w:r>
        <w:t>Introducción</w:t>
      </w:r>
      <w:bookmarkEnd w:id="280"/>
    </w:p>
    <w:p w14:paraId="0D23F603" w14:textId="77777777" w:rsidR="00EE1E49" w:rsidRPr="00F43502" w:rsidRDefault="00EE1E49" w:rsidP="00EE1E49">
      <w:pPr>
        <w:pStyle w:val="Ttulo4"/>
      </w:pPr>
      <w:bookmarkStart w:id="281" w:name="_Toc34687256"/>
      <w:r w:rsidRPr="00F43502">
        <w:t>Labores de Ampliación y Bases</w:t>
      </w:r>
      <w:bookmarkEnd w:id="281"/>
    </w:p>
    <w:p w14:paraId="37A18C96" w14:textId="77777777" w:rsidR="00EE1E49" w:rsidRPr="000159DC" w:rsidRDefault="00EE1E49" w:rsidP="00EE1E49">
      <w:r w:rsidRPr="000159DC">
        <w:t xml:space="preserve">Si bien el concepto de </w:t>
      </w:r>
      <w:r w:rsidRPr="000159DC">
        <w:rPr>
          <w:i/>
          <w:iCs/>
        </w:rPr>
        <w:t>Labores de Ampliación</w:t>
      </w:r>
      <w:r w:rsidRPr="000159DC">
        <w:t xml:space="preserve"> no se encuentra definido en la normativa, se entiende referido a aquellos trabajos necesarios para el desarrollo de </w:t>
      </w:r>
      <w:r w:rsidRPr="000159DC">
        <w:rPr>
          <w:i/>
          <w:iCs/>
        </w:rPr>
        <w:t>obras de ampliación</w:t>
      </w:r>
      <w:r w:rsidRPr="000159DC">
        <w:t>, que involucran costos asociados a la inversión en estas obras, y que no quedan registrados en el inventario de componentes a valorizar (VI) en la obra ampliada resultante. Estos trabajos pueden corresponder, por ejemplo, a labores de desmontaje, faenas en instalaciones energizadas, construcción de variantes provisorias, entre otros.</w:t>
      </w:r>
    </w:p>
    <w:p w14:paraId="4B9B1E03" w14:textId="77777777" w:rsidR="00EE1E49" w:rsidRPr="000159DC" w:rsidRDefault="00EE1E49" w:rsidP="00EE1E49">
      <w:r>
        <w:t>E</w:t>
      </w:r>
      <w:r w:rsidRPr="000159DC">
        <w:t xml:space="preserve">l punto 3.4.1.1 de las Bases </w:t>
      </w:r>
      <w:r>
        <w:t xml:space="preserve">se refiere al tratamiento del tema, </w:t>
      </w:r>
      <w:r w:rsidRPr="000159DC">
        <w:t>señala</w:t>
      </w:r>
      <w:r>
        <w:t>ndo</w:t>
      </w:r>
      <w:r w:rsidRPr="000159DC">
        <w:t xml:space="preserve"> en su penúltimo párrafo:</w:t>
      </w:r>
    </w:p>
    <w:p w14:paraId="18DB2E36" w14:textId="77777777" w:rsidR="00EE1E49" w:rsidRDefault="00EE1E49" w:rsidP="00EE1E49">
      <w:pPr>
        <w:ind w:left="708"/>
      </w:pPr>
      <w:r w:rsidRPr="000159DC">
        <w:t xml:space="preserve">“Respecto de la determinación del V.I. de las instalaciones identificadas por el consultor como pertenecientes al sistema de transmisión y que fueron objeto de ampliaciones a que hace referencia el artículo 92° de la Ley, el Consultor considerará el V.I. adjudicado de la obra de ampliación. </w:t>
      </w:r>
    </w:p>
    <w:p w14:paraId="2B888E48" w14:textId="77777777" w:rsidR="00EE1E49" w:rsidRPr="000159DC" w:rsidRDefault="00EE1E49" w:rsidP="00EE1E49">
      <w:pPr>
        <w:ind w:left="708"/>
      </w:pPr>
      <w:r w:rsidRPr="000159DC">
        <w:t xml:space="preserve">Para las obras de ampliación contenidas en planes de expansión fijadas de acuerdo al régimen que la Ley N° 20.936 derogó, </w:t>
      </w:r>
      <w:r w:rsidRPr="000159DC">
        <w:rPr>
          <w:b/>
          <w:bCs/>
        </w:rPr>
        <w:t>el consultor deberá considerar, de manera separada al V.I. de las instalaciones señaladas precedentemente, un V.I. de labores de ampliación</w:t>
      </w:r>
      <w:r w:rsidRPr="000159DC">
        <w:t xml:space="preserve">, asociado a los costos propios de las ampliaciones realizadas, no considerados en el V.I. de dichas instalaciones, tales como los costos indirectos de la obra de ampliación, costos asociados a labores de desmontaje, a faenas en instalaciones energizadas, costos por construcción de variantes provisorias, etc. </w:t>
      </w:r>
      <w:r w:rsidRPr="000159DC">
        <w:rPr>
          <w:b/>
          <w:bCs/>
        </w:rPr>
        <w:t>Los recursos utilizados en estas labores deberán ser los mínimos necesarios para construir la obra de ampliación, en cumplimiento de las disposiciones de seguridad y calidad de servicio, así como del resto de la normativa vigente</w:t>
      </w:r>
      <w:r w:rsidRPr="000159DC">
        <w:t xml:space="preserve">. La valorización de las labores de ampliación deberá considerar los precios vigentes al momento de adjudicación de las obras de ampliación, actualizados por IPC a la fecha de referencia del Estudio, esto es el 31 de diciembre 2017. </w:t>
      </w:r>
      <w:r w:rsidRPr="000159DC">
        <w:rPr>
          <w:b/>
          <w:bCs/>
        </w:rPr>
        <w:t>Al V.I. de las labores de ampliación resultante, el consultor deberá descontar el monto recuperado hasta la fecha de término de vigencia del Decreto N°23 T de 2015 del Ministerio de Energía, el cual será estimado a partir de dicho V.I. y de la vida útil de las ampliaciones correspondientes</w:t>
      </w:r>
      <w:r w:rsidRPr="000159DC">
        <w:t>. El V.I. resultante (una vez descontado el monto recuperado) deberá ser anualizado, debiendo ser recuperado en los 4 años del cuatrienio tarifario a que se refiere el Estudio (2020‐2023)”.</w:t>
      </w:r>
    </w:p>
    <w:p w14:paraId="30C730A1" w14:textId="77777777" w:rsidR="00EE1E49" w:rsidRDefault="00EE1E49" w:rsidP="00EE1E49">
      <w:r w:rsidRPr="000159DC">
        <w:t xml:space="preserve">El reconocimiento de costos por efecto de </w:t>
      </w:r>
      <w:r w:rsidRPr="000159DC">
        <w:rPr>
          <w:i/>
          <w:iCs/>
        </w:rPr>
        <w:t>labores de ampliación</w:t>
      </w:r>
      <w:r w:rsidRPr="000159DC">
        <w:t>, se practicó también en el estudio de valorización que dio lugar al Decreto 23 T de 2015</w:t>
      </w:r>
      <w:r>
        <w:t>,</w:t>
      </w:r>
      <w:r w:rsidRPr="000159DC">
        <w:t xml:space="preserve"> según consta en el Artículo primero, punto 2.1 de la norma, y que establece su cuantificación en los mismos términos que las Bases correspondientes al presente estudio.</w:t>
      </w:r>
    </w:p>
    <w:p w14:paraId="64A16D79" w14:textId="77777777" w:rsidR="00EE1E49" w:rsidRPr="00F43502" w:rsidRDefault="00EE1E49" w:rsidP="00EE1E49">
      <w:pPr>
        <w:pStyle w:val="Ttulo4"/>
      </w:pPr>
      <w:bookmarkStart w:id="282" w:name="_Toc34687257"/>
      <w:r w:rsidRPr="00F43502">
        <w:t>Obras de Ampliación a Estudiar</w:t>
      </w:r>
      <w:bookmarkEnd w:id="282"/>
    </w:p>
    <w:p w14:paraId="1FF1A4C2" w14:textId="77777777" w:rsidR="00EE1E49" w:rsidRDefault="00EE1E49" w:rsidP="00EE1E49">
      <w:r>
        <w:t>El conjunto de obras de ampliación cuyo V.I. de labores de ampliación debe establecerse en la presente oportunidad, corresponde a aquél contenido en el archivo anexo al Oficio N°688, del 13 de septiembre de 2019, de la CNE, en que la Comisión solicita a las empresas transmisoras indicar, cuando correspondiera, la descripción de labores de ampliación practicadas al momento de la habilitación de las obras de ampliación que individualiza en el anexo señalado, y que corresponden a instalaciones que entraron en operación en el período 1 de enero de 2015 al 31 de diciembre de 2017.</w:t>
      </w:r>
    </w:p>
    <w:p w14:paraId="144A6C3D" w14:textId="77777777" w:rsidR="00EE1E49" w:rsidRDefault="00EE1E49" w:rsidP="00EE1E49">
      <w:r>
        <w:t>De esta forma, las obras de ampliación informadas, 34 en total, se muestran en el siguiente cuadro:</w:t>
      </w:r>
    </w:p>
    <w:p w14:paraId="062717C3" w14:textId="77777777" w:rsidR="00EE1E49" w:rsidRDefault="00EE1E49" w:rsidP="00EE1E49">
      <w:pPr>
        <w:sectPr w:rsidR="00EE1E49" w:rsidSect="00F04B20">
          <w:headerReference w:type="default" r:id="rId16"/>
          <w:pgSz w:w="12242" w:h="15842" w:code="1"/>
          <w:pgMar w:top="1134" w:right="1418" w:bottom="1134" w:left="1134" w:header="851" w:footer="1134" w:gutter="0"/>
          <w:cols w:space="708"/>
          <w:titlePg/>
          <w:docGrid w:linePitch="360"/>
        </w:sectPr>
      </w:pPr>
    </w:p>
    <w:p w14:paraId="24C73EC7" w14:textId="77777777" w:rsidR="00EE1E49" w:rsidRDefault="00EE1E49" w:rsidP="00EE1E49">
      <w:pPr>
        <w:spacing w:after="0"/>
        <w:jc w:val="center"/>
        <w:rPr>
          <w:b/>
          <w:bCs/>
        </w:rPr>
      </w:pPr>
      <w:r w:rsidRPr="00192118">
        <w:rPr>
          <w:b/>
          <w:bCs/>
        </w:rPr>
        <w:t>Obras de Ampliación a Analizar</w:t>
      </w:r>
    </w:p>
    <w:p w14:paraId="0AC00ED8" w14:textId="77777777" w:rsidR="00EE1E49" w:rsidRDefault="00EE1E49" w:rsidP="00EE1E49">
      <w:pPr>
        <w:spacing w:after="0"/>
        <w:jc w:val="center"/>
        <w:rPr>
          <w:b/>
          <w:bCs/>
        </w:rPr>
      </w:pPr>
      <w:r>
        <w:rPr>
          <w:b/>
          <w:bCs/>
        </w:rPr>
        <w:t>(Entrada en Operación: 1 de enero de 2015 a 31 de diciembre de 2017)</w:t>
      </w:r>
    </w:p>
    <w:p w14:paraId="050630F1" w14:textId="77777777" w:rsidR="00EE1E49" w:rsidRDefault="00EE1E49" w:rsidP="00EE1E49">
      <w:pPr>
        <w:spacing w:after="0"/>
        <w:jc w:val="center"/>
        <w:rPr>
          <w:b/>
          <w:bCs/>
        </w:rPr>
      </w:pPr>
    </w:p>
    <w:p w14:paraId="59903111" w14:textId="77777777" w:rsidR="00EE1E49" w:rsidRPr="00192118" w:rsidRDefault="00EE1E49" w:rsidP="00EE1E49">
      <w:pPr>
        <w:spacing w:after="0"/>
        <w:jc w:val="center"/>
        <w:rPr>
          <w:b/>
          <w:bCs/>
        </w:rPr>
      </w:pPr>
    </w:p>
    <w:tbl>
      <w:tblPr>
        <w:tblStyle w:val="Tablaconcuadrcula"/>
        <w:tblW w:w="13462" w:type="dxa"/>
        <w:jc w:val="center"/>
        <w:tblLayout w:type="fixed"/>
        <w:tblLook w:val="04A0" w:firstRow="1" w:lastRow="0" w:firstColumn="1" w:lastColumn="0" w:noHBand="0" w:noVBand="1"/>
      </w:tblPr>
      <w:tblGrid>
        <w:gridCol w:w="421"/>
        <w:gridCol w:w="10824"/>
        <w:gridCol w:w="1063"/>
        <w:gridCol w:w="1154"/>
      </w:tblGrid>
      <w:tr w:rsidR="00EE1E49" w:rsidRPr="00E079C1" w14:paraId="7455A18F" w14:textId="77777777" w:rsidTr="00535FE1">
        <w:trPr>
          <w:trHeight w:hRule="exact" w:val="648"/>
          <w:jc w:val="center"/>
        </w:trPr>
        <w:tc>
          <w:tcPr>
            <w:tcW w:w="421" w:type="dxa"/>
            <w:shd w:val="solid" w:color="BFBFBF" w:themeColor="background1" w:themeShade="BF" w:fill="auto"/>
          </w:tcPr>
          <w:p w14:paraId="0BB736C4" w14:textId="77777777" w:rsidR="00EE1E49" w:rsidRPr="00E079C1" w:rsidRDefault="00EE1E49" w:rsidP="00535FE1">
            <w:pPr>
              <w:jc w:val="center"/>
              <w:rPr>
                <w:rFonts w:asciiTheme="minorHAnsi" w:hAnsiTheme="minorHAnsi" w:cstheme="minorHAnsi"/>
                <w:b/>
                <w:bCs/>
                <w:sz w:val="18"/>
                <w:szCs w:val="18"/>
              </w:rPr>
            </w:pPr>
            <w:r w:rsidRPr="00E079C1">
              <w:rPr>
                <w:rFonts w:asciiTheme="minorHAnsi" w:hAnsiTheme="minorHAnsi" w:cstheme="minorHAnsi"/>
                <w:b/>
                <w:bCs/>
                <w:sz w:val="18"/>
                <w:szCs w:val="18"/>
              </w:rPr>
              <w:t>N°</w:t>
            </w:r>
          </w:p>
        </w:tc>
        <w:tc>
          <w:tcPr>
            <w:tcW w:w="10824" w:type="dxa"/>
            <w:shd w:val="solid" w:color="BFBFBF" w:themeColor="background1" w:themeShade="BF" w:fill="auto"/>
          </w:tcPr>
          <w:p w14:paraId="0EBCABA9" w14:textId="77777777" w:rsidR="00EE1E49" w:rsidRPr="00E079C1" w:rsidRDefault="00EE1E49" w:rsidP="00535FE1">
            <w:pPr>
              <w:jc w:val="center"/>
              <w:rPr>
                <w:rFonts w:asciiTheme="minorHAnsi" w:hAnsiTheme="minorHAnsi" w:cstheme="minorHAnsi"/>
                <w:b/>
                <w:bCs/>
                <w:sz w:val="20"/>
                <w:szCs w:val="20"/>
              </w:rPr>
            </w:pPr>
            <w:r w:rsidRPr="00E079C1">
              <w:rPr>
                <w:rFonts w:asciiTheme="minorHAnsi" w:hAnsiTheme="minorHAnsi" w:cstheme="minorHAnsi"/>
                <w:b/>
                <w:bCs/>
                <w:sz w:val="20"/>
                <w:szCs w:val="20"/>
              </w:rPr>
              <w:t>Obra de Ampliación</w:t>
            </w:r>
          </w:p>
        </w:tc>
        <w:tc>
          <w:tcPr>
            <w:tcW w:w="1063" w:type="dxa"/>
            <w:shd w:val="solid" w:color="BFBFBF" w:themeColor="background1" w:themeShade="BF" w:fill="auto"/>
          </w:tcPr>
          <w:p w14:paraId="77123D8B" w14:textId="77777777" w:rsidR="00EE1E49" w:rsidRPr="00E079C1" w:rsidRDefault="00EE1E49" w:rsidP="00535FE1">
            <w:pPr>
              <w:jc w:val="center"/>
              <w:rPr>
                <w:rFonts w:asciiTheme="minorHAnsi" w:hAnsiTheme="minorHAnsi" w:cstheme="minorHAnsi"/>
                <w:b/>
                <w:bCs/>
                <w:sz w:val="20"/>
                <w:szCs w:val="20"/>
              </w:rPr>
            </w:pPr>
            <w:r w:rsidRPr="00E079C1">
              <w:rPr>
                <w:rFonts w:asciiTheme="minorHAnsi" w:hAnsiTheme="minorHAnsi" w:cstheme="minorHAnsi"/>
                <w:b/>
                <w:bCs/>
                <w:sz w:val="20"/>
                <w:szCs w:val="20"/>
              </w:rPr>
              <w:t>Decreto Expansión</w:t>
            </w:r>
          </w:p>
        </w:tc>
        <w:tc>
          <w:tcPr>
            <w:tcW w:w="1154" w:type="dxa"/>
            <w:shd w:val="solid" w:color="BFBFBF" w:themeColor="background1" w:themeShade="BF" w:fill="auto"/>
          </w:tcPr>
          <w:p w14:paraId="11D004D2" w14:textId="77777777" w:rsidR="00EE1E49" w:rsidRPr="00E079C1" w:rsidRDefault="00EE1E49" w:rsidP="00535FE1">
            <w:pPr>
              <w:jc w:val="center"/>
              <w:rPr>
                <w:rFonts w:asciiTheme="minorHAnsi" w:hAnsiTheme="minorHAnsi" w:cstheme="minorHAnsi"/>
                <w:b/>
                <w:bCs/>
                <w:sz w:val="20"/>
                <w:szCs w:val="20"/>
              </w:rPr>
            </w:pPr>
            <w:r w:rsidRPr="00E079C1">
              <w:rPr>
                <w:rFonts w:asciiTheme="minorHAnsi" w:hAnsiTheme="minorHAnsi" w:cstheme="minorHAnsi"/>
                <w:b/>
                <w:bCs/>
                <w:sz w:val="20"/>
                <w:szCs w:val="20"/>
              </w:rPr>
              <w:t>Propietario</w:t>
            </w:r>
          </w:p>
        </w:tc>
      </w:tr>
      <w:tr w:rsidR="00EE1E49" w:rsidRPr="00E079C1" w14:paraId="1D5BB39F" w14:textId="77777777" w:rsidTr="00535FE1">
        <w:trPr>
          <w:trHeight w:hRule="exact" w:val="284"/>
          <w:jc w:val="center"/>
        </w:trPr>
        <w:tc>
          <w:tcPr>
            <w:tcW w:w="421" w:type="dxa"/>
            <w:vAlign w:val="bottom"/>
          </w:tcPr>
          <w:p w14:paraId="1423F0C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w:t>
            </w:r>
          </w:p>
        </w:tc>
        <w:tc>
          <w:tcPr>
            <w:tcW w:w="10824" w:type="dxa"/>
            <w:vAlign w:val="bottom"/>
          </w:tcPr>
          <w:p w14:paraId="41D89F4A"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Tendido Segundo Circuito Línea 2x220 kV Encuentro - Lagunas</w:t>
            </w:r>
          </w:p>
        </w:tc>
        <w:tc>
          <w:tcPr>
            <w:tcW w:w="1063" w:type="dxa"/>
            <w:vAlign w:val="bottom"/>
          </w:tcPr>
          <w:p w14:paraId="2E63BF0A"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43A49E5A"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Interchile</w:t>
            </w:r>
          </w:p>
        </w:tc>
      </w:tr>
      <w:tr w:rsidR="00EE1E49" w:rsidRPr="00E079C1" w14:paraId="305301F9" w14:textId="77777777" w:rsidTr="00535FE1">
        <w:trPr>
          <w:trHeight w:hRule="exact" w:val="284"/>
          <w:jc w:val="center"/>
        </w:trPr>
        <w:tc>
          <w:tcPr>
            <w:tcW w:w="421" w:type="dxa"/>
            <w:vAlign w:val="bottom"/>
          </w:tcPr>
          <w:p w14:paraId="620694D4"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w:t>
            </w:r>
          </w:p>
        </w:tc>
        <w:tc>
          <w:tcPr>
            <w:tcW w:w="10824" w:type="dxa"/>
            <w:vAlign w:val="bottom"/>
          </w:tcPr>
          <w:p w14:paraId="31888074"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tendido segundo circuito línea 2x220 kV Cardones – Diego de Almagro, con secc. En S/E Carrera Pinto</w:t>
            </w:r>
          </w:p>
        </w:tc>
        <w:tc>
          <w:tcPr>
            <w:tcW w:w="1063" w:type="dxa"/>
            <w:vAlign w:val="bottom"/>
          </w:tcPr>
          <w:p w14:paraId="5CB4AA25"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19F03CA3"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Eletrans</w:t>
            </w:r>
          </w:p>
        </w:tc>
      </w:tr>
      <w:tr w:rsidR="00EE1E49" w:rsidRPr="00E079C1" w14:paraId="10F9B431" w14:textId="77777777" w:rsidTr="00535FE1">
        <w:trPr>
          <w:trHeight w:hRule="exact" w:val="284"/>
          <w:jc w:val="center"/>
        </w:trPr>
        <w:tc>
          <w:tcPr>
            <w:tcW w:w="421" w:type="dxa"/>
            <w:vAlign w:val="bottom"/>
          </w:tcPr>
          <w:p w14:paraId="7B7F6F3E"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3</w:t>
            </w:r>
          </w:p>
        </w:tc>
        <w:tc>
          <w:tcPr>
            <w:tcW w:w="10824" w:type="dxa"/>
            <w:vAlign w:val="bottom"/>
          </w:tcPr>
          <w:p w14:paraId="62DB89CB"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Tendido segundo circuito línea 2x220 kV Ciruelos - Pichirropulli</w:t>
            </w:r>
          </w:p>
        </w:tc>
        <w:tc>
          <w:tcPr>
            <w:tcW w:w="1063" w:type="dxa"/>
            <w:vAlign w:val="bottom"/>
          </w:tcPr>
          <w:p w14:paraId="1B421CB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52548EDE"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Eletrans</w:t>
            </w:r>
          </w:p>
        </w:tc>
      </w:tr>
      <w:tr w:rsidR="00EE1E49" w:rsidRPr="00E079C1" w14:paraId="3D70CD1A" w14:textId="77777777" w:rsidTr="00535FE1">
        <w:trPr>
          <w:trHeight w:hRule="exact" w:val="284"/>
          <w:jc w:val="center"/>
        </w:trPr>
        <w:tc>
          <w:tcPr>
            <w:tcW w:w="421" w:type="dxa"/>
            <w:vAlign w:val="bottom"/>
          </w:tcPr>
          <w:p w14:paraId="56827199"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4</w:t>
            </w:r>
          </w:p>
        </w:tc>
        <w:tc>
          <w:tcPr>
            <w:tcW w:w="10824" w:type="dxa"/>
            <w:vAlign w:val="bottom"/>
          </w:tcPr>
          <w:p w14:paraId="654CE474"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San Andrés 220 kV</w:t>
            </w:r>
          </w:p>
        </w:tc>
        <w:tc>
          <w:tcPr>
            <w:tcW w:w="1063" w:type="dxa"/>
            <w:vAlign w:val="bottom"/>
          </w:tcPr>
          <w:p w14:paraId="51E5293B"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D158-15</w:t>
            </w:r>
          </w:p>
        </w:tc>
        <w:tc>
          <w:tcPr>
            <w:tcW w:w="1154" w:type="dxa"/>
            <w:vAlign w:val="bottom"/>
          </w:tcPr>
          <w:p w14:paraId="5F6B9645"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SATT</w:t>
            </w:r>
          </w:p>
        </w:tc>
      </w:tr>
      <w:tr w:rsidR="00EE1E49" w:rsidRPr="00E079C1" w14:paraId="41CB9515" w14:textId="77777777" w:rsidTr="00535FE1">
        <w:trPr>
          <w:trHeight w:hRule="exact" w:val="284"/>
          <w:jc w:val="center"/>
        </w:trPr>
        <w:tc>
          <w:tcPr>
            <w:tcW w:w="421" w:type="dxa"/>
            <w:vAlign w:val="bottom"/>
          </w:tcPr>
          <w:p w14:paraId="2B7937D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5</w:t>
            </w:r>
          </w:p>
        </w:tc>
        <w:tc>
          <w:tcPr>
            <w:tcW w:w="10824" w:type="dxa"/>
            <w:vAlign w:val="bottom"/>
          </w:tcPr>
          <w:p w14:paraId="645FDAF7"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Barra seccionadora en Subestación Tarapacá 220 kV</w:t>
            </w:r>
          </w:p>
        </w:tc>
        <w:tc>
          <w:tcPr>
            <w:tcW w:w="1063" w:type="dxa"/>
            <w:vAlign w:val="bottom"/>
          </w:tcPr>
          <w:p w14:paraId="4C6027D9"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D082-12</w:t>
            </w:r>
          </w:p>
        </w:tc>
        <w:tc>
          <w:tcPr>
            <w:tcW w:w="1154" w:type="dxa"/>
            <w:vAlign w:val="bottom"/>
          </w:tcPr>
          <w:p w14:paraId="1FE57BD0"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6D7C1D35" w14:textId="77777777" w:rsidTr="00535FE1">
        <w:trPr>
          <w:trHeight w:hRule="exact" w:val="284"/>
          <w:jc w:val="center"/>
        </w:trPr>
        <w:tc>
          <w:tcPr>
            <w:tcW w:w="421" w:type="dxa"/>
            <w:vAlign w:val="bottom"/>
          </w:tcPr>
          <w:p w14:paraId="3A231B2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6</w:t>
            </w:r>
          </w:p>
        </w:tc>
        <w:tc>
          <w:tcPr>
            <w:tcW w:w="10824" w:type="dxa"/>
            <w:vAlign w:val="bottom"/>
          </w:tcPr>
          <w:p w14:paraId="6FD55672"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Seccionadora Nueva Encuentro 220 kV</w:t>
            </w:r>
          </w:p>
        </w:tc>
        <w:tc>
          <w:tcPr>
            <w:tcW w:w="1063" w:type="dxa"/>
            <w:vAlign w:val="bottom"/>
          </w:tcPr>
          <w:p w14:paraId="666244DA"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62F85FB2"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6B348A06" w14:textId="77777777" w:rsidTr="00535FE1">
        <w:trPr>
          <w:trHeight w:hRule="exact" w:val="284"/>
          <w:jc w:val="center"/>
        </w:trPr>
        <w:tc>
          <w:tcPr>
            <w:tcW w:w="421" w:type="dxa"/>
            <w:vAlign w:val="bottom"/>
          </w:tcPr>
          <w:p w14:paraId="4D79698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7</w:t>
            </w:r>
          </w:p>
        </w:tc>
        <w:tc>
          <w:tcPr>
            <w:tcW w:w="10824" w:type="dxa"/>
            <w:vAlign w:val="bottom"/>
          </w:tcPr>
          <w:p w14:paraId="45D2097A"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cambio interruptor paño acoplador 52JR S/E Alto Jahuel</w:t>
            </w:r>
          </w:p>
        </w:tc>
        <w:tc>
          <w:tcPr>
            <w:tcW w:w="1063" w:type="dxa"/>
            <w:vAlign w:val="bottom"/>
          </w:tcPr>
          <w:p w14:paraId="25C27852"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308EA3F4"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3E8A4A5D" w14:textId="77777777" w:rsidTr="00535FE1">
        <w:trPr>
          <w:trHeight w:hRule="exact" w:val="284"/>
          <w:jc w:val="center"/>
        </w:trPr>
        <w:tc>
          <w:tcPr>
            <w:tcW w:w="421" w:type="dxa"/>
            <w:vAlign w:val="bottom"/>
          </w:tcPr>
          <w:p w14:paraId="59A005D5"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8</w:t>
            </w:r>
          </w:p>
        </w:tc>
        <w:tc>
          <w:tcPr>
            <w:tcW w:w="10824" w:type="dxa"/>
            <w:vAlign w:val="bottom"/>
          </w:tcPr>
          <w:p w14:paraId="6B0CADBE"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Cardones 220 kV (Dex-310-2013)</w:t>
            </w:r>
          </w:p>
        </w:tc>
        <w:tc>
          <w:tcPr>
            <w:tcW w:w="1063" w:type="dxa"/>
            <w:vAlign w:val="bottom"/>
          </w:tcPr>
          <w:p w14:paraId="60724B6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1BC3B883"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431E5A50" w14:textId="77777777" w:rsidTr="00535FE1">
        <w:trPr>
          <w:trHeight w:hRule="exact" w:val="284"/>
          <w:jc w:val="center"/>
        </w:trPr>
        <w:tc>
          <w:tcPr>
            <w:tcW w:w="421" w:type="dxa"/>
            <w:vAlign w:val="bottom"/>
          </w:tcPr>
          <w:p w14:paraId="5A53A44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9</w:t>
            </w:r>
          </w:p>
        </w:tc>
        <w:tc>
          <w:tcPr>
            <w:tcW w:w="10824" w:type="dxa"/>
            <w:vAlign w:val="bottom"/>
          </w:tcPr>
          <w:p w14:paraId="55D23778"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Cerro Navia 220 kV (Dex-310-2013)</w:t>
            </w:r>
          </w:p>
        </w:tc>
        <w:tc>
          <w:tcPr>
            <w:tcW w:w="1063" w:type="dxa"/>
            <w:vAlign w:val="bottom"/>
          </w:tcPr>
          <w:p w14:paraId="7CA6E43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298DE1DB"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73AECAE9" w14:textId="77777777" w:rsidTr="00535FE1">
        <w:trPr>
          <w:trHeight w:hRule="exact" w:val="284"/>
          <w:jc w:val="center"/>
        </w:trPr>
        <w:tc>
          <w:tcPr>
            <w:tcW w:w="421" w:type="dxa"/>
            <w:vAlign w:val="bottom"/>
          </w:tcPr>
          <w:p w14:paraId="7E7B7B09"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10</w:t>
            </w:r>
          </w:p>
        </w:tc>
        <w:tc>
          <w:tcPr>
            <w:tcW w:w="10824" w:type="dxa"/>
            <w:vAlign w:val="bottom"/>
          </w:tcPr>
          <w:p w14:paraId="622C0F83"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Charrúa 500 kV y cambio interruptor paños acopladores 52JR1, 52JR2, 52JR3</w:t>
            </w:r>
          </w:p>
        </w:tc>
        <w:tc>
          <w:tcPr>
            <w:tcW w:w="1063" w:type="dxa"/>
            <w:vAlign w:val="bottom"/>
          </w:tcPr>
          <w:p w14:paraId="4F5C0F8C"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19CD4A79"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2FB7DED9" w14:textId="77777777" w:rsidTr="00535FE1">
        <w:trPr>
          <w:trHeight w:hRule="exact" w:val="284"/>
          <w:jc w:val="center"/>
        </w:trPr>
        <w:tc>
          <w:tcPr>
            <w:tcW w:w="421" w:type="dxa"/>
            <w:vAlign w:val="bottom"/>
          </w:tcPr>
          <w:p w14:paraId="13AB4D60"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11</w:t>
            </w:r>
          </w:p>
        </w:tc>
        <w:tc>
          <w:tcPr>
            <w:tcW w:w="10824" w:type="dxa"/>
            <w:vAlign w:val="bottom"/>
          </w:tcPr>
          <w:p w14:paraId="2DC411C0"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Ciruelos 220 kV (Dex-310-2013)</w:t>
            </w:r>
          </w:p>
        </w:tc>
        <w:tc>
          <w:tcPr>
            <w:tcW w:w="1063" w:type="dxa"/>
            <w:vAlign w:val="bottom"/>
          </w:tcPr>
          <w:p w14:paraId="55E9BD3A"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030D490B"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5FB743CE" w14:textId="77777777" w:rsidTr="00535FE1">
        <w:trPr>
          <w:trHeight w:hRule="exact" w:val="284"/>
          <w:jc w:val="center"/>
        </w:trPr>
        <w:tc>
          <w:tcPr>
            <w:tcW w:w="421" w:type="dxa"/>
            <w:vAlign w:val="bottom"/>
          </w:tcPr>
          <w:p w14:paraId="3BECF8FC"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12</w:t>
            </w:r>
          </w:p>
        </w:tc>
        <w:tc>
          <w:tcPr>
            <w:tcW w:w="10824" w:type="dxa"/>
            <w:vAlign w:val="bottom"/>
          </w:tcPr>
          <w:p w14:paraId="0D18B756"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Diego de Almagro 220 kV (Dex-310-2013)</w:t>
            </w:r>
          </w:p>
        </w:tc>
        <w:tc>
          <w:tcPr>
            <w:tcW w:w="1063" w:type="dxa"/>
            <w:vAlign w:val="bottom"/>
          </w:tcPr>
          <w:p w14:paraId="083E2547"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5328CFC3"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97AB66F" w14:textId="77777777" w:rsidTr="00535FE1">
        <w:trPr>
          <w:trHeight w:hRule="exact" w:val="284"/>
          <w:jc w:val="center"/>
        </w:trPr>
        <w:tc>
          <w:tcPr>
            <w:tcW w:w="421" w:type="dxa"/>
            <w:vAlign w:val="bottom"/>
          </w:tcPr>
          <w:p w14:paraId="14B1191E"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13</w:t>
            </w:r>
          </w:p>
        </w:tc>
        <w:tc>
          <w:tcPr>
            <w:tcW w:w="10824" w:type="dxa"/>
            <w:vAlign w:val="bottom"/>
          </w:tcPr>
          <w:p w14:paraId="691D6139"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Encuentro 220 kV, aumento de capacidad de línea 2x220 Crucero-Encuentro y cambio TTCC y trampa de onda paño J5 S/E Crucero</w:t>
            </w:r>
          </w:p>
        </w:tc>
        <w:tc>
          <w:tcPr>
            <w:tcW w:w="1063" w:type="dxa"/>
            <w:vAlign w:val="bottom"/>
          </w:tcPr>
          <w:p w14:paraId="2727B2EE"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39082B87"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33F580E" w14:textId="77777777" w:rsidTr="00535FE1">
        <w:trPr>
          <w:trHeight w:hRule="exact" w:val="284"/>
          <w:jc w:val="center"/>
        </w:trPr>
        <w:tc>
          <w:tcPr>
            <w:tcW w:w="421" w:type="dxa"/>
            <w:vAlign w:val="bottom"/>
          </w:tcPr>
          <w:p w14:paraId="43B57260"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14</w:t>
            </w:r>
          </w:p>
        </w:tc>
        <w:tc>
          <w:tcPr>
            <w:tcW w:w="10824" w:type="dxa"/>
            <w:vAlign w:val="bottom"/>
          </w:tcPr>
          <w:p w14:paraId="22F1B39B"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Lagunas 220 kV, Banco de condensadores de 60 MVAr y cambio TTCC paños J1 y J2</w:t>
            </w:r>
          </w:p>
        </w:tc>
        <w:tc>
          <w:tcPr>
            <w:tcW w:w="1063" w:type="dxa"/>
            <w:vAlign w:val="bottom"/>
          </w:tcPr>
          <w:p w14:paraId="2D83F5E9"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3A7DB2C1"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829672E" w14:textId="77777777" w:rsidTr="00535FE1">
        <w:trPr>
          <w:trHeight w:hRule="exact" w:val="284"/>
          <w:jc w:val="center"/>
        </w:trPr>
        <w:tc>
          <w:tcPr>
            <w:tcW w:w="421" w:type="dxa"/>
            <w:vAlign w:val="bottom"/>
          </w:tcPr>
          <w:p w14:paraId="3021BE92"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15</w:t>
            </w:r>
          </w:p>
        </w:tc>
        <w:tc>
          <w:tcPr>
            <w:tcW w:w="10824" w:type="dxa"/>
            <w:vAlign w:val="bottom"/>
          </w:tcPr>
          <w:p w14:paraId="1998A456"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Las Palmas 220 kV (Dex-310-2013)</w:t>
            </w:r>
          </w:p>
        </w:tc>
        <w:tc>
          <w:tcPr>
            <w:tcW w:w="1063" w:type="dxa"/>
            <w:vAlign w:val="bottom"/>
          </w:tcPr>
          <w:p w14:paraId="0FE531B1"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66AFFA7C"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789D487F" w14:textId="77777777" w:rsidTr="00535FE1">
        <w:trPr>
          <w:trHeight w:hRule="exact" w:val="284"/>
          <w:jc w:val="center"/>
        </w:trPr>
        <w:tc>
          <w:tcPr>
            <w:tcW w:w="421" w:type="dxa"/>
            <w:vAlign w:val="bottom"/>
          </w:tcPr>
          <w:p w14:paraId="3767F40D"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16</w:t>
            </w:r>
          </w:p>
        </w:tc>
        <w:tc>
          <w:tcPr>
            <w:tcW w:w="10824" w:type="dxa"/>
            <w:vAlign w:val="bottom"/>
          </w:tcPr>
          <w:p w14:paraId="2A0A743C"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Maitencillo 220 kV (Dex-310-2013)</w:t>
            </w:r>
          </w:p>
        </w:tc>
        <w:tc>
          <w:tcPr>
            <w:tcW w:w="1063" w:type="dxa"/>
            <w:vAlign w:val="bottom"/>
          </w:tcPr>
          <w:p w14:paraId="6E19EFA5"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740B8293"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426B878" w14:textId="77777777" w:rsidTr="00535FE1">
        <w:trPr>
          <w:trHeight w:hRule="exact" w:val="284"/>
          <w:jc w:val="center"/>
        </w:trPr>
        <w:tc>
          <w:tcPr>
            <w:tcW w:w="421" w:type="dxa"/>
            <w:vAlign w:val="bottom"/>
          </w:tcPr>
          <w:p w14:paraId="44F31D2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17</w:t>
            </w:r>
          </w:p>
        </w:tc>
        <w:tc>
          <w:tcPr>
            <w:tcW w:w="10824" w:type="dxa"/>
            <w:vAlign w:val="bottom"/>
          </w:tcPr>
          <w:p w14:paraId="3DB26C76"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Polpaico 500 kV y Cambio interruptor paño acoplador 52JR (Dex-310-2013)</w:t>
            </w:r>
          </w:p>
        </w:tc>
        <w:tc>
          <w:tcPr>
            <w:tcW w:w="1063" w:type="dxa"/>
            <w:vAlign w:val="bottom"/>
          </w:tcPr>
          <w:p w14:paraId="00F7B80C"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3A5C5B48"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243EBAC8" w14:textId="77777777" w:rsidTr="00535FE1">
        <w:trPr>
          <w:trHeight w:hRule="exact" w:val="284"/>
          <w:jc w:val="center"/>
        </w:trPr>
        <w:tc>
          <w:tcPr>
            <w:tcW w:w="421" w:type="dxa"/>
            <w:vAlign w:val="bottom"/>
          </w:tcPr>
          <w:p w14:paraId="5C7F9455"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18</w:t>
            </w:r>
          </w:p>
        </w:tc>
        <w:tc>
          <w:tcPr>
            <w:tcW w:w="10824" w:type="dxa"/>
            <w:vAlign w:val="bottom"/>
          </w:tcPr>
          <w:p w14:paraId="256A5852"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Rapel 220 kV e Instalación paño 52JS (Dex-310-2013)</w:t>
            </w:r>
          </w:p>
        </w:tc>
        <w:tc>
          <w:tcPr>
            <w:tcW w:w="1063" w:type="dxa"/>
            <w:vAlign w:val="bottom"/>
          </w:tcPr>
          <w:p w14:paraId="7BCB1AA7"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39CA62D8"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413A9B85" w14:textId="77777777" w:rsidTr="00535FE1">
        <w:trPr>
          <w:trHeight w:hRule="exact" w:val="284"/>
          <w:jc w:val="center"/>
        </w:trPr>
        <w:tc>
          <w:tcPr>
            <w:tcW w:w="421" w:type="dxa"/>
            <w:vAlign w:val="bottom"/>
          </w:tcPr>
          <w:p w14:paraId="15905AFB"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19</w:t>
            </w:r>
          </w:p>
        </w:tc>
        <w:tc>
          <w:tcPr>
            <w:tcW w:w="10824" w:type="dxa"/>
            <w:vAlign w:val="bottom"/>
          </w:tcPr>
          <w:p w14:paraId="5DFF1E3B"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reemplazo de desconectadores en S/E Quillota y S/E Polpaico</w:t>
            </w:r>
          </w:p>
        </w:tc>
        <w:tc>
          <w:tcPr>
            <w:tcW w:w="1063" w:type="dxa"/>
            <w:vAlign w:val="bottom"/>
          </w:tcPr>
          <w:p w14:paraId="1F37AF7A"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D082-12</w:t>
            </w:r>
          </w:p>
        </w:tc>
        <w:tc>
          <w:tcPr>
            <w:tcW w:w="1154" w:type="dxa"/>
            <w:vAlign w:val="bottom"/>
          </w:tcPr>
          <w:p w14:paraId="3653A055"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20B2EA44" w14:textId="77777777" w:rsidTr="00535FE1">
        <w:trPr>
          <w:trHeight w:hRule="exact" w:val="284"/>
          <w:jc w:val="center"/>
        </w:trPr>
        <w:tc>
          <w:tcPr>
            <w:tcW w:w="421" w:type="dxa"/>
            <w:vAlign w:val="bottom"/>
          </w:tcPr>
          <w:p w14:paraId="006D1177"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20</w:t>
            </w:r>
          </w:p>
        </w:tc>
        <w:tc>
          <w:tcPr>
            <w:tcW w:w="10824" w:type="dxa"/>
            <w:vAlign w:val="bottom"/>
          </w:tcPr>
          <w:p w14:paraId="7343B507"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Ancoa 500 kV (Dex-310-2013)</w:t>
            </w:r>
          </w:p>
        </w:tc>
        <w:tc>
          <w:tcPr>
            <w:tcW w:w="1063" w:type="dxa"/>
            <w:vAlign w:val="bottom"/>
          </w:tcPr>
          <w:p w14:paraId="0784D39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0DB62B97"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4E2A0704" w14:textId="77777777" w:rsidTr="00535FE1">
        <w:trPr>
          <w:trHeight w:hRule="exact" w:val="284"/>
          <w:jc w:val="center"/>
        </w:trPr>
        <w:tc>
          <w:tcPr>
            <w:tcW w:w="421" w:type="dxa"/>
            <w:vAlign w:val="bottom"/>
          </w:tcPr>
          <w:p w14:paraId="0AD20534"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21</w:t>
            </w:r>
          </w:p>
        </w:tc>
        <w:tc>
          <w:tcPr>
            <w:tcW w:w="10824" w:type="dxa"/>
            <w:vAlign w:val="bottom"/>
          </w:tcPr>
          <w:p w14:paraId="361E4ED8"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aumento de capacidad de línea Maitencillo – Cardones 1x220 kV</w:t>
            </w:r>
          </w:p>
        </w:tc>
        <w:tc>
          <w:tcPr>
            <w:tcW w:w="1063" w:type="dxa"/>
            <w:vAlign w:val="bottom"/>
          </w:tcPr>
          <w:p w14:paraId="43C37BBA"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3D6E5E72"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5935B5F5" w14:textId="77777777" w:rsidTr="00535FE1">
        <w:trPr>
          <w:trHeight w:hRule="exact" w:val="284"/>
          <w:jc w:val="center"/>
        </w:trPr>
        <w:tc>
          <w:tcPr>
            <w:tcW w:w="421" w:type="dxa"/>
            <w:vAlign w:val="bottom"/>
          </w:tcPr>
          <w:p w14:paraId="3D5C08DC"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22</w:t>
            </w:r>
          </w:p>
        </w:tc>
        <w:tc>
          <w:tcPr>
            <w:tcW w:w="10824" w:type="dxa"/>
            <w:vAlign w:val="bottom"/>
          </w:tcPr>
          <w:p w14:paraId="0ECCA2B0"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seccionamiento barra 500 kV subestación Alto Jahuel</w:t>
            </w:r>
          </w:p>
        </w:tc>
        <w:tc>
          <w:tcPr>
            <w:tcW w:w="1063" w:type="dxa"/>
            <w:vAlign w:val="bottom"/>
          </w:tcPr>
          <w:p w14:paraId="5B89E75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547CF7A7"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381B7A1D" w14:textId="77777777" w:rsidTr="00535FE1">
        <w:trPr>
          <w:trHeight w:hRule="exact" w:val="284"/>
          <w:jc w:val="center"/>
        </w:trPr>
        <w:tc>
          <w:tcPr>
            <w:tcW w:w="421" w:type="dxa"/>
            <w:vAlign w:val="bottom"/>
          </w:tcPr>
          <w:p w14:paraId="7C924E3E"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23</w:t>
            </w:r>
          </w:p>
        </w:tc>
        <w:tc>
          <w:tcPr>
            <w:tcW w:w="10824" w:type="dxa"/>
            <w:vAlign w:val="bottom"/>
          </w:tcPr>
          <w:p w14:paraId="13D0A35A"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seccionamiento barra 500 kV subestación Ancoa</w:t>
            </w:r>
          </w:p>
        </w:tc>
        <w:tc>
          <w:tcPr>
            <w:tcW w:w="1063" w:type="dxa"/>
            <w:vAlign w:val="bottom"/>
          </w:tcPr>
          <w:p w14:paraId="46176CDE"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0BB84AD5"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3D598E2C" w14:textId="77777777" w:rsidTr="00535FE1">
        <w:trPr>
          <w:trHeight w:hRule="exact" w:val="284"/>
          <w:jc w:val="center"/>
        </w:trPr>
        <w:tc>
          <w:tcPr>
            <w:tcW w:w="421" w:type="dxa"/>
            <w:vAlign w:val="bottom"/>
          </w:tcPr>
          <w:p w14:paraId="11286EDF"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24</w:t>
            </w:r>
          </w:p>
        </w:tc>
        <w:tc>
          <w:tcPr>
            <w:tcW w:w="10824" w:type="dxa"/>
            <w:vAlign w:val="bottom"/>
          </w:tcPr>
          <w:p w14:paraId="57322DAA"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seccionamiento barra 500 kV subestación Charrúa</w:t>
            </w:r>
          </w:p>
        </w:tc>
        <w:tc>
          <w:tcPr>
            <w:tcW w:w="1063" w:type="dxa"/>
            <w:vAlign w:val="bottom"/>
          </w:tcPr>
          <w:p w14:paraId="3B0EA5A1"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3BF4E748"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4235BB1C" w14:textId="77777777" w:rsidTr="00535FE1">
        <w:trPr>
          <w:trHeight w:hRule="exact" w:val="284"/>
          <w:jc w:val="center"/>
        </w:trPr>
        <w:tc>
          <w:tcPr>
            <w:tcW w:w="421" w:type="dxa"/>
            <w:vAlign w:val="bottom"/>
          </w:tcPr>
          <w:p w14:paraId="2FAFFFBC"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25</w:t>
            </w:r>
          </w:p>
        </w:tc>
        <w:tc>
          <w:tcPr>
            <w:tcW w:w="10824" w:type="dxa"/>
            <w:vAlign w:val="bottom"/>
          </w:tcPr>
          <w:p w14:paraId="0DF2894B"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seccionamiento barra principal en S/E Carrera Pinto</w:t>
            </w:r>
          </w:p>
        </w:tc>
        <w:tc>
          <w:tcPr>
            <w:tcW w:w="1063" w:type="dxa"/>
            <w:vAlign w:val="bottom"/>
          </w:tcPr>
          <w:p w14:paraId="2C89CC5A"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3D7164D3"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A4E2B5D" w14:textId="77777777" w:rsidTr="00535FE1">
        <w:trPr>
          <w:trHeight w:hRule="exact" w:val="284"/>
          <w:jc w:val="center"/>
        </w:trPr>
        <w:tc>
          <w:tcPr>
            <w:tcW w:w="421" w:type="dxa"/>
            <w:vAlign w:val="bottom"/>
          </w:tcPr>
          <w:p w14:paraId="2257ED73"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26</w:t>
            </w:r>
          </w:p>
        </w:tc>
        <w:tc>
          <w:tcPr>
            <w:tcW w:w="10824" w:type="dxa"/>
            <w:vAlign w:val="bottom"/>
          </w:tcPr>
          <w:p w14:paraId="223D2B2C"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seccionamiento completo en subestación Rahue</w:t>
            </w:r>
          </w:p>
        </w:tc>
        <w:tc>
          <w:tcPr>
            <w:tcW w:w="1063" w:type="dxa"/>
            <w:vAlign w:val="bottom"/>
          </w:tcPr>
          <w:p w14:paraId="1FADFB0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D201-14</w:t>
            </w:r>
          </w:p>
        </w:tc>
        <w:tc>
          <w:tcPr>
            <w:tcW w:w="1154" w:type="dxa"/>
            <w:vAlign w:val="bottom"/>
          </w:tcPr>
          <w:p w14:paraId="7083C5F5"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75E59D9C" w14:textId="77777777" w:rsidTr="00535FE1">
        <w:trPr>
          <w:trHeight w:hRule="exact" w:val="284"/>
          <w:jc w:val="center"/>
        </w:trPr>
        <w:tc>
          <w:tcPr>
            <w:tcW w:w="421" w:type="dxa"/>
            <w:vAlign w:val="bottom"/>
          </w:tcPr>
          <w:p w14:paraId="73E23CDD"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27</w:t>
            </w:r>
          </w:p>
        </w:tc>
        <w:tc>
          <w:tcPr>
            <w:tcW w:w="10824" w:type="dxa"/>
            <w:vAlign w:val="bottom"/>
          </w:tcPr>
          <w:p w14:paraId="4945DF53"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cambio de interruptores 52J23 y 52J3 en S/E Charrúa 220 kV</w:t>
            </w:r>
          </w:p>
        </w:tc>
        <w:tc>
          <w:tcPr>
            <w:tcW w:w="1063" w:type="dxa"/>
            <w:vAlign w:val="bottom"/>
          </w:tcPr>
          <w:p w14:paraId="18954281"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D158-15</w:t>
            </w:r>
          </w:p>
        </w:tc>
        <w:tc>
          <w:tcPr>
            <w:tcW w:w="1154" w:type="dxa"/>
            <w:vAlign w:val="bottom"/>
          </w:tcPr>
          <w:p w14:paraId="3125100D"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TransChile</w:t>
            </w:r>
          </w:p>
        </w:tc>
      </w:tr>
      <w:tr w:rsidR="00EE1E49" w:rsidRPr="00E079C1" w14:paraId="115F4F16" w14:textId="77777777" w:rsidTr="00535FE1">
        <w:trPr>
          <w:trHeight w:hRule="exact" w:val="284"/>
          <w:jc w:val="center"/>
        </w:trPr>
        <w:tc>
          <w:tcPr>
            <w:tcW w:w="421" w:type="dxa"/>
            <w:vAlign w:val="bottom"/>
          </w:tcPr>
          <w:p w14:paraId="04DC502D"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28</w:t>
            </w:r>
          </w:p>
        </w:tc>
        <w:tc>
          <w:tcPr>
            <w:tcW w:w="10824" w:type="dxa"/>
            <w:vAlign w:val="bottom"/>
          </w:tcPr>
          <w:p w14:paraId="12FC9469"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cambio de interruptores 52JS, 52JCE1, 52J6, 52JZ3 y 52J7 en S/E Alto Jahuel 220 kV</w:t>
            </w:r>
          </w:p>
        </w:tc>
        <w:tc>
          <w:tcPr>
            <w:tcW w:w="1063" w:type="dxa"/>
            <w:vAlign w:val="bottom"/>
          </w:tcPr>
          <w:p w14:paraId="7ED62D3F"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D158-15</w:t>
            </w:r>
          </w:p>
        </w:tc>
        <w:tc>
          <w:tcPr>
            <w:tcW w:w="1154" w:type="dxa"/>
            <w:vAlign w:val="bottom"/>
          </w:tcPr>
          <w:p w14:paraId="7992D76C"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4C32A6A" w14:textId="77777777" w:rsidTr="00535FE1">
        <w:trPr>
          <w:trHeight w:hRule="exact" w:val="284"/>
          <w:jc w:val="center"/>
        </w:trPr>
        <w:tc>
          <w:tcPr>
            <w:tcW w:w="421" w:type="dxa"/>
            <w:vAlign w:val="bottom"/>
          </w:tcPr>
          <w:p w14:paraId="1069B46B"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29</w:t>
            </w:r>
          </w:p>
        </w:tc>
        <w:tc>
          <w:tcPr>
            <w:tcW w:w="10824" w:type="dxa"/>
            <w:vAlign w:val="bottom"/>
          </w:tcPr>
          <w:p w14:paraId="423B33E7"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cambio de interruptores 52JT5, 52JT6 y 52J15 en S/E Charrúa 220 kV</w:t>
            </w:r>
          </w:p>
        </w:tc>
        <w:tc>
          <w:tcPr>
            <w:tcW w:w="1063" w:type="dxa"/>
            <w:vAlign w:val="bottom"/>
          </w:tcPr>
          <w:p w14:paraId="7443063F"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D158-15</w:t>
            </w:r>
          </w:p>
        </w:tc>
        <w:tc>
          <w:tcPr>
            <w:tcW w:w="1154" w:type="dxa"/>
            <w:vAlign w:val="bottom"/>
          </w:tcPr>
          <w:p w14:paraId="4A539D37"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65F90384" w14:textId="77777777" w:rsidTr="00535FE1">
        <w:trPr>
          <w:trHeight w:hRule="exact" w:val="284"/>
          <w:jc w:val="center"/>
        </w:trPr>
        <w:tc>
          <w:tcPr>
            <w:tcW w:w="421" w:type="dxa"/>
            <w:vAlign w:val="bottom"/>
          </w:tcPr>
          <w:p w14:paraId="4E3ED968"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30</w:t>
            </w:r>
          </w:p>
        </w:tc>
        <w:tc>
          <w:tcPr>
            <w:tcW w:w="10824" w:type="dxa"/>
            <w:vAlign w:val="bottom"/>
          </w:tcPr>
          <w:p w14:paraId="5C274DC3"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de ampliación S/E Temuco 220 kV</w:t>
            </w:r>
          </w:p>
        </w:tc>
        <w:tc>
          <w:tcPr>
            <w:tcW w:w="1063" w:type="dxa"/>
            <w:vAlign w:val="bottom"/>
          </w:tcPr>
          <w:p w14:paraId="6ADF09A7"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D158-15</w:t>
            </w:r>
          </w:p>
        </w:tc>
        <w:tc>
          <w:tcPr>
            <w:tcW w:w="1154" w:type="dxa"/>
            <w:vAlign w:val="bottom"/>
          </w:tcPr>
          <w:p w14:paraId="09824761"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595DAAA" w14:textId="77777777" w:rsidTr="00535FE1">
        <w:trPr>
          <w:trHeight w:hRule="exact" w:val="284"/>
          <w:jc w:val="center"/>
        </w:trPr>
        <w:tc>
          <w:tcPr>
            <w:tcW w:w="421" w:type="dxa"/>
            <w:vAlign w:val="bottom"/>
          </w:tcPr>
          <w:p w14:paraId="1D08D06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31</w:t>
            </w:r>
          </w:p>
        </w:tc>
        <w:tc>
          <w:tcPr>
            <w:tcW w:w="10824" w:type="dxa"/>
            <w:vAlign w:val="bottom"/>
          </w:tcPr>
          <w:p w14:paraId="762F8CAD"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Normalización en S/E Alto Jahuel 220 kV</w:t>
            </w:r>
          </w:p>
        </w:tc>
        <w:tc>
          <w:tcPr>
            <w:tcW w:w="1063" w:type="dxa"/>
            <w:vAlign w:val="bottom"/>
          </w:tcPr>
          <w:p w14:paraId="1934CED2"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D373-16</w:t>
            </w:r>
          </w:p>
        </w:tc>
        <w:tc>
          <w:tcPr>
            <w:tcW w:w="1154" w:type="dxa"/>
            <w:vAlign w:val="bottom"/>
          </w:tcPr>
          <w:p w14:paraId="19EF1F70"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6486B18D" w14:textId="77777777" w:rsidTr="00535FE1">
        <w:trPr>
          <w:trHeight w:hRule="exact" w:val="284"/>
          <w:jc w:val="center"/>
        </w:trPr>
        <w:tc>
          <w:tcPr>
            <w:tcW w:w="421" w:type="dxa"/>
            <w:vAlign w:val="bottom"/>
          </w:tcPr>
          <w:p w14:paraId="60F27077"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32</w:t>
            </w:r>
          </w:p>
        </w:tc>
        <w:tc>
          <w:tcPr>
            <w:tcW w:w="10824" w:type="dxa"/>
            <w:vAlign w:val="bottom"/>
          </w:tcPr>
          <w:p w14:paraId="4FD174B9"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Aumento de capacidad de la línea 1x220 kV Cardones - Carrera Pinto - Diego de Almagro</w:t>
            </w:r>
          </w:p>
        </w:tc>
        <w:tc>
          <w:tcPr>
            <w:tcW w:w="1063" w:type="dxa"/>
            <w:vAlign w:val="bottom"/>
          </w:tcPr>
          <w:p w14:paraId="3177C1D6"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D158-15</w:t>
            </w:r>
          </w:p>
        </w:tc>
        <w:tc>
          <w:tcPr>
            <w:tcW w:w="1154" w:type="dxa"/>
            <w:vAlign w:val="bottom"/>
          </w:tcPr>
          <w:p w14:paraId="5A540668"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r w:rsidR="00EE1E49" w:rsidRPr="00E079C1" w14:paraId="0515EA10" w14:textId="77777777" w:rsidTr="00535FE1">
        <w:trPr>
          <w:trHeight w:hRule="exact" w:val="284"/>
          <w:jc w:val="center"/>
        </w:trPr>
        <w:tc>
          <w:tcPr>
            <w:tcW w:w="421" w:type="dxa"/>
            <w:vAlign w:val="bottom"/>
          </w:tcPr>
          <w:p w14:paraId="1E564C09"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33</w:t>
            </w:r>
          </w:p>
        </w:tc>
        <w:tc>
          <w:tcPr>
            <w:tcW w:w="10824" w:type="dxa"/>
            <w:vAlign w:val="bottom"/>
          </w:tcPr>
          <w:p w14:paraId="6FAFB8A1"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Obra nueva Línea Ancoa –A. Jahuel 2x500 kV (2do cto)</w:t>
            </w:r>
          </w:p>
        </w:tc>
        <w:tc>
          <w:tcPr>
            <w:tcW w:w="1063" w:type="dxa"/>
            <w:vAlign w:val="bottom"/>
          </w:tcPr>
          <w:p w14:paraId="434ADDA4"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D310-13</w:t>
            </w:r>
          </w:p>
        </w:tc>
        <w:tc>
          <w:tcPr>
            <w:tcW w:w="1154" w:type="dxa"/>
            <w:vAlign w:val="bottom"/>
          </w:tcPr>
          <w:p w14:paraId="2A25BED0"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AJTE</w:t>
            </w:r>
          </w:p>
        </w:tc>
      </w:tr>
      <w:tr w:rsidR="00EE1E49" w:rsidRPr="00E079C1" w14:paraId="5066B9DD" w14:textId="77777777" w:rsidTr="00535FE1">
        <w:trPr>
          <w:trHeight w:hRule="exact" w:val="284"/>
          <w:jc w:val="center"/>
        </w:trPr>
        <w:tc>
          <w:tcPr>
            <w:tcW w:w="421" w:type="dxa"/>
            <w:vAlign w:val="bottom"/>
          </w:tcPr>
          <w:p w14:paraId="34C119A4"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color w:val="000000"/>
                <w:sz w:val="18"/>
                <w:szCs w:val="18"/>
              </w:rPr>
              <w:t>34</w:t>
            </w:r>
          </w:p>
        </w:tc>
        <w:tc>
          <w:tcPr>
            <w:tcW w:w="10824" w:type="dxa"/>
            <w:vAlign w:val="bottom"/>
          </w:tcPr>
          <w:p w14:paraId="6F017A66" w14:textId="77777777" w:rsidR="00EE1E49" w:rsidRPr="002247E4" w:rsidRDefault="00EE1E49" w:rsidP="00535FE1">
            <w:pPr>
              <w:rPr>
                <w:rFonts w:asciiTheme="minorHAnsi" w:hAnsiTheme="minorHAnsi" w:cstheme="minorHAnsi"/>
                <w:sz w:val="16"/>
                <w:szCs w:val="16"/>
              </w:rPr>
            </w:pPr>
            <w:r w:rsidRPr="002247E4">
              <w:rPr>
                <w:rFonts w:asciiTheme="minorHAnsi" w:hAnsiTheme="minorHAnsi" w:cstheme="minorHAnsi"/>
                <w:sz w:val="16"/>
                <w:szCs w:val="16"/>
              </w:rPr>
              <w:t>Línea Punta Cortés Tuniche 2x220kV</w:t>
            </w:r>
          </w:p>
        </w:tc>
        <w:tc>
          <w:tcPr>
            <w:tcW w:w="1063" w:type="dxa"/>
            <w:vAlign w:val="bottom"/>
          </w:tcPr>
          <w:p w14:paraId="26C18262" w14:textId="77777777" w:rsidR="00EE1E49" w:rsidRPr="00E079C1" w:rsidRDefault="00EE1E49" w:rsidP="00535FE1">
            <w:pPr>
              <w:jc w:val="center"/>
              <w:rPr>
                <w:rFonts w:asciiTheme="minorHAnsi" w:hAnsiTheme="minorHAnsi" w:cstheme="minorHAnsi"/>
                <w:sz w:val="18"/>
                <w:szCs w:val="18"/>
              </w:rPr>
            </w:pPr>
            <w:r w:rsidRPr="00E079C1">
              <w:rPr>
                <w:rFonts w:asciiTheme="minorHAnsi" w:hAnsiTheme="minorHAnsi" w:cstheme="minorHAnsi"/>
                <w:sz w:val="18"/>
                <w:szCs w:val="18"/>
              </w:rPr>
              <w:t>D942-09</w:t>
            </w:r>
          </w:p>
        </w:tc>
        <w:tc>
          <w:tcPr>
            <w:tcW w:w="1154" w:type="dxa"/>
            <w:vAlign w:val="bottom"/>
          </w:tcPr>
          <w:p w14:paraId="68B3AFA8" w14:textId="77777777" w:rsidR="00EE1E49" w:rsidRPr="00E079C1" w:rsidRDefault="00EE1E49" w:rsidP="00535FE1">
            <w:pPr>
              <w:jc w:val="center"/>
              <w:rPr>
                <w:rFonts w:asciiTheme="minorHAnsi" w:hAnsiTheme="minorHAnsi" w:cstheme="minorHAnsi"/>
                <w:sz w:val="20"/>
                <w:szCs w:val="20"/>
              </w:rPr>
            </w:pPr>
            <w:r w:rsidRPr="00E079C1">
              <w:rPr>
                <w:rFonts w:asciiTheme="minorHAnsi" w:hAnsiTheme="minorHAnsi" w:cstheme="minorHAnsi"/>
                <w:sz w:val="20"/>
                <w:szCs w:val="20"/>
              </w:rPr>
              <w:t>Transelec</w:t>
            </w:r>
          </w:p>
        </w:tc>
      </w:tr>
    </w:tbl>
    <w:p w14:paraId="0FF53A77" w14:textId="09126242" w:rsidR="00EE1E49" w:rsidRDefault="00EE1E49" w:rsidP="00EE1E49"/>
    <w:p w14:paraId="215025B1" w14:textId="77777777" w:rsidR="00D73D5B" w:rsidRDefault="00D73D5B" w:rsidP="00EE1E49"/>
    <w:p w14:paraId="4DD09F47" w14:textId="77777777" w:rsidR="00EE1E49" w:rsidRDefault="00EE1E49" w:rsidP="00EE1E49"/>
    <w:p w14:paraId="2DA7E152" w14:textId="77777777" w:rsidR="00EE1E49" w:rsidRDefault="00EE1E49" w:rsidP="00EE1E49">
      <w:pPr>
        <w:sectPr w:rsidR="00EE1E49" w:rsidSect="00F43502">
          <w:pgSz w:w="15842" w:h="12242" w:orient="landscape" w:code="1"/>
          <w:pgMar w:top="1134" w:right="1134" w:bottom="1418" w:left="1134" w:header="851" w:footer="1134" w:gutter="0"/>
          <w:cols w:space="708"/>
          <w:titlePg/>
          <w:docGrid w:linePitch="360"/>
        </w:sectPr>
      </w:pPr>
    </w:p>
    <w:p w14:paraId="1C7BC582" w14:textId="77777777" w:rsidR="00EE1E49" w:rsidRDefault="00EE1E49" w:rsidP="00EE1E49">
      <w:r>
        <w:t>Respecto del listado anterior, y en respuesta al Oficio N°688, Interchile señaló expresamente no tener labores de ampliación asociadas al proyecto 1. “</w:t>
      </w:r>
      <w:r w:rsidRPr="0000207E">
        <w:t>Obra de ampliación Tendido Segundo Circuito Línea 2x220 kV Encuentro</w:t>
      </w:r>
      <w:r>
        <w:t>-</w:t>
      </w:r>
      <w:r w:rsidRPr="0000207E">
        <w:t>Lagunas</w:t>
      </w:r>
      <w:r>
        <w:t>”. Asimismo, el Grupo Saesa, en representación de Eletrans y SATT, no indicó descripción ni existencia de labores de ampliación asociadas a los proyectos 2. “</w:t>
      </w:r>
      <w:r w:rsidRPr="0000207E">
        <w:t>Obra de tendido segundo circuito línea 2x220 kV Cardones</w:t>
      </w:r>
      <w:r>
        <w:t>-</w:t>
      </w:r>
      <w:r w:rsidRPr="0000207E">
        <w:t>Diego de Almagro, con secc. En S/E Carrera Pinto</w:t>
      </w:r>
      <w:r>
        <w:t>”, 3. “</w:t>
      </w:r>
      <w:r w:rsidRPr="0000207E">
        <w:t>Tendido segundo circuito línea 2x220 kV Ciruelos</w:t>
      </w:r>
      <w:r>
        <w:t>-</w:t>
      </w:r>
      <w:r w:rsidRPr="0000207E">
        <w:t>Pichirropulli</w:t>
      </w:r>
      <w:r>
        <w:t>”, y 4. “</w:t>
      </w:r>
      <w:r w:rsidRPr="0000207E">
        <w:t>Obra de ampliación S/E San Andrés 220 kV</w:t>
      </w:r>
      <w:r>
        <w:t>”</w:t>
      </w:r>
      <w:r>
        <w:rPr>
          <w:rStyle w:val="Refdenotaalpie"/>
        </w:rPr>
        <w:footnoteReference w:id="20"/>
      </w:r>
      <w:r>
        <w:t>.</w:t>
      </w:r>
    </w:p>
    <w:p w14:paraId="5354C0FA" w14:textId="77777777" w:rsidR="00EE1E49" w:rsidRDefault="00EE1E49" w:rsidP="00EE1E49">
      <w:r>
        <w:t>De esta forma, el Consultor analizó las labores de ampliación vinculadas a las obras de ampliación 5 a 34 del cuadro anterior descritas por el propietario respectivo.</w:t>
      </w:r>
    </w:p>
    <w:p w14:paraId="1F154382" w14:textId="77777777" w:rsidR="00725CE1" w:rsidRPr="00F43502" w:rsidRDefault="00725CE1" w:rsidP="00725CE1">
      <w:pPr>
        <w:pStyle w:val="Ttulo3"/>
      </w:pPr>
      <w:bookmarkStart w:id="283" w:name="_Toc34687258"/>
      <w:r w:rsidRPr="00F43502">
        <w:t>Metodología para Determinación del V.I. de Labores de Ampliación</w:t>
      </w:r>
      <w:bookmarkEnd w:id="283"/>
    </w:p>
    <w:p w14:paraId="0DCB8CAD" w14:textId="77777777" w:rsidR="00725CE1" w:rsidRDefault="00725CE1" w:rsidP="00725CE1">
      <w:r>
        <w:t>Para la determinación del V.I. de las labores de ampliación asociadas a las obras de ampliación indicadas, así como del descuento a aplicar por lo ya recaudado, el Consultor se sujetó a lo indicado en las Bases, las que se presentan bastante específicas, es decir:</w:t>
      </w:r>
    </w:p>
    <w:p w14:paraId="54E07009" w14:textId="77777777" w:rsidR="00725CE1" w:rsidRDefault="00725CE1" w:rsidP="002E20CA">
      <w:pPr>
        <w:pStyle w:val="Prrafodelista"/>
        <w:numPr>
          <w:ilvl w:val="0"/>
          <w:numId w:val="79"/>
        </w:numPr>
        <w:spacing w:after="160" w:line="259" w:lineRule="auto"/>
      </w:pPr>
      <w:r w:rsidRPr="00D848A0">
        <w:t>La valorización de las labores de ampliación debe considerar los precios vigentes al momento de adjudicación de las obras de ampliación.</w:t>
      </w:r>
    </w:p>
    <w:p w14:paraId="4136E309" w14:textId="77777777" w:rsidR="00725CE1" w:rsidRPr="00D848A0" w:rsidRDefault="00725CE1" w:rsidP="00725CE1">
      <w:pPr>
        <w:pStyle w:val="Prrafodelista"/>
      </w:pPr>
    </w:p>
    <w:p w14:paraId="71B09AF8" w14:textId="77777777" w:rsidR="00725CE1" w:rsidRDefault="00725CE1" w:rsidP="002E20CA">
      <w:pPr>
        <w:pStyle w:val="Prrafodelista"/>
        <w:numPr>
          <w:ilvl w:val="0"/>
          <w:numId w:val="79"/>
        </w:numPr>
        <w:spacing w:after="160" w:line="259" w:lineRule="auto"/>
      </w:pPr>
      <w:r w:rsidRPr="00D848A0">
        <w:t>Los recursos utilizados en las labores de ampliación deben corresponder a los mínimos necesarios para construir la obra de ampliación respectiva.</w:t>
      </w:r>
    </w:p>
    <w:p w14:paraId="1F361FF8" w14:textId="77777777" w:rsidR="00725CE1" w:rsidRPr="00D848A0" w:rsidRDefault="00725CE1" w:rsidP="00725CE1">
      <w:pPr>
        <w:pStyle w:val="Prrafodelista"/>
      </w:pPr>
    </w:p>
    <w:p w14:paraId="7A753AF1" w14:textId="77777777" w:rsidR="00725CE1" w:rsidRDefault="00725CE1" w:rsidP="002E20CA">
      <w:pPr>
        <w:pStyle w:val="Prrafodelista"/>
        <w:numPr>
          <w:ilvl w:val="0"/>
          <w:numId w:val="79"/>
        </w:numPr>
        <w:spacing w:after="160" w:line="259" w:lineRule="auto"/>
      </w:pPr>
      <w:r w:rsidRPr="00D848A0">
        <w:t>Los valores obtenidos deben actualizarse mediante variación del IPC a la fecha de referencia del estudio, es decir, al 31 de diciembre 2017.</w:t>
      </w:r>
    </w:p>
    <w:p w14:paraId="7E63252F" w14:textId="77777777" w:rsidR="00725CE1" w:rsidRPr="00D848A0" w:rsidRDefault="00725CE1" w:rsidP="00725CE1">
      <w:pPr>
        <w:pStyle w:val="Prrafodelista"/>
      </w:pPr>
    </w:p>
    <w:p w14:paraId="3C96832C" w14:textId="77777777" w:rsidR="00725CE1" w:rsidRDefault="00725CE1" w:rsidP="002E20CA">
      <w:pPr>
        <w:pStyle w:val="Prrafodelista"/>
        <w:numPr>
          <w:ilvl w:val="0"/>
          <w:numId w:val="79"/>
        </w:numPr>
        <w:spacing w:after="160" w:line="259" w:lineRule="auto"/>
      </w:pPr>
      <w:r w:rsidRPr="007F6F00">
        <w:t>Al V.I. de las labores de ampliación resultante, debe descontarse el monto recuperado hasta la fecha de término de vigencia del Decreto N°23 T, es decir, hasta el 31 de diciembre de 2019.</w:t>
      </w:r>
      <w:r>
        <w:t xml:space="preserve"> </w:t>
      </w:r>
      <w:r w:rsidRPr="007F6F00">
        <w:t>El monto a recuperar debe ser estimado a partir del V.I. determinado para las labores de ampliación y de la vida útil de las obras de ampliación correspondientes.</w:t>
      </w:r>
    </w:p>
    <w:p w14:paraId="7532F5A4" w14:textId="77777777" w:rsidR="00725CE1" w:rsidRPr="00D73D08" w:rsidRDefault="00725CE1" w:rsidP="00725CE1">
      <w:pPr>
        <w:pStyle w:val="Prrafodelista"/>
      </w:pPr>
    </w:p>
    <w:p w14:paraId="3F06796F" w14:textId="77777777" w:rsidR="00725CE1" w:rsidRPr="00D73D08" w:rsidRDefault="00725CE1" w:rsidP="002E20CA">
      <w:pPr>
        <w:pStyle w:val="Prrafodelista"/>
        <w:numPr>
          <w:ilvl w:val="0"/>
          <w:numId w:val="79"/>
        </w:numPr>
        <w:spacing w:after="160" w:line="259" w:lineRule="auto"/>
      </w:pPr>
      <w:r w:rsidRPr="00D73D08">
        <w:t>El V.I. resultante</w:t>
      </w:r>
      <w:r>
        <w:t>,</w:t>
      </w:r>
      <w:r w:rsidRPr="00D73D08">
        <w:t xml:space="preserve"> una vez descontado el monto recuperado</w:t>
      </w:r>
      <w:r>
        <w:t>,</w:t>
      </w:r>
      <w:r w:rsidRPr="00D73D08">
        <w:t xml:space="preserve"> debe ser anualizado, </w:t>
      </w:r>
      <w:r>
        <w:t>para</w:t>
      </w:r>
      <w:r w:rsidRPr="00D73D08">
        <w:t xml:space="preserve"> ser recuperado en los 4 años del cuatrienio tarifario.</w:t>
      </w:r>
    </w:p>
    <w:p w14:paraId="766D5DAE" w14:textId="77777777" w:rsidR="00725CE1" w:rsidRPr="007F6F00" w:rsidRDefault="00725CE1" w:rsidP="00725CE1">
      <w:pPr>
        <w:pStyle w:val="Prrafodelista"/>
      </w:pPr>
    </w:p>
    <w:p w14:paraId="5CAFCB8E" w14:textId="77777777" w:rsidR="00725CE1" w:rsidRDefault="00725CE1" w:rsidP="00725CE1">
      <w:r>
        <w:t>Conforme a estas disposiciones la metodología, procedimiento y criterios aplicados fueron los siguientes:</w:t>
      </w:r>
    </w:p>
    <w:p w14:paraId="5F20DD6D" w14:textId="77777777" w:rsidR="00725CE1" w:rsidRDefault="00725CE1" w:rsidP="002E20CA">
      <w:pPr>
        <w:pStyle w:val="Prrafodelista"/>
        <w:numPr>
          <w:ilvl w:val="0"/>
          <w:numId w:val="80"/>
        </w:numPr>
        <w:spacing w:after="160" w:line="259" w:lineRule="auto"/>
      </w:pPr>
      <w:r w:rsidRPr="00D73D08">
        <w:t>Para los precios vigentes a la fecha de adjudicación de las obras de ampliación -precios unitarios- se adoptaron directamente los precios en dólares informados por las empresas para cada obra. Los mismos, aparte de reflejar el nivel y relación de precios a la fecha indicada, corresponden además a precios despejados de licitaciones competitivas.</w:t>
      </w:r>
    </w:p>
    <w:p w14:paraId="0ADB8C72" w14:textId="77777777" w:rsidR="00725CE1" w:rsidRPr="00D73D08" w:rsidRDefault="00725CE1" w:rsidP="00725CE1">
      <w:pPr>
        <w:pStyle w:val="Prrafodelista"/>
      </w:pPr>
    </w:p>
    <w:p w14:paraId="23A7AFD5" w14:textId="77777777" w:rsidR="00725CE1" w:rsidRDefault="00725CE1" w:rsidP="002E20CA">
      <w:pPr>
        <w:pStyle w:val="Prrafodelista"/>
        <w:numPr>
          <w:ilvl w:val="0"/>
          <w:numId w:val="80"/>
        </w:numPr>
        <w:spacing w:after="160" w:line="259" w:lineRule="auto"/>
      </w:pPr>
      <w:r w:rsidRPr="00D73D08">
        <w:t xml:space="preserve">Los recursos </w:t>
      </w:r>
      <w:r>
        <w:t xml:space="preserve">directos </w:t>
      </w:r>
      <w:r w:rsidRPr="00D73D08">
        <w:t>involucrados</w:t>
      </w:r>
      <w:r>
        <w:t xml:space="preserve">, </w:t>
      </w:r>
      <w:r w:rsidRPr="00D73D08">
        <w:t xml:space="preserve">si bien fueron también informados por las empresas, fueron sujeto de examen por parte del Consultor, de modo de valorar las labores de ampliación desde una perspectiva </w:t>
      </w:r>
      <w:r>
        <w:t xml:space="preserve">de utilización de recursos mínimos necesarios, </w:t>
      </w:r>
      <w:r w:rsidRPr="00D73D08">
        <w:t>conforme las Bases lo señalan.</w:t>
      </w:r>
      <w:r>
        <w:t xml:space="preserve"> A este efecto, se estimó en general adecuados los recursos informados, si bien el Consultor desestimó partidas que, a su juicio, no corresponden a partidas a incorporar como concepto de labor de ampliación, tales como energización, pruebas de puesta en servicio, y montajes de componentes. Asimismo, se desestimaron, preliminarmente, partidas cuya descripción no resultó clara a efectos de su calificación. De esta forma se obtuvo el V.I. de costos directos a la fecha de adjudicación.</w:t>
      </w:r>
    </w:p>
    <w:p w14:paraId="73113D9E" w14:textId="77777777" w:rsidR="00725CE1" w:rsidRDefault="00725CE1" w:rsidP="00725CE1">
      <w:pPr>
        <w:pStyle w:val="Prrafodelista"/>
      </w:pPr>
    </w:p>
    <w:p w14:paraId="7775BBEC" w14:textId="77777777" w:rsidR="00725CE1" w:rsidRDefault="00725CE1" w:rsidP="00725CE1">
      <w:pPr>
        <w:pStyle w:val="Prrafodelista"/>
      </w:pPr>
      <w:r>
        <w:t>Para determinar los costos indirectos se estableció el porcentaje que los costos indirectos informados representan del VI de las obras de ampliación respectivas, según el valor de V.I. adjudicado establecido en el decreto de valorización correspondiente</w:t>
      </w:r>
      <w:r>
        <w:rPr>
          <w:rStyle w:val="Refdenotaalpie"/>
        </w:rPr>
        <w:footnoteReference w:id="21"/>
      </w:r>
      <w:r>
        <w:t>. Conforme al monto de dicho V.I., se establecieron dos proporciones de costos indirectos, a saber, 40% para proyectos con V.I. bajo los US$ 9.000.000 y 25% para proyectos con V.I. superior. Con dichos porcentajes se estableció el V.I. de costos indirectos de labores de ampliación según el V.I. de costos directos</w:t>
      </w:r>
      <w:r>
        <w:rPr>
          <w:rStyle w:val="Refdenotaalpie"/>
        </w:rPr>
        <w:footnoteReference w:id="22"/>
      </w:r>
      <w:r>
        <w:t xml:space="preserve">. </w:t>
      </w:r>
    </w:p>
    <w:p w14:paraId="7AB751BB" w14:textId="77777777" w:rsidR="00725CE1" w:rsidRPr="00D73D08" w:rsidRDefault="00725CE1" w:rsidP="00725CE1">
      <w:pPr>
        <w:pStyle w:val="Prrafodelista"/>
      </w:pPr>
    </w:p>
    <w:p w14:paraId="65C75CA8" w14:textId="77777777" w:rsidR="00725CE1" w:rsidRDefault="00725CE1" w:rsidP="002E20CA">
      <w:pPr>
        <w:pStyle w:val="Prrafodelista"/>
        <w:numPr>
          <w:ilvl w:val="0"/>
          <w:numId w:val="80"/>
        </w:numPr>
        <w:spacing w:after="160" w:line="259" w:lineRule="auto"/>
      </w:pPr>
      <w:r w:rsidRPr="00D73D08">
        <w:t xml:space="preserve">Los </w:t>
      </w:r>
      <w:r>
        <w:t>V.I. resultantes</w:t>
      </w:r>
      <w:r>
        <w:rPr>
          <w:rStyle w:val="Refdenotaalpie"/>
        </w:rPr>
        <w:footnoteReference w:id="23"/>
      </w:r>
      <w:r w:rsidRPr="00D73D08">
        <w:t>, se establecieron en pesos chilenos a la fecha de adjudicación considerando el valor promedio mensual del dólar observado al mes de adjudicación</w:t>
      </w:r>
      <w:r>
        <w:rPr>
          <w:rStyle w:val="Refdenotaalpie"/>
        </w:rPr>
        <w:footnoteReference w:id="24"/>
      </w:r>
      <w:r w:rsidRPr="00D73D08">
        <w:t>. Dicho valor en pesos se llevó a pesos de diciembre de 2017 considerando la variación del IPC entre el mes de adjudicación y el mes de diciembre de 2017.</w:t>
      </w:r>
    </w:p>
    <w:p w14:paraId="2C3A7E43" w14:textId="77777777" w:rsidR="00725CE1" w:rsidRPr="00D73D08" w:rsidRDefault="00725CE1" w:rsidP="00725CE1">
      <w:pPr>
        <w:pStyle w:val="Prrafodelista"/>
      </w:pPr>
    </w:p>
    <w:p w14:paraId="5B0A9306" w14:textId="77777777" w:rsidR="00725CE1" w:rsidRDefault="00725CE1" w:rsidP="002E20CA">
      <w:pPr>
        <w:pStyle w:val="Prrafodelista"/>
        <w:numPr>
          <w:ilvl w:val="0"/>
          <w:numId w:val="80"/>
        </w:numPr>
        <w:spacing w:after="160" w:line="259" w:lineRule="auto"/>
      </w:pPr>
      <w:r w:rsidRPr="00D73D08">
        <w:t xml:space="preserve">El monto ya pagado se estableció </w:t>
      </w:r>
      <w:r>
        <w:t>según el</w:t>
      </w:r>
      <w:r w:rsidRPr="00D73D08">
        <w:t xml:space="preserve"> número de cuotas mensuales pagadas al propietario de la obra de ampliación</w:t>
      </w:r>
      <w:r>
        <w:t xml:space="preserve"> desde el mes de entrada en operación, y hasta diciembre de 2019</w:t>
      </w:r>
      <w:r w:rsidRPr="00D73D08">
        <w:t>, considerando que cada cuota de labor de ampliación es igual al valor mensualizado del V.I. de la labor de ampliación determinado conforme al punto anterior. Para determinar el factor de recuperación mensual correspondiente se utilizó la tasa mensual equivalente al 10% anual (0,797%), y la vida útil de la obra de ampliación respectiva</w:t>
      </w:r>
      <w:r>
        <w:rPr>
          <w:rStyle w:val="Refdenotaalpie"/>
        </w:rPr>
        <w:footnoteReference w:id="25"/>
      </w:r>
      <w:r w:rsidRPr="00D73D08">
        <w:t>.</w:t>
      </w:r>
    </w:p>
    <w:p w14:paraId="3FB74058" w14:textId="77777777" w:rsidR="00725CE1" w:rsidRDefault="00725CE1" w:rsidP="00725CE1">
      <w:pPr>
        <w:pStyle w:val="Prrafodelista"/>
      </w:pPr>
    </w:p>
    <w:p w14:paraId="4B40BCF3" w14:textId="5429DE93" w:rsidR="00FE12C9" w:rsidRDefault="00725CE1" w:rsidP="0060133B">
      <w:pPr>
        <w:pStyle w:val="Prrafodelista"/>
        <w:numPr>
          <w:ilvl w:val="0"/>
          <w:numId w:val="80"/>
        </w:numPr>
        <w:spacing w:after="160" w:line="259" w:lineRule="auto"/>
      </w:pPr>
      <w:r w:rsidRPr="00D73D08">
        <w:t xml:space="preserve">El valor resultante fue descontado del V.I. de la labor de ampliación, y anualizado en cuatro cuotas utilizando la misma tasa de descuento </w:t>
      </w:r>
      <w:r>
        <w:t xml:space="preserve">(10%) </w:t>
      </w:r>
      <w:r w:rsidRPr="00D73D08">
        <w:t>y un período de pago de 4 años.</w:t>
      </w:r>
      <w:r>
        <w:t xml:space="preserve"> (FRC=0,315), dando lugar al A.V.I. de labores de ampliación a recuperar en el cuadrienio.</w:t>
      </w:r>
    </w:p>
    <w:p w14:paraId="654C8285" w14:textId="77777777" w:rsidR="00725CE1" w:rsidRDefault="00725CE1" w:rsidP="00725CE1"/>
    <w:p w14:paraId="77DC672B" w14:textId="208AA8DC" w:rsidR="00EF315C" w:rsidRDefault="00EF315C" w:rsidP="00871C7A">
      <w:pPr>
        <w:pStyle w:val="Ttulo1"/>
      </w:pPr>
      <w:bookmarkStart w:id="284" w:name="_Toc34687259"/>
      <w:r w:rsidRPr="00871C7A">
        <w:t>DETERMINACIÓN DEL V.I.</w:t>
      </w:r>
      <w:bookmarkEnd w:id="284"/>
    </w:p>
    <w:p w14:paraId="027CB81F" w14:textId="43E27F13" w:rsidR="003E19A2" w:rsidRPr="003E19A2" w:rsidRDefault="003E19A2" w:rsidP="003E19A2">
      <w:pPr>
        <w:pStyle w:val="Ttulo2"/>
      </w:pPr>
      <w:bookmarkStart w:id="285" w:name="_Toc34687260"/>
      <w:r>
        <w:t>Introducción</w:t>
      </w:r>
      <w:bookmarkEnd w:id="285"/>
    </w:p>
    <w:p w14:paraId="5384C187" w14:textId="77777777" w:rsidR="003E19A2" w:rsidRDefault="003E19A2" w:rsidP="003E19A2">
      <w:r>
        <w:t>El cálculo del valor de inversión se realiza dependiendo si es para un tramo de transporte o tramo de subestación.</w:t>
      </w:r>
    </w:p>
    <w:p w14:paraId="27012CB7" w14:textId="77777777" w:rsidR="003E19A2" w:rsidRDefault="003E19A2" w:rsidP="003E19A2">
      <w:r>
        <w:t>Para los tramos de transporte identificados en la base de datos, se pueden presentar dos casos.</w:t>
      </w:r>
    </w:p>
    <w:p w14:paraId="731D25B2" w14:textId="77777777" w:rsidR="003E19A2" w:rsidRDefault="003E19A2" w:rsidP="003E19A2">
      <w:r>
        <w:tab/>
        <w:t>Transformadores de poder</w:t>
      </w:r>
    </w:p>
    <w:p w14:paraId="403C06DD" w14:textId="77777777" w:rsidR="003E19A2" w:rsidRDefault="003E19A2" w:rsidP="003E19A2">
      <w:r>
        <w:tab/>
        <w:t>Líneas de transmisión</w:t>
      </w:r>
    </w:p>
    <w:p w14:paraId="59E02706" w14:textId="77777777" w:rsidR="003E19A2" w:rsidRDefault="003E19A2" w:rsidP="003E19A2">
      <w:r>
        <w:t>En el caso de las subestaciones se detectan todos aquellos paños que pertenecen a los tramos de transporte definidos en el Informe Técnico Definitivo de Calificación de Instalaciones de los Sistemas de Transmisión para el Período 2020-2023, cualquiera sea su calificación, para no considerarlos en la valorización. Así, se tienen identificados todos los paños que cumplen una función propia de la subestación como paños acopladores, paños seccionadores, paños de equipos de compensación, paños de transformadores de servicios auxiliares, etc. Luego se identifican todas las instalaciones comunes que sí se deben considerar para la valorización tales como barras, patios, equipos de compensación, etc.</w:t>
      </w:r>
    </w:p>
    <w:p w14:paraId="0745E9C0" w14:textId="77777777" w:rsidR="003E19A2" w:rsidRDefault="003E19A2" w:rsidP="003E19A2"/>
    <w:p w14:paraId="202512B0" w14:textId="77777777" w:rsidR="003E19A2" w:rsidRDefault="003E19A2" w:rsidP="003E19A2">
      <w:r>
        <w:t>Para ambos casos, se obtiene el valor de inversión de cada tramo y de cada una de sus componentes. Como se incluye todos los códigos de identificación necesarios (identificadores), los costos de inversión se pueden agrupar por instalación (subestación o línea), por tramo o por componentes de costos.</w:t>
      </w:r>
    </w:p>
    <w:p w14:paraId="494ABCA8" w14:textId="77777777" w:rsidR="003E19A2" w:rsidRDefault="003E19A2" w:rsidP="003E19A2">
      <w:r>
        <w:t>Esto significa que para valorizar los tramos de transporte se ha procedido a valorizar los elementos asociados a la línea de transmisión o al transformador de poder en una agrupación y sus paños en otra, por ser de características distintas. Como ambos tienen un identificador asociado al tramo definido en la calificación, es posible obtener el valor total del tramo en cuestión.</w:t>
      </w:r>
    </w:p>
    <w:p w14:paraId="53346740" w14:textId="77777777" w:rsidR="003E19A2" w:rsidRDefault="003E19A2" w:rsidP="003E19A2">
      <w:r>
        <w:t xml:space="preserve">En el caso de los componentes de costos, tal como ya se señaló, se agrupa la parte civil y la parte eléctrica, tanto de elementos de subestaciones como elementos de líneas de transmisión, por tener definiciones distintas en la base de datos. </w:t>
      </w:r>
    </w:p>
    <w:p w14:paraId="1C69E382" w14:textId="77777777" w:rsidR="003E19A2" w:rsidRDefault="003E19A2" w:rsidP="003E19A2">
      <w:r>
        <w:t>El proceso de carga de datos se ha realizado completando en archivos Excel la información necesaria. Los elementos poseen los diversos recargos en la base de datos. Así, los archivos Excel tienen una columna para cada recargo y una columna para la vida útil, las que han sido competadas por el consultor.</w:t>
      </w:r>
    </w:p>
    <w:p w14:paraId="2549C33A" w14:textId="77777777" w:rsidR="003E19A2" w:rsidRDefault="003E19A2" w:rsidP="003E19A2">
      <w:r>
        <w:t xml:space="preserve">En el caso de los precios, para cada elemento de la Tabla Elemento de la base de datos contiene un campo denominado ID clase elemento. En la Tabla Precio Elemento, cada clase elemento posee un campo llamado valor unitario donde se ha ingresado ingresar los diversos costos de equipos y materiales. </w:t>
      </w:r>
    </w:p>
    <w:p w14:paraId="19D3491C" w14:textId="77777777" w:rsidR="003E19A2" w:rsidRDefault="003E19A2" w:rsidP="003E19A2">
      <w:r>
        <w:t>Para cada elemento se tiene calculados los respectivos porcentajes de recargo según los diversos ítems. Luego, el motor de cálculo, aplicando la siguiente fórmula para las instalaciones, determina el valor de inversión</w:t>
      </w:r>
    </w:p>
    <w:p w14:paraId="7674C871" w14:textId="77777777" w:rsidR="003E19A2" w:rsidRPr="00567A98" w:rsidRDefault="003E19A2" w:rsidP="003E19A2">
      <w:pPr>
        <w:jc w:val="center"/>
      </w:pPr>
      <m:oMathPara>
        <m:oMath>
          <m:r>
            <w:rPr>
              <w:rFonts w:ascii="Cambria Math" w:hAnsi="Cambria Math"/>
            </w:rPr>
            <m:t>V.I. =</m:t>
          </m:r>
          <m:d>
            <m:dPr>
              <m:begChr m:val="["/>
              <m:endChr m:val="]"/>
              <m:ctrlPr>
                <w:rPr>
                  <w:rFonts w:ascii="Cambria Math" w:hAnsi="Cambria Math"/>
                </w:rPr>
              </m:ctrlPr>
            </m:dPr>
            <m:e>
              <m:r>
                <w:rPr>
                  <w:rFonts w:ascii="Cambria Math" w:hAnsi="Cambria Math"/>
                </w:rPr>
                <m:t>Cu∙</m:t>
              </m:r>
              <m:d>
                <m:dPr>
                  <m:ctrlPr>
                    <w:rPr>
                      <w:rFonts w:ascii="Cambria Math" w:hAnsi="Cambria Math"/>
                    </w:rPr>
                  </m:ctrlPr>
                </m:dPr>
                <m:e>
                  <m:r>
                    <w:rPr>
                      <w:rFonts w:ascii="Cambria Math" w:hAnsi="Cambria Math"/>
                    </w:rPr>
                    <m:t>1+Fl+B</m:t>
                  </m:r>
                </m:e>
              </m:d>
              <m:r>
                <w:rPr>
                  <w:rFonts w:ascii="Cambria Math" w:hAnsi="Cambria Math"/>
                </w:rPr>
                <m:t>+MO</m:t>
              </m:r>
            </m:e>
          </m:d>
          <m:r>
            <w:rPr>
              <w:rFonts w:ascii="Cambria Math" w:hAnsi="Cambria Math"/>
            </w:rPr>
            <m:t>∙</m:t>
          </m:r>
          <m:d>
            <m:dPr>
              <m:ctrlPr>
                <w:rPr>
                  <w:rFonts w:ascii="Cambria Math" w:hAnsi="Cambria Math"/>
                </w:rPr>
              </m:ctrlPr>
            </m:dPr>
            <m:e>
              <m:r>
                <w:rPr>
                  <w:rFonts w:ascii="Cambria Math" w:hAnsi="Cambria Math"/>
                </w:rPr>
                <m:t>1+Ing+Gg</m:t>
              </m:r>
            </m:e>
          </m:d>
          <m:r>
            <w:rPr>
              <w:rFonts w:ascii="Cambria Math" w:hAnsi="Cambria Math"/>
            </w:rPr>
            <m:t>∙</m:t>
          </m:r>
          <m:d>
            <m:dPr>
              <m:ctrlPr>
                <w:rPr>
                  <w:rFonts w:ascii="Cambria Math" w:hAnsi="Cambria Math"/>
                </w:rPr>
              </m:ctrlPr>
            </m:dPr>
            <m:e>
              <m:r>
                <w:rPr>
                  <w:rFonts w:ascii="Cambria Math" w:hAnsi="Cambria Math"/>
                </w:rPr>
                <m:t>1+Int</m:t>
              </m:r>
            </m:e>
          </m:d>
          <m:r>
            <w:rPr>
              <w:rFonts w:ascii="Cambria Math" w:hAnsi="Cambria Math"/>
            </w:rPr>
            <m:t>+BI+CE</m:t>
          </m:r>
        </m:oMath>
      </m:oMathPara>
    </w:p>
    <w:p w14:paraId="793A7D66" w14:textId="77777777" w:rsidR="003E19A2" w:rsidRPr="00CA600B" w:rsidRDefault="003E19A2" w:rsidP="003E19A2">
      <w:r w:rsidRPr="00CA600B">
        <w:t>Donde</w:t>
      </w:r>
    </w:p>
    <w:p w14:paraId="53E9B70D" w14:textId="77777777" w:rsidR="003E19A2" w:rsidRPr="00CA600B" w:rsidRDefault="003E19A2" w:rsidP="003E19A2">
      <w:pPr>
        <w:spacing w:after="120"/>
      </w:pPr>
      <m:oMath>
        <m:r>
          <w:rPr>
            <w:rFonts w:ascii="Cambria Math" w:hAnsi="Cambria Math"/>
          </w:rPr>
          <m:t>Cu</m:t>
        </m:r>
      </m:oMath>
      <w:r w:rsidRPr="00CA600B">
        <w:t>: Costo unitario de equipo o materiales</w:t>
      </w:r>
    </w:p>
    <w:p w14:paraId="48205772" w14:textId="77777777" w:rsidR="003E19A2" w:rsidRPr="00CA600B" w:rsidRDefault="003E19A2" w:rsidP="003E19A2">
      <w:pPr>
        <w:spacing w:after="120"/>
      </w:pPr>
      <m:oMath>
        <m:r>
          <w:rPr>
            <w:rFonts w:ascii="Cambria Math" w:hAnsi="Cambria Math"/>
          </w:rPr>
          <m:t>Fl</m:t>
        </m:r>
      </m:oMath>
      <w:r w:rsidRPr="00CA600B">
        <w:t>: Recargo por flete</w:t>
      </w:r>
    </w:p>
    <w:p w14:paraId="1BC79592" w14:textId="77777777" w:rsidR="003E19A2" w:rsidRPr="00CA600B" w:rsidRDefault="003E19A2" w:rsidP="003E19A2">
      <w:pPr>
        <w:spacing w:after="120"/>
      </w:pPr>
      <m:oMath>
        <m:r>
          <w:rPr>
            <w:rFonts w:ascii="Cambria Math" w:hAnsi="Cambria Math"/>
          </w:rPr>
          <m:t>B</m:t>
        </m:r>
      </m:oMath>
      <w:r w:rsidRPr="00CA600B">
        <w:t>: Recargo por bodegaje</w:t>
      </w:r>
    </w:p>
    <w:p w14:paraId="52C1BDC2" w14:textId="77777777" w:rsidR="003E19A2" w:rsidRPr="00CA600B" w:rsidRDefault="003E19A2" w:rsidP="003E19A2">
      <w:pPr>
        <w:spacing w:after="120"/>
      </w:pPr>
      <m:oMath>
        <m:r>
          <w:rPr>
            <w:rFonts w:ascii="Cambria Math" w:hAnsi="Cambria Math"/>
          </w:rPr>
          <m:t>MO</m:t>
        </m:r>
      </m:oMath>
      <w:r w:rsidRPr="00CA600B">
        <w:t>: Montaje</w:t>
      </w:r>
    </w:p>
    <w:p w14:paraId="6D998C66" w14:textId="77777777" w:rsidR="003E19A2" w:rsidRPr="00CA600B" w:rsidRDefault="003E19A2" w:rsidP="003E19A2">
      <w:pPr>
        <w:spacing w:after="120"/>
      </w:pPr>
      <m:oMath>
        <m:r>
          <w:rPr>
            <w:rFonts w:ascii="Cambria Math" w:hAnsi="Cambria Math"/>
          </w:rPr>
          <m:t>Ing</m:t>
        </m:r>
      </m:oMath>
      <w:r w:rsidRPr="00CA600B">
        <w:t xml:space="preserve">: Recargo por ingeniería </w:t>
      </w:r>
    </w:p>
    <w:p w14:paraId="36AC057D" w14:textId="77777777" w:rsidR="003E19A2" w:rsidRPr="00CA600B" w:rsidRDefault="003E19A2" w:rsidP="003E19A2">
      <w:pPr>
        <w:spacing w:after="120"/>
      </w:pPr>
      <m:oMath>
        <m:r>
          <w:rPr>
            <w:rFonts w:ascii="Cambria Math" w:hAnsi="Cambria Math"/>
          </w:rPr>
          <m:t>Gg</m:t>
        </m:r>
      </m:oMath>
      <w:r w:rsidRPr="00CA600B">
        <w:t>: Recargo por gastos generales</w:t>
      </w:r>
    </w:p>
    <w:p w14:paraId="005B5D90" w14:textId="77777777" w:rsidR="003E19A2" w:rsidRPr="00CA600B" w:rsidRDefault="003E19A2" w:rsidP="003E19A2">
      <w:pPr>
        <w:spacing w:after="120"/>
      </w:pPr>
      <m:oMath>
        <m:r>
          <w:rPr>
            <w:rFonts w:ascii="Cambria Math" w:hAnsi="Cambria Math"/>
          </w:rPr>
          <m:t>Int</m:t>
        </m:r>
      </m:oMath>
      <w:r w:rsidRPr="00CA600B">
        <w:t>: Intereses intercalarios</w:t>
      </w:r>
    </w:p>
    <w:p w14:paraId="4C2105EC" w14:textId="77777777" w:rsidR="003E19A2" w:rsidRPr="00CA600B" w:rsidRDefault="003E19A2" w:rsidP="003E19A2">
      <w:pPr>
        <w:spacing w:after="120"/>
      </w:pPr>
      <m:oMath>
        <m:r>
          <w:rPr>
            <w:rFonts w:ascii="Cambria Math" w:hAnsi="Cambria Math"/>
          </w:rPr>
          <m:t>BI</m:t>
        </m:r>
      </m:oMath>
      <w:r w:rsidRPr="00CA600B">
        <w:t>: Bienes intangibles</w:t>
      </w:r>
    </w:p>
    <w:p w14:paraId="29ED19CF" w14:textId="77777777" w:rsidR="003E19A2" w:rsidRPr="00CA600B" w:rsidRDefault="003E19A2" w:rsidP="003E19A2">
      <m:oMath>
        <m:r>
          <w:rPr>
            <w:rFonts w:ascii="Cambria Math" w:hAnsi="Cambria Math"/>
          </w:rPr>
          <m:t>CE</m:t>
        </m:r>
      </m:oMath>
      <w:r w:rsidRPr="00CA600B">
        <w:t>: Capital de explotación</w:t>
      </w:r>
    </w:p>
    <w:p w14:paraId="0803F1B8" w14:textId="77777777" w:rsidR="003E19A2" w:rsidRPr="0076762A" w:rsidRDefault="003E19A2" w:rsidP="003E19A2">
      <w:pPr>
        <w:rPr>
          <w:lang w:val="es-ES"/>
        </w:rPr>
      </w:pPr>
      <w:r w:rsidRPr="00CA600B">
        <w:t>En el caso de los derechos de uso de suelo y medio ambiente, se aplica la siguiente fórmula:</w:t>
      </w:r>
    </w:p>
    <w:p w14:paraId="2A83F769" w14:textId="1A5CD951" w:rsidR="003E19A2" w:rsidRPr="003E19A2" w:rsidRDefault="003E19A2" w:rsidP="003E19A2">
      <w:pPr>
        <w:rPr>
          <w:lang w:val="en-US"/>
        </w:rPr>
      </w:pPr>
      <m:oMathPara>
        <m:oMath>
          <m:r>
            <w:rPr>
              <w:rFonts w:ascii="Cambria Math" w:hAnsi="Cambria Math"/>
            </w:rPr>
            <m:t>V.I. =Cu∙</m:t>
          </m:r>
          <m:d>
            <m:dPr>
              <m:ctrlPr>
                <w:rPr>
                  <w:rFonts w:ascii="Cambria Math" w:hAnsi="Cambria Math"/>
                </w:rPr>
              </m:ctrlPr>
            </m:dPr>
            <m:e>
              <m:r>
                <w:rPr>
                  <w:rFonts w:ascii="Cambria Math" w:hAnsi="Cambria Math"/>
                </w:rPr>
                <m:t>1+Int</m:t>
              </m:r>
            </m:e>
          </m:d>
          <m:r>
            <w:rPr>
              <w:rFonts w:ascii="Cambria Math" w:hAnsi="Cambria Math"/>
            </w:rPr>
            <m:t>+BI+CE</m:t>
          </m:r>
        </m:oMath>
      </m:oMathPara>
    </w:p>
    <w:p w14:paraId="23B738C9" w14:textId="77777777" w:rsidR="003E19A2" w:rsidRDefault="003E19A2" w:rsidP="003E19A2">
      <w:r>
        <w:t>La suma de todos los respectivos VI para cada tramo dará el valor de inversión de cada tramo de transporte y tramo de subestación.</w:t>
      </w:r>
    </w:p>
    <w:p w14:paraId="49930E7A" w14:textId="77777777" w:rsidR="003E19A2" w:rsidRDefault="003E19A2" w:rsidP="003E19A2"/>
    <w:p w14:paraId="470A2EFE" w14:textId="214E07EF" w:rsidR="003E19A2" w:rsidRDefault="003E19A2" w:rsidP="003E19A2">
      <w:r>
        <w:t xml:space="preserve">El cálculo ha sido realizado en la base de datos SQL, de tal forma que considera todos los elementos relacionados a un tramo sin la posibilidad de poder omitir elementos ya que se encuentran claramente relacionados. </w:t>
      </w:r>
    </w:p>
    <w:p w14:paraId="6CB9940C" w14:textId="77777777" w:rsidR="003E19A2" w:rsidRDefault="003E19A2" w:rsidP="003E19A2">
      <w:r>
        <w:t xml:space="preserve">Se ha creado una nueva tabla que a modo de resumen entrega el V.I. de cada tramo de transporte o de subestación. </w:t>
      </w:r>
    </w:p>
    <w:p w14:paraId="26717F08" w14:textId="77777777" w:rsidR="003E19A2" w:rsidRDefault="003E19A2" w:rsidP="003E19A2">
      <w:pPr>
        <w:pStyle w:val="Ttulo2"/>
      </w:pPr>
      <w:bookmarkStart w:id="286" w:name="_Toc34687261"/>
      <w:r>
        <w:t>Resultados</w:t>
      </w:r>
      <w:bookmarkEnd w:id="286"/>
    </w:p>
    <w:p w14:paraId="6B231452" w14:textId="77777777" w:rsidR="003E19A2" w:rsidRDefault="003E19A2" w:rsidP="003E19A2">
      <w:r>
        <w:t>Los resultados obenidos se encuentran en el Anexo VI_9 Cálculo del VI. Se incluye archivos de resultados en detalle y de resumen.</w:t>
      </w:r>
    </w:p>
    <w:p w14:paraId="03C2F3FF" w14:textId="04A37E01" w:rsidR="003E19A2" w:rsidRDefault="003E19A2" w:rsidP="003E19A2">
      <w:r>
        <w:t>Los resultados finales totales se muestran en las tablas siguientes:</w:t>
      </w:r>
    </w:p>
    <w:p w14:paraId="330CDA49" w14:textId="77777777" w:rsidR="003E19A2" w:rsidRDefault="003E19A2" w:rsidP="003E19A2">
      <w:pPr>
        <w:pStyle w:val="Ttulo3"/>
      </w:pPr>
      <w:bookmarkStart w:id="287" w:name="_Toc34640155"/>
      <w:bookmarkStart w:id="288" w:name="_Toc34655179"/>
      <w:bookmarkStart w:id="289" w:name="_Toc34687262"/>
      <w:r>
        <w:t>Valor de Inversión por empresa propietaria</w:t>
      </w:r>
      <w:bookmarkEnd w:id="287"/>
      <w:bookmarkEnd w:id="288"/>
      <w:bookmarkEnd w:id="289"/>
    </w:p>
    <w:p w14:paraId="0F1EEE0D" w14:textId="6EE81F4E" w:rsidR="003E19A2" w:rsidRPr="00E1571A" w:rsidRDefault="003E19A2" w:rsidP="003E19A2">
      <w:pPr>
        <w:pStyle w:val="Descripcin"/>
        <w:jc w:val="center"/>
        <w:rPr>
          <w:b/>
          <w:bCs/>
          <w:color w:val="auto"/>
          <w:sz w:val="20"/>
          <w:szCs w:val="20"/>
        </w:rPr>
      </w:pPr>
      <w:bookmarkStart w:id="290" w:name="_Toc34640122"/>
      <w:bookmarkStart w:id="291" w:name="_Toc34655190"/>
      <w:r w:rsidRPr="00E1571A">
        <w:rPr>
          <w:b/>
          <w:bCs/>
          <w:sz w:val="20"/>
          <w:szCs w:val="20"/>
        </w:rPr>
        <w:t xml:space="preserve">Tabla </w:t>
      </w:r>
      <w:r w:rsidRPr="00E1571A">
        <w:rPr>
          <w:b/>
          <w:bCs/>
          <w:sz w:val="20"/>
          <w:szCs w:val="20"/>
        </w:rPr>
        <w:fldChar w:fldCharType="begin"/>
      </w:r>
      <w:r w:rsidRPr="00E1571A">
        <w:rPr>
          <w:b/>
          <w:bCs/>
          <w:sz w:val="20"/>
          <w:szCs w:val="20"/>
        </w:rPr>
        <w:instrText xml:space="preserve"> SEQ Tabla \* ARABIC </w:instrText>
      </w:r>
      <w:r w:rsidRPr="00E1571A">
        <w:rPr>
          <w:b/>
          <w:bCs/>
          <w:sz w:val="20"/>
          <w:szCs w:val="20"/>
        </w:rPr>
        <w:fldChar w:fldCharType="separate"/>
      </w:r>
      <w:r w:rsidR="00F14BED">
        <w:rPr>
          <w:b/>
          <w:bCs/>
          <w:noProof/>
          <w:sz w:val="20"/>
          <w:szCs w:val="20"/>
        </w:rPr>
        <w:t>7</w:t>
      </w:r>
      <w:r w:rsidRPr="00E1571A">
        <w:rPr>
          <w:b/>
          <w:bCs/>
          <w:sz w:val="20"/>
          <w:szCs w:val="20"/>
        </w:rPr>
        <w:fldChar w:fldCharType="end"/>
      </w:r>
      <w:r w:rsidRPr="00E1571A">
        <w:rPr>
          <w:b/>
          <w:bCs/>
          <w:color w:val="auto"/>
          <w:sz w:val="20"/>
          <w:szCs w:val="20"/>
        </w:rPr>
        <w:t>: Valor de Inversión (V.I.) por empresa propietaria</w:t>
      </w:r>
      <w:bookmarkEnd w:id="290"/>
      <w:bookmarkEnd w:id="291"/>
    </w:p>
    <w:tbl>
      <w:tblPr>
        <w:tblW w:w="-1" w:type="dxa"/>
        <w:jc w:val="center"/>
        <w:tblLayout w:type="fixed"/>
        <w:tblCellMar>
          <w:left w:w="57" w:type="dxa"/>
          <w:right w:w="57" w:type="dxa"/>
        </w:tblCellMar>
        <w:tblLook w:val="04A0" w:firstRow="1" w:lastRow="0" w:firstColumn="1" w:lastColumn="0" w:noHBand="0" w:noVBand="1"/>
      </w:tblPr>
      <w:tblGrid>
        <w:gridCol w:w="1985"/>
        <w:gridCol w:w="3969"/>
        <w:gridCol w:w="2552"/>
      </w:tblGrid>
      <w:tr w:rsidR="003E19A2" w:rsidRPr="00A81CB8" w14:paraId="7C9B3B0B" w14:textId="77777777" w:rsidTr="00725CE1">
        <w:trPr>
          <w:tblHeader/>
          <w:jc w:val="center"/>
        </w:trPr>
        <w:tc>
          <w:tcPr>
            <w:tcW w:w="198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309F1FCC"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IdEmpresaPropietaria</w:t>
            </w:r>
          </w:p>
        </w:tc>
        <w:tc>
          <w:tcPr>
            <w:tcW w:w="396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63939BFD"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Nombre de Empresa</w:t>
            </w:r>
          </w:p>
        </w:tc>
        <w:tc>
          <w:tcPr>
            <w:tcW w:w="25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0D432AB"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Valor de Inversión (V.I.)</w:t>
            </w:r>
          </w:p>
          <w:p w14:paraId="57A8AA54"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USD (Dólares de USA)</w:t>
            </w:r>
          </w:p>
        </w:tc>
      </w:tr>
      <w:tr w:rsidR="003E19A2" w:rsidRPr="00A81CB8" w14:paraId="2A99729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A350FB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10A940C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TRANSELEC S.A.</w:t>
            </w:r>
          </w:p>
        </w:tc>
        <w:tc>
          <w:tcPr>
            <w:tcW w:w="2552" w:type="dxa"/>
            <w:tcBorders>
              <w:top w:val="nil"/>
              <w:left w:val="nil"/>
              <w:bottom w:val="single" w:sz="4" w:space="0" w:color="auto"/>
              <w:right w:val="single" w:sz="4" w:space="0" w:color="auto"/>
            </w:tcBorders>
            <w:shd w:val="clear" w:color="auto" w:fill="auto"/>
            <w:noWrap/>
            <w:vAlign w:val="center"/>
            <w:hideMark/>
          </w:tcPr>
          <w:p w14:paraId="482766A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1.881.029.593,94</w:t>
            </w:r>
          </w:p>
        </w:tc>
      </w:tr>
      <w:tr w:rsidR="003E19A2" w:rsidRPr="00A81CB8" w14:paraId="4506D8A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BCD58C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6FD4A3C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AES GENER</w:t>
            </w:r>
          </w:p>
        </w:tc>
        <w:tc>
          <w:tcPr>
            <w:tcW w:w="2552" w:type="dxa"/>
            <w:tcBorders>
              <w:top w:val="nil"/>
              <w:left w:val="nil"/>
              <w:bottom w:val="single" w:sz="4" w:space="0" w:color="auto"/>
              <w:right w:val="single" w:sz="4" w:space="0" w:color="auto"/>
            </w:tcBorders>
            <w:shd w:val="clear" w:color="auto" w:fill="auto"/>
            <w:noWrap/>
            <w:vAlign w:val="center"/>
            <w:hideMark/>
          </w:tcPr>
          <w:p w14:paraId="4B9C44C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56.229.451,20</w:t>
            </w:r>
          </w:p>
        </w:tc>
      </w:tr>
      <w:tr w:rsidR="003E19A2" w:rsidRPr="00A81CB8" w14:paraId="68566D4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2B2B3D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0CAA474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CGE</w:t>
            </w:r>
          </w:p>
        </w:tc>
        <w:tc>
          <w:tcPr>
            <w:tcW w:w="2552" w:type="dxa"/>
            <w:tcBorders>
              <w:top w:val="nil"/>
              <w:left w:val="nil"/>
              <w:bottom w:val="single" w:sz="4" w:space="0" w:color="auto"/>
              <w:right w:val="single" w:sz="4" w:space="0" w:color="auto"/>
            </w:tcBorders>
            <w:shd w:val="clear" w:color="auto" w:fill="auto"/>
            <w:noWrap/>
            <w:vAlign w:val="center"/>
            <w:hideMark/>
          </w:tcPr>
          <w:p w14:paraId="7B7C3DA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13.052.174,67</w:t>
            </w:r>
          </w:p>
        </w:tc>
      </w:tr>
      <w:tr w:rsidR="003E19A2" w:rsidRPr="00A81CB8" w14:paraId="0DD2478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6AC65B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2EC6D42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STS</w:t>
            </w:r>
          </w:p>
        </w:tc>
        <w:tc>
          <w:tcPr>
            <w:tcW w:w="2552" w:type="dxa"/>
            <w:tcBorders>
              <w:top w:val="nil"/>
              <w:left w:val="nil"/>
              <w:bottom w:val="single" w:sz="4" w:space="0" w:color="auto"/>
              <w:right w:val="single" w:sz="4" w:space="0" w:color="auto"/>
            </w:tcBorders>
            <w:shd w:val="clear" w:color="auto" w:fill="auto"/>
            <w:noWrap/>
            <w:vAlign w:val="center"/>
            <w:hideMark/>
          </w:tcPr>
          <w:p w14:paraId="1CC6B31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31.766.365,55</w:t>
            </w:r>
          </w:p>
        </w:tc>
      </w:tr>
      <w:tr w:rsidR="003E19A2" w:rsidRPr="00A81CB8" w14:paraId="3EC9C6E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70F311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P_107</w:t>
            </w:r>
          </w:p>
        </w:tc>
        <w:tc>
          <w:tcPr>
            <w:tcW w:w="3969" w:type="dxa"/>
            <w:tcBorders>
              <w:top w:val="nil"/>
              <w:left w:val="nil"/>
              <w:bottom w:val="single" w:sz="4" w:space="0" w:color="auto"/>
              <w:right w:val="single" w:sz="4" w:space="0" w:color="auto"/>
            </w:tcBorders>
            <w:shd w:val="clear" w:color="auto" w:fill="auto"/>
            <w:noWrap/>
            <w:vAlign w:val="center"/>
            <w:hideMark/>
          </w:tcPr>
          <w:p w14:paraId="7CDBA69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CELTA</w:t>
            </w:r>
          </w:p>
        </w:tc>
        <w:tc>
          <w:tcPr>
            <w:tcW w:w="2552" w:type="dxa"/>
            <w:tcBorders>
              <w:top w:val="nil"/>
              <w:left w:val="nil"/>
              <w:bottom w:val="single" w:sz="4" w:space="0" w:color="auto"/>
              <w:right w:val="single" w:sz="4" w:space="0" w:color="auto"/>
            </w:tcBorders>
            <w:shd w:val="clear" w:color="auto" w:fill="auto"/>
            <w:noWrap/>
            <w:vAlign w:val="center"/>
            <w:hideMark/>
          </w:tcPr>
          <w:p w14:paraId="119290C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0,00</w:t>
            </w:r>
          </w:p>
        </w:tc>
      </w:tr>
      <w:tr w:rsidR="003E19A2" w:rsidRPr="00A81CB8" w14:paraId="1540591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DDFD81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P_111</w:t>
            </w:r>
          </w:p>
        </w:tc>
        <w:tc>
          <w:tcPr>
            <w:tcW w:w="3969" w:type="dxa"/>
            <w:tcBorders>
              <w:top w:val="nil"/>
              <w:left w:val="nil"/>
              <w:bottom w:val="single" w:sz="4" w:space="0" w:color="auto"/>
              <w:right w:val="single" w:sz="4" w:space="0" w:color="auto"/>
            </w:tcBorders>
            <w:shd w:val="clear" w:color="auto" w:fill="auto"/>
            <w:noWrap/>
            <w:vAlign w:val="center"/>
            <w:hideMark/>
          </w:tcPr>
          <w:p w14:paraId="6F70E9B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ENEL DISTRIBUCION S.A</w:t>
            </w:r>
          </w:p>
        </w:tc>
        <w:tc>
          <w:tcPr>
            <w:tcW w:w="2552" w:type="dxa"/>
            <w:tcBorders>
              <w:top w:val="nil"/>
              <w:left w:val="nil"/>
              <w:bottom w:val="single" w:sz="4" w:space="0" w:color="auto"/>
              <w:right w:val="single" w:sz="4" w:space="0" w:color="auto"/>
            </w:tcBorders>
            <w:shd w:val="clear" w:color="auto" w:fill="auto"/>
            <w:noWrap/>
            <w:vAlign w:val="center"/>
            <w:hideMark/>
          </w:tcPr>
          <w:p w14:paraId="59C27CF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96.233.594,61</w:t>
            </w:r>
          </w:p>
        </w:tc>
      </w:tr>
      <w:tr w:rsidR="003E19A2" w:rsidRPr="00A81CB8" w14:paraId="5836BD7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A7510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P_113</w:t>
            </w:r>
          </w:p>
        </w:tc>
        <w:tc>
          <w:tcPr>
            <w:tcW w:w="3969" w:type="dxa"/>
            <w:tcBorders>
              <w:top w:val="nil"/>
              <w:left w:val="nil"/>
              <w:bottom w:val="single" w:sz="4" w:space="0" w:color="auto"/>
              <w:right w:val="single" w:sz="4" w:space="0" w:color="auto"/>
            </w:tcBorders>
            <w:shd w:val="clear" w:color="auto" w:fill="auto"/>
            <w:noWrap/>
            <w:vAlign w:val="center"/>
            <w:hideMark/>
          </w:tcPr>
          <w:p w14:paraId="0DDD3D5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CHILQUINTA ENERGIA</w:t>
            </w:r>
          </w:p>
        </w:tc>
        <w:tc>
          <w:tcPr>
            <w:tcW w:w="2552" w:type="dxa"/>
            <w:tcBorders>
              <w:top w:val="nil"/>
              <w:left w:val="nil"/>
              <w:bottom w:val="single" w:sz="4" w:space="0" w:color="auto"/>
              <w:right w:val="single" w:sz="4" w:space="0" w:color="auto"/>
            </w:tcBorders>
            <w:shd w:val="clear" w:color="auto" w:fill="auto"/>
            <w:noWrap/>
            <w:vAlign w:val="center"/>
            <w:hideMark/>
          </w:tcPr>
          <w:p w14:paraId="7B85D48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26.772.020,60</w:t>
            </w:r>
          </w:p>
        </w:tc>
      </w:tr>
      <w:tr w:rsidR="003E19A2" w:rsidRPr="00A81CB8" w14:paraId="7A5C7F3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70F85A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P_120</w:t>
            </w:r>
          </w:p>
        </w:tc>
        <w:tc>
          <w:tcPr>
            <w:tcW w:w="3969" w:type="dxa"/>
            <w:tcBorders>
              <w:top w:val="nil"/>
              <w:left w:val="nil"/>
              <w:bottom w:val="single" w:sz="4" w:space="0" w:color="auto"/>
              <w:right w:val="single" w:sz="4" w:space="0" w:color="auto"/>
            </w:tcBorders>
            <w:shd w:val="clear" w:color="auto" w:fill="auto"/>
            <w:noWrap/>
            <w:vAlign w:val="center"/>
            <w:hideMark/>
          </w:tcPr>
          <w:p w14:paraId="39862D9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TRANSEMEL</w:t>
            </w:r>
          </w:p>
        </w:tc>
        <w:tc>
          <w:tcPr>
            <w:tcW w:w="2552" w:type="dxa"/>
            <w:tcBorders>
              <w:top w:val="nil"/>
              <w:left w:val="nil"/>
              <w:bottom w:val="single" w:sz="4" w:space="0" w:color="auto"/>
              <w:right w:val="single" w:sz="4" w:space="0" w:color="auto"/>
            </w:tcBorders>
            <w:shd w:val="clear" w:color="auto" w:fill="auto"/>
            <w:noWrap/>
            <w:vAlign w:val="center"/>
            <w:hideMark/>
          </w:tcPr>
          <w:p w14:paraId="6B8F7A8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24.040.064,36</w:t>
            </w:r>
          </w:p>
        </w:tc>
      </w:tr>
      <w:tr w:rsidR="003E19A2" w:rsidRPr="00A81CB8" w14:paraId="08E1100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989F3B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P_122</w:t>
            </w:r>
          </w:p>
        </w:tc>
        <w:tc>
          <w:tcPr>
            <w:tcW w:w="3969" w:type="dxa"/>
            <w:tcBorders>
              <w:top w:val="nil"/>
              <w:left w:val="nil"/>
              <w:bottom w:val="single" w:sz="4" w:space="0" w:color="auto"/>
              <w:right w:val="single" w:sz="4" w:space="0" w:color="auto"/>
            </w:tcBorders>
            <w:shd w:val="clear" w:color="auto" w:fill="auto"/>
            <w:noWrap/>
            <w:vAlign w:val="center"/>
            <w:hideMark/>
          </w:tcPr>
          <w:p w14:paraId="4C589CD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SAESA</w:t>
            </w:r>
          </w:p>
        </w:tc>
        <w:tc>
          <w:tcPr>
            <w:tcW w:w="2552" w:type="dxa"/>
            <w:tcBorders>
              <w:top w:val="nil"/>
              <w:left w:val="nil"/>
              <w:bottom w:val="single" w:sz="4" w:space="0" w:color="auto"/>
              <w:right w:val="single" w:sz="4" w:space="0" w:color="auto"/>
            </w:tcBorders>
            <w:shd w:val="clear" w:color="auto" w:fill="auto"/>
            <w:noWrap/>
            <w:vAlign w:val="center"/>
            <w:hideMark/>
          </w:tcPr>
          <w:p w14:paraId="7E867FC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2.991.168,31</w:t>
            </w:r>
          </w:p>
        </w:tc>
      </w:tr>
      <w:tr w:rsidR="003E19A2" w:rsidRPr="00A81CB8" w14:paraId="67D8F53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D306D1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P_123</w:t>
            </w:r>
          </w:p>
        </w:tc>
        <w:tc>
          <w:tcPr>
            <w:tcW w:w="3969" w:type="dxa"/>
            <w:tcBorders>
              <w:top w:val="nil"/>
              <w:left w:val="nil"/>
              <w:bottom w:val="single" w:sz="4" w:space="0" w:color="auto"/>
              <w:right w:val="single" w:sz="4" w:space="0" w:color="auto"/>
            </w:tcBorders>
            <w:shd w:val="clear" w:color="auto" w:fill="auto"/>
            <w:noWrap/>
            <w:vAlign w:val="center"/>
            <w:hideMark/>
          </w:tcPr>
          <w:p w14:paraId="05D65DC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FRONTEL</w:t>
            </w:r>
          </w:p>
        </w:tc>
        <w:tc>
          <w:tcPr>
            <w:tcW w:w="2552" w:type="dxa"/>
            <w:tcBorders>
              <w:top w:val="nil"/>
              <w:left w:val="nil"/>
              <w:bottom w:val="single" w:sz="4" w:space="0" w:color="auto"/>
              <w:right w:val="single" w:sz="4" w:space="0" w:color="auto"/>
            </w:tcBorders>
            <w:shd w:val="clear" w:color="auto" w:fill="auto"/>
            <w:noWrap/>
            <w:vAlign w:val="center"/>
            <w:hideMark/>
          </w:tcPr>
          <w:p w14:paraId="0BD790C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82.032,07</w:t>
            </w:r>
          </w:p>
        </w:tc>
      </w:tr>
      <w:tr w:rsidR="003E19A2" w:rsidRPr="00A81CB8" w14:paraId="0854C2A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943DBD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P_126</w:t>
            </w:r>
          </w:p>
        </w:tc>
        <w:tc>
          <w:tcPr>
            <w:tcW w:w="3969" w:type="dxa"/>
            <w:tcBorders>
              <w:top w:val="nil"/>
              <w:left w:val="nil"/>
              <w:bottom w:val="single" w:sz="4" w:space="0" w:color="auto"/>
              <w:right w:val="single" w:sz="4" w:space="0" w:color="auto"/>
            </w:tcBorders>
            <w:shd w:val="clear" w:color="auto" w:fill="auto"/>
            <w:noWrap/>
            <w:vAlign w:val="center"/>
            <w:hideMark/>
          </w:tcPr>
          <w:p w14:paraId="0B552B3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TRANSELEC NORTE</w:t>
            </w:r>
          </w:p>
        </w:tc>
        <w:tc>
          <w:tcPr>
            <w:tcW w:w="2552" w:type="dxa"/>
            <w:tcBorders>
              <w:top w:val="nil"/>
              <w:left w:val="nil"/>
              <w:bottom w:val="single" w:sz="4" w:space="0" w:color="auto"/>
              <w:right w:val="single" w:sz="4" w:space="0" w:color="auto"/>
            </w:tcBorders>
            <w:shd w:val="clear" w:color="auto" w:fill="auto"/>
            <w:noWrap/>
            <w:vAlign w:val="center"/>
            <w:hideMark/>
          </w:tcPr>
          <w:p w14:paraId="5D6860C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14.346,86</w:t>
            </w:r>
          </w:p>
        </w:tc>
      </w:tr>
      <w:tr w:rsidR="003E19A2" w:rsidRPr="00A81CB8" w14:paraId="7F572D4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6BC41C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P_133</w:t>
            </w:r>
          </w:p>
        </w:tc>
        <w:tc>
          <w:tcPr>
            <w:tcW w:w="3969" w:type="dxa"/>
            <w:tcBorders>
              <w:top w:val="nil"/>
              <w:left w:val="nil"/>
              <w:bottom w:val="single" w:sz="4" w:space="0" w:color="auto"/>
              <w:right w:val="single" w:sz="4" w:space="0" w:color="auto"/>
            </w:tcBorders>
            <w:shd w:val="clear" w:color="auto" w:fill="auto"/>
            <w:noWrap/>
            <w:vAlign w:val="center"/>
            <w:hideMark/>
          </w:tcPr>
          <w:p w14:paraId="6F34699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CODELCO NORTE</w:t>
            </w:r>
          </w:p>
        </w:tc>
        <w:tc>
          <w:tcPr>
            <w:tcW w:w="2552" w:type="dxa"/>
            <w:tcBorders>
              <w:top w:val="nil"/>
              <w:left w:val="nil"/>
              <w:bottom w:val="single" w:sz="4" w:space="0" w:color="auto"/>
              <w:right w:val="single" w:sz="4" w:space="0" w:color="auto"/>
            </w:tcBorders>
            <w:shd w:val="clear" w:color="auto" w:fill="auto"/>
            <w:noWrap/>
            <w:vAlign w:val="center"/>
            <w:hideMark/>
          </w:tcPr>
          <w:p w14:paraId="48C3170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13.542.244,04</w:t>
            </w:r>
          </w:p>
        </w:tc>
      </w:tr>
      <w:tr w:rsidR="003E19A2" w:rsidRPr="00A81CB8" w14:paraId="2B4A7AB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71C0E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7D03624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E-CL</w:t>
            </w:r>
          </w:p>
        </w:tc>
        <w:tc>
          <w:tcPr>
            <w:tcW w:w="2552" w:type="dxa"/>
            <w:tcBorders>
              <w:top w:val="nil"/>
              <w:left w:val="nil"/>
              <w:bottom w:val="single" w:sz="4" w:space="0" w:color="auto"/>
              <w:right w:val="single" w:sz="4" w:space="0" w:color="auto"/>
            </w:tcBorders>
            <w:shd w:val="clear" w:color="auto" w:fill="auto"/>
            <w:noWrap/>
            <w:vAlign w:val="center"/>
            <w:hideMark/>
          </w:tcPr>
          <w:p w14:paraId="05DDDBE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77.598.925,78</w:t>
            </w:r>
          </w:p>
        </w:tc>
      </w:tr>
      <w:tr w:rsidR="003E19A2" w:rsidRPr="00A81CB8" w14:paraId="3E52304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353C9F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P_202</w:t>
            </w:r>
          </w:p>
        </w:tc>
        <w:tc>
          <w:tcPr>
            <w:tcW w:w="3969" w:type="dxa"/>
            <w:tcBorders>
              <w:top w:val="nil"/>
              <w:left w:val="nil"/>
              <w:bottom w:val="single" w:sz="4" w:space="0" w:color="auto"/>
              <w:right w:val="single" w:sz="4" w:space="0" w:color="auto"/>
            </w:tcBorders>
            <w:shd w:val="clear" w:color="auto" w:fill="auto"/>
            <w:noWrap/>
            <w:vAlign w:val="center"/>
            <w:hideMark/>
          </w:tcPr>
          <w:p w14:paraId="207763F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Agricola Ponce</w:t>
            </w:r>
          </w:p>
        </w:tc>
        <w:tc>
          <w:tcPr>
            <w:tcW w:w="2552" w:type="dxa"/>
            <w:tcBorders>
              <w:top w:val="nil"/>
              <w:left w:val="nil"/>
              <w:bottom w:val="single" w:sz="4" w:space="0" w:color="auto"/>
              <w:right w:val="single" w:sz="4" w:space="0" w:color="auto"/>
            </w:tcBorders>
            <w:shd w:val="clear" w:color="auto" w:fill="auto"/>
            <w:noWrap/>
            <w:vAlign w:val="center"/>
            <w:hideMark/>
          </w:tcPr>
          <w:p w14:paraId="1F41E74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83,05</w:t>
            </w:r>
          </w:p>
        </w:tc>
      </w:tr>
      <w:tr w:rsidR="003E19A2" w:rsidRPr="00A81CB8" w14:paraId="467F235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21341C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P_206</w:t>
            </w:r>
          </w:p>
        </w:tc>
        <w:tc>
          <w:tcPr>
            <w:tcW w:w="3969" w:type="dxa"/>
            <w:tcBorders>
              <w:top w:val="nil"/>
              <w:left w:val="nil"/>
              <w:bottom w:val="single" w:sz="4" w:space="0" w:color="auto"/>
              <w:right w:val="single" w:sz="4" w:space="0" w:color="auto"/>
            </w:tcBorders>
            <w:shd w:val="clear" w:color="auto" w:fill="auto"/>
            <w:noWrap/>
            <w:vAlign w:val="center"/>
            <w:hideMark/>
          </w:tcPr>
          <w:p w14:paraId="67CF404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Algorta Norte</w:t>
            </w:r>
          </w:p>
        </w:tc>
        <w:tc>
          <w:tcPr>
            <w:tcW w:w="2552" w:type="dxa"/>
            <w:tcBorders>
              <w:top w:val="nil"/>
              <w:left w:val="nil"/>
              <w:bottom w:val="single" w:sz="4" w:space="0" w:color="auto"/>
              <w:right w:val="single" w:sz="4" w:space="0" w:color="auto"/>
            </w:tcBorders>
            <w:shd w:val="clear" w:color="auto" w:fill="auto"/>
            <w:noWrap/>
            <w:vAlign w:val="center"/>
            <w:hideMark/>
          </w:tcPr>
          <w:p w14:paraId="14E23E5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106,16</w:t>
            </w:r>
          </w:p>
        </w:tc>
      </w:tr>
      <w:tr w:rsidR="003E19A2" w:rsidRPr="00A81CB8" w14:paraId="5DFC7D3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67BAB3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P_208</w:t>
            </w:r>
          </w:p>
        </w:tc>
        <w:tc>
          <w:tcPr>
            <w:tcW w:w="3969" w:type="dxa"/>
            <w:tcBorders>
              <w:top w:val="nil"/>
              <w:left w:val="nil"/>
              <w:bottom w:val="single" w:sz="4" w:space="0" w:color="auto"/>
              <w:right w:val="single" w:sz="4" w:space="0" w:color="auto"/>
            </w:tcBorders>
            <w:shd w:val="clear" w:color="auto" w:fill="auto"/>
            <w:noWrap/>
            <w:vAlign w:val="center"/>
            <w:hideMark/>
          </w:tcPr>
          <w:p w14:paraId="2164BC1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AJTE</w:t>
            </w:r>
          </w:p>
        </w:tc>
        <w:tc>
          <w:tcPr>
            <w:tcW w:w="2552" w:type="dxa"/>
            <w:tcBorders>
              <w:top w:val="nil"/>
              <w:left w:val="nil"/>
              <w:bottom w:val="single" w:sz="4" w:space="0" w:color="auto"/>
              <w:right w:val="single" w:sz="4" w:space="0" w:color="auto"/>
            </w:tcBorders>
            <w:shd w:val="clear" w:color="auto" w:fill="auto"/>
            <w:noWrap/>
            <w:vAlign w:val="center"/>
            <w:hideMark/>
          </w:tcPr>
          <w:p w14:paraId="3091A1E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62.659.662,07</w:t>
            </w:r>
          </w:p>
        </w:tc>
      </w:tr>
      <w:tr w:rsidR="003E19A2" w:rsidRPr="00A81CB8" w14:paraId="7F74558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A5DB66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P_235</w:t>
            </w:r>
          </w:p>
        </w:tc>
        <w:tc>
          <w:tcPr>
            <w:tcW w:w="3969" w:type="dxa"/>
            <w:tcBorders>
              <w:top w:val="nil"/>
              <w:left w:val="nil"/>
              <w:bottom w:val="single" w:sz="4" w:space="0" w:color="auto"/>
              <w:right w:val="single" w:sz="4" w:space="0" w:color="auto"/>
            </w:tcBorders>
            <w:shd w:val="clear" w:color="auto" w:fill="auto"/>
            <w:noWrap/>
            <w:vAlign w:val="center"/>
            <w:hideMark/>
          </w:tcPr>
          <w:p w14:paraId="382C339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Chungungo</w:t>
            </w:r>
          </w:p>
        </w:tc>
        <w:tc>
          <w:tcPr>
            <w:tcW w:w="2552" w:type="dxa"/>
            <w:tcBorders>
              <w:top w:val="nil"/>
              <w:left w:val="nil"/>
              <w:bottom w:val="single" w:sz="4" w:space="0" w:color="auto"/>
              <w:right w:val="single" w:sz="4" w:space="0" w:color="auto"/>
            </w:tcBorders>
            <w:shd w:val="clear" w:color="auto" w:fill="auto"/>
            <w:noWrap/>
            <w:vAlign w:val="center"/>
            <w:hideMark/>
          </w:tcPr>
          <w:p w14:paraId="12C3DFF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409.942,88</w:t>
            </w:r>
          </w:p>
        </w:tc>
      </w:tr>
      <w:tr w:rsidR="003E19A2" w:rsidRPr="00A81CB8" w14:paraId="31910CC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D0228D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P_241</w:t>
            </w:r>
          </w:p>
        </w:tc>
        <w:tc>
          <w:tcPr>
            <w:tcW w:w="3969" w:type="dxa"/>
            <w:tcBorders>
              <w:top w:val="nil"/>
              <w:left w:val="nil"/>
              <w:bottom w:val="single" w:sz="4" w:space="0" w:color="auto"/>
              <w:right w:val="single" w:sz="4" w:space="0" w:color="auto"/>
            </w:tcBorders>
            <w:shd w:val="clear" w:color="auto" w:fill="auto"/>
            <w:noWrap/>
            <w:vAlign w:val="center"/>
            <w:hideMark/>
          </w:tcPr>
          <w:p w14:paraId="46E558E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Codelco Chile - División Andina</w:t>
            </w:r>
          </w:p>
        </w:tc>
        <w:tc>
          <w:tcPr>
            <w:tcW w:w="2552" w:type="dxa"/>
            <w:tcBorders>
              <w:top w:val="nil"/>
              <w:left w:val="nil"/>
              <w:bottom w:val="single" w:sz="4" w:space="0" w:color="auto"/>
              <w:right w:val="single" w:sz="4" w:space="0" w:color="auto"/>
            </w:tcBorders>
            <w:shd w:val="clear" w:color="auto" w:fill="auto"/>
            <w:noWrap/>
            <w:vAlign w:val="center"/>
            <w:hideMark/>
          </w:tcPr>
          <w:p w14:paraId="67909AD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369.122,39</w:t>
            </w:r>
          </w:p>
        </w:tc>
      </w:tr>
      <w:tr w:rsidR="003E19A2" w:rsidRPr="00A81CB8" w14:paraId="25B22AD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4A45D5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509D1EF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Colbún Transmisión</w:t>
            </w:r>
          </w:p>
        </w:tc>
        <w:tc>
          <w:tcPr>
            <w:tcW w:w="2552" w:type="dxa"/>
            <w:tcBorders>
              <w:top w:val="nil"/>
              <w:left w:val="nil"/>
              <w:bottom w:val="single" w:sz="4" w:space="0" w:color="auto"/>
              <w:right w:val="single" w:sz="4" w:space="0" w:color="auto"/>
            </w:tcBorders>
            <w:shd w:val="clear" w:color="auto" w:fill="auto"/>
            <w:noWrap/>
            <w:vAlign w:val="center"/>
            <w:hideMark/>
          </w:tcPr>
          <w:p w14:paraId="36BA574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231.093.135,76</w:t>
            </w:r>
          </w:p>
        </w:tc>
      </w:tr>
      <w:tr w:rsidR="003E19A2" w:rsidRPr="00A81CB8" w14:paraId="5D865BE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F212B0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P_255</w:t>
            </w:r>
          </w:p>
        </w:tc>
        <w:tc>
          <w:tcPr>
            <w:tcW w:w="3969" w:type="dxa"/>
            <w:tcBorders>
              <w:top w:val="nil"/>
              <w:left w:val="nil"/>
              <w:bottom w:val="single" w:sz="4" w:space="0" w:color="auto"/>
              <w:right w:val="single" w:sz="4" w:space="0" w:color="auto"/>
            </w:tcBorders>
            <w:shd w:val="clear" w:color="auto" w:fill="auto"/>
            <w:noWrap/>
            <w:vAlign w:val="center"/>
            <w:hideMark/>
          </w:tcPr>
          <w:p w14:paraId="767B9D1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CAP CMP</w:t>
            </w:r>
          </w:p>
        </w:tc>
        <w:tc>
          <w:tcPr>
            <w:tcW w:w="2552" w:type="dxa"/>
            <w:tcBorders>
              <w:top w:val="nil"/>
              <w:left w:val="nil"/>
              <w:bottom w:val="single" w:sz="4" w:space="0" w:color="auto"/>
              <w:right w:val="single" w:sz="4" w:space="0" w:color="auto"/>
            </w:tcBorders>
            <w:shd w:val="clear" w:color="auto" w:fill="auto"/>
            <w:noWrap/>
            <w:vAlign w:val="center"/>
            <w:hideMark/>
          </w:tcPr>
          <w:p w14:paraId="7F46E32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91.002,01</w:t>
            </w:r>
          </w:p>
        </w:tc>
      </w:tr>
      <w:tr w:rsidR="003E19A2" w:rsidRPr="00A81CB8" w14:paraId="6F8CCEF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680F1C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P_257</w:t>
            </w:r>
          </w:p>
        </w:tc>
        <w:tc>
          <w:tcPr>
            <w:tcW w:w="3969" w:type="dxa"/>
            <w:tcBorders>
              <w:top w:val="nil"/>
              <w:left w:val="nil"/>
              <w:bottom w:val="single" w:sz="4" w:space="0" w:color="auto"/>
              <w:right w:val="single" w:sz="4" w:space="0" w:color="auto"/>
            </w:tcBorders>
            <w:shd w:val="clear" w:color="auto" w:fill="auto"/>
            <w:noWrap/>
            <w:vAlign w:val="center"/>
            <w:hideMark/>
          </w:tcPr>
          <w:p w14:paraId="1BC7597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Minera Maricunga</w:t>
            </w:r>
          </w:p>
        </w:tc>
        <w:tc>
          <w:tcPr>
            <w:tcW w:w="2552" w:type="dxa"/>
            <w:tcBorders>
              <w:top w:val="nil"/>
              <w:left w:val="nil"/>
              <w:bottom w:val="single" w:sz="4" w:space="0" w:color="auto"/>
              <w:right w:val="single" w:sz="4" w:space="0" w:color="auto"/>
            </w:tcBorders>
            <w:shd w:val="clear" w:color="auto" w:fill="auto"/>
            <w:noWrap/>
            <w:vAlign w:val="center"/>
            <w:hideMark/>
          </w:tcPr>
          <w:p w14:paraId="49C0411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24.967,45</w:t>
            </w:r>
          </w:p>
        </w:tc>
      </w:tr>
      <w:tr w:rsidR="003E19A2" w:rsidRPr="00A81CB8" w14:paraId="20C8198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7EBBC0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P_290</w:t>
            </w:r>
          </w:p>
        </w:tc>
        <w:tc>
          <w:tcPr>
            <w:tcW w:w="3969" w:type="dxa"/>
            <w:tcBorders>
              <w:top w:val="nil"/>
              <w:left w:val="nil"/>
              <w:bottom w:val="single" w:sz="4" w:space="0" w:color="auto"/>
              <w:right w:val="single" w:sz="4" w:space="0" w:color="auto"/>
            </w:tcBorders>
            <w:shd w:val="clear" w:color="auto" w:fill="auto"/>
            <w:noWrap/>
            <w:vAlign w:val="center"/>
            <w:hideMark/>
          </w:tcPr>
          <w:p w14:paraId="7998651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Eletrans</w:t>
            </w:r>
          </w:p>
        </w:tc>
        <w:tc>
          <w:tcPr>
            <w:tcW w:w="2552" w:type="dxa"/>
            <w:tcBorders>
              <w:top w:val="nil"/>
              <w:left w:val="nil"/>
              <w:bottom w:val="single" w:sz="4" w:space="0" w:color="auto"/>
              <w:right w:val="single" w:sz="4" w:space="0" w:color="auto"/>
            </w:tcBorders>
            <w:shd w:val="clear" w:color="auto" w:fill="auto"/>
            <w:noWrap/>
            <w:vAlign w:val="center"/>
            <w:hideMark/>
          </w:tcPr>
          <w:p w14:paraId="666A8DA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32.963.788,48</w:t>
            </w:r>
          </w:p>
        </w:tc>
      </w:tr>
      <w:tr w:rsidR="003E19A2" w:rsidRPr="00A81CB8" w14:paraId="7CCB9B5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891BA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P_315</w:t>
            </w:r>
          </w:p>
        </w:tc>
        <w:tc>
          <w:tcPr>
            <w:tcW w:w="3969" w:type="dxa"/>
            <w:tcBorders>
              <w:top w:val="nil"/>
              <w:left w:val="nil"/>
              <w:bottom w:val="single" w:sz="4" w:space="0" w:color="auto"/>
              <w:right w:val="single" w:sz="4" w:space="0" w:color="auto"/>
            </w:tcBorders>
            <w:shd w:val="clear" w:color="auto" w:fill="auto"/>
            <w:noWrap/>
            <w:vAlign w:val="center"/>
            <w:hideMark/>
          </w:tcPr>
          <w:p w14:paraId="21F7937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Enel Generación</w:t>
            </w:r>
          </w:p>
        </w:tc>
        <w:tc>
          <w:tcPr>
            <w:tcW w:w="2552" w:type="dxa"/>
            <w:tcBorders>
              <w:top w:val="nil"/>
              <w:left w:val="nil"/>
              <w:bottom w:val="single" w:sz="4" w:space="0" w:color="auto"/>
              <w:right w:val="single" w:sz="4" w:space="0" w:color="auto"/>
            </w:tcBorders>
            <w:shd w:val="clear" w:color="auto" w:fill="auto"/>
            <w:noWrap/>
            <w:vAlign w:val="center"/>
            <w:hideMark/>
          </w:tcPr>
          <w:p w14:paraId="31E0167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353,55</w:t>
            </w:r>
          </w:p>
        </w:tc>
      </w:tr>
      <w:tr w:rsidR="003E19A2" w:rsidRPr="00A81CB8" w14:paraId="1B2DF59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A1341F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P_344</w:t>
            </w:r>
          </w:p>
        </w:tc>
        <w:tc>
          <w:tcPr>
            <w:tcW w:w="3969" w:type="dxa"/>
            <w:tcBorders>
              <w:top w:val="nil"/>
              <w:left w:val="nil"/>
              <w:bottom w:val="single" w:sz="4" w:space="0" w:color="auto"/>
              <w:right w:val="single" w:sz="4" w:space="0" w:color="auto"/>
            </w:tcBorders>
            <w:shd w:val="clear" w:color="auto" w:fill="auto"/>
            <w:noWrap/>
            <w:vAlign w:val="center"/>
            <w:hideMark/>
          </w:tcPr>
          <w:p w14:paraId="3FD6167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Solar SpA</w:t>
            </w:r>
          </w:p>
        </w:tc>
        <w:tc>
          <w:tcPr>
            <w:tcW w:w="2552" w:type="dxa"/>
            <w:tcBorders>
              <w:top w:val="nil"/>
              <w:left w:val="nil"/>
              <w:bottom w:val="single" w:sz="4" w:space="0" w:color="auto"/>
              <w:right w:val="single" w:sz="4" w:space="0" w:color="auto"/>
            </w:tcBorders>
            <w:shd w:val="clear" w:color="auto" w:fill="auto"/>
            <w:noWrap/>
            <w:vAlign w:val="center"/>
            <w:hideMark/>
          </w:tcPr>
          <w:p w14:paraId="1328B17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39.852,51</w:t>
            </w:r>
          </w:p>
        </w:tc>
      </w:tr>
      <w:tr w:rsidR="003E19A2" w:rsidRPr="00A81CB8" w14:paraId="5CEAD22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D33218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P_418</w:t>
            </w:r>
          </w:p>
        </w:tc>
        <w:tc>
          <w:tcPr>
            <w:tcW w:w="3969" w:type="dxa"/>
            <w:tcBorders>
              <w:top w:val="nil"/>
              <w:left w:val="nil"/>
              <w:bottom w:val="single" w:sz="4" w:space="0" w:color="auto"/>
              <w:right w:val="single" w:sz="4" w:space="0" w:color="auto"/>
            </w:tcBorders>
            <w:shd w:val="clear" w:color="auto" w:fill="auto"/>
            <w:noWrap/>
            <w:vAlign w:val="center"/>
            <w:hideMark/>
          </w:tcPr>
          <w:p w14:paraId="3D9B28E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Minera Escondida</w:t>
            </w:r>
          </w:p>
        </w:tc>
        <w:tc>
          <w:tcPr>
            <w:tcW w:w="2552" w:type="dxa"/>
            <w:tcBorders>
              <w:top w:val="nil"/>
              <w:left w:val="nil"/>
              <w:bottom w:val="single" w:sz="4" w:space="0" w:color="auto"/>
              <w:right w:val="single" w:sz="4" w:space="0" w:color="auto"/>
            </w:tcBorders>
            <w:shd w:val="clear" w:color="auto" w:fill="auto"/>
            <w:noWrap/>
            <w:vAlign w:val="center"/>
            <w:hideMark/>
          </w:tcPr>
          <w:p w14:paraId="047D7B2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82.318.998,82</w:t>
            </w:r>
          </w:p>
        </w:tc>
      </w:tr>
      <w:tr w:rsidR="003E19A2" w:rsidRPr="00A81CB8" w14:paraId="32ABA68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8CD81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P_440</w:t>
            </w:r>
          </w:p>
        </w:tc>
        <w:tc>
          <w:tcPr>
            <w:tcW w:w="3969" w:type="dxa"/>
            <w:tcBorders>
              <w:top w:val="nil"/>
              <w:left w:val="nil"/>
              <w:bottom w:val="single" w:sz="4" w:space="0" w:color="auto"/>
              <w:right w:val="single" w:sz="4" w:space="0" w:color="auto"/>
            </w:tcBorders>
            <w:shd w:val="clear" w:color="auto" w:fill="auto"/>
            <w:noWrap/>
            <w:vAlign w:val="center"/>
            <w:hideMark/>
          </w:tcPr>
          <w:p w14:paraId="314BC85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Parque Eólico El Arrayán</w:t>
            </w:r>
          </w:p>
        </w:tc>
        <w:tc>
          <w:tcPr>
            <w:tcW w:w="2552" w:type="dxa"/>
            <w:tcBorders>
              <w:top w:val="nil"/>
              <w:left w:val="nil"/>
              <w:bottom w:val="single" w:sz="4" w:space="0" w:color="auto"/>
              <w:right w:val="single" w:sz="4" w:space="0" w:color="auto"/>
            </w:tcBorders>
            <w:shd w:val="clear" w:color="auto" w:fill="auto"/>
            <w:noWrap/>
            <w:vAlign w:val="center"/>
            <w:hideMark/>
          </w:tcPr>
          <w:p w14:paraId="4351C2D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213.839,20</w:t>
            </w:r>
          </w:p>
        </w:tc>
      </w:tr>
      <w:tr w:rsidR="003E19A2" w:rsidRPr="00A81CB8" w14:paraId="4AF3C94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E1FE09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P_442</w:t>
            </w:r>
          </w:p>
        </w:tc>
        <w:tc>
          <w:tcPr>
            <w:tcW w:w="3969" w:type="dxa"/>
            <w:tcBorders>
              <w:top w:val="nil"/>
              <w:left w:val="nil"/>
              <w:bottom w:val="single" w:sz="4" w:space="0" w:color="auto"/>
              <w:right w:val="single" w:sz="4" w:space="0" w:color="auto"/>
            </w:tcBorders>
            <w:shd w:val="clear" w:color="auto" w:fill="auto"/>
            <w:noWrap/>
            <w:vAlign w:val="center"/>
            <w:hideMark/>
          </w:tcPr>
          <w:p w14:paraId="27F78AA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Parque Eólico Los Cururos</w:t>
            </w:r>
          </w:p>
        </w:tc>
        <w:tc>
          <w:tcPr>
            <w:tcW w:w="2552" w:type="dxa"/>
            <w:tcBorders>
              <w:top w:val="nil"/>
              <w:left w:val="nil"/>
              <w:bottom w:val="single" w:sz="4" w:space="0" w:color="auto"/>
              <w:right w:val="single" w:sz="4" w:space="0" w:color="auto"/>
            </w:tcBorders>
            <w:shd w:val="clear" w:color="auto" w:fill="auto"/>
            <w:noWrap/>
            <w:vAlign w:val="center"/>
            <w:hideMark/>
          </w:tcPr>
          <w:p w14:paraId="5E8FBA8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183.292,57</w:t>
            </w:r>
          </w:p>
        </w:tc>
      </w:tr>
      <w:tr w:rsidR="003E19A2" w:rsidRPr="00A81CB8" w14:paraId="3906A19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57D626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P_446</w:t>
            </w:r>
          </w:p>
        </w:tc>
        <w:tc>
          <w:tcPr>
            <w:tcW w:w="3969" w:type="dxa"/>
            <w:tcBorders>
              <w:top w:val="nil"/>
              <w:left w:val="nil"/>
              <w:bottom w:val="single" w:sz="4" w:space="0" w:color="auto"/>
              <w:right w:val="single" w:sz="4" w:space="0" w:color="auto"/>
            </w:tcBorders>
            <w:shd w:val="clear" w:color="auto" w:fill="auto"/>
            <w:noWrap/>
            <w:vAlign w:val="center"/>
            <w:hideMark/>
          </w:tcPr>
          <w:p w14:paraId="36354A2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Luz del Norte</w:t>
            </w:r>
          </w:p>
        </w:tc>
        <w:tc>
          <w:tcPr>
            <w:tcW w:w="2552" w:type="dxa"/>
            <w:tcBorders>
              <w:top w:val="nil"/>
              <w:left w:val="nil"/>
              <w:bottom w:val="single" w:sz="4" w:space="0" w:color="auto"/>
              <w:right w:val="single" w:sz="4" w:space="0" w:color="auto"/>
            </w:tcBorders>
            <w:shd w:val="clear" w:color="auto" w:fill="auto"/>
            <w:noWrap/>
            <w:vAlign w:val="center"/>
            <w:hideMark/>
          </w:tcPr>
          <w:p w14:paraId="3569DB1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153.060,55</w:t>
            </w:r>
          </w:p>
        </w:tc>
      </w:tr>
      <w:tr w:rsidR="003E19A2" w:rsidRPr="00A81CB8" w14:paraId="37376DD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71624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P_476</w:t>
            </w:r>
          </w:p>
        </w:tc>
        <w:tc>
          <w:tcPr>
            <w:tcW w:w="3969" w:type="dxa"/>
            <w:tcBorders>
              <w:top w:val="nil"/>
              <w:left w:val="nil"/>
              <w:bottom w:val="single" w:sz="4" w:space="0" w:color="auto"/>
              <w:right w:val="single" w:sz="4" w:space="0" w:color="auto"/>
            </w:tcBorders>
            <w:shd w:val="clear" w:color="auto" w:fill="auto"/>
            <w:noWrap/>
            <w:vAlign w:val="center"/>
            <w:hideMark/>
          </w:tcPr>
          <w:p w14:paraId="6ED47B3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STN</w:t>
            </w:r>
          </w:p>
        </w:tc>
        <w:tc>
          <w:tcPr>
            <w:tcW w:w="2552" w:type="dxa"/>
            <w:tcBorders>
              <w:top w:val="nil"/>
              <w:left w:val="nil"/>
              <w:bottom w:val="single" w:sz="4" w:space="0" w:color="auto"/>
              <w:right w:val="single" w:sz="4" w:space="0" w:color="auto"/>
            </w:tcBorders>
            <w:shd w:val="clear" w:color="auto" w:fill="auto"/>
            <w:noWrap/>
            <w:vAlign w:val="center"/>
            <w:hideMark/>
          </w:tcPr>
          <w:p w14:paraId="6887A7A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40.641.526,39</w:t>
            </w:r>
          </w:p>
        </w:tc>
      </w:tr>
      <w:tr w:rsidR="003E19A2" w:rsidRPr="00A81CB8" w14:paraId="2E415BB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47D7F1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P_480</w:t>
            </w:r>
          </w:p>
        </w:tc>
        <w:tc>
          <w:tcPr>
            <w:tcW w:w="3969" w:type="dxa"/>
            <w:tcBorders>
              <w:top w:val="nil"/>
              <w:left w:val="nil"/>
              <w:bottom w:val="single" w:sz="4" w:space="0" w:color="auto"/>
              <w:right w:val="single" w:sz="4" w:space="0" w:color="auto"/>
            </w:tcBorders>
            <w:shd w:val="clear" w:color="auto" w:fill="auto"/>
            <w:noWrap/>
            <w:vAlign w:val="center"/>
            <w:hideMark/>
          </w:tcPr>
          <w:p w14:paraId="3D82433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SATT</w:t>
            </w:r>
          </w:p>
        </w:tc>
        <w:tc>
          <w:tcPr>
            <w:tcW w:w="2552" w:type="dxa"/>
            <w:tcBorders>
              <w:top w:val="nil"/>
              <w:left w:val="nil"/>
              <w:bottom w:val="single" w:sz="4" w:space="0" w:color="auto"/>
              <w:right w:val="single" w:sz="4" w:space="0" w:color="auto"/>
            </w:tcBorders>
            <w:shd w:val="clear" w:color="auto" w:fill="auto"/>
            <w:noWrap/>
            <w:vAlign w:val="center"/>
            <w:hideMark/>
          </w:tcPr>
          <w:p w14:paraId="495A74D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20.459.380,42</w:t>
            </w:r>
          </w:p>
        </w:tc>
      </w:tr>
      <w:tr w:rsidR="003E19A2" w:rsidRPr="00A81CB8" w14:paraId="142DB93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C68156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P_510</w:t>
            </w:r>
          </w:p>
        </w:tc>
        <w:tc>
          <w:tcPr>
            <w:tcW w:w="3969" w:type="dxa"/>
            <w:tcBorders>
              <w:top w:val="nil"/>
              <w:left w:val="nil"/>
              <w:bottom w:val="single" w:sz="4" w:space="0" w:color="auto"/>
              <w:right w:val="single" w:sz="4" w:space="0" w:color="auto"/>
            </w:tcBorders>
            <w:shd w:val="clear" w:color="auto" w:fill="auto"/>
            <w:noWrap/>
            <w:vAlign w:val="center"/>
            <w:hideMark/>
          </w:tcPr>
          <w:p w14:paraId="600A0AC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Transquillota</w:t>
            </w:r>
          </w:p>
        </w:tc>
        <w:tc>
          <w:tcPr>
            <w:tcW w:w="2552" w:type="dxa"/>
            <w:tcBorders>
              <w:top w:val="nil"/>
              <w:left w:val="nil"/>
              <w:bottom w:val="single" w:sz="4" w:space="0" w:color="auto"/>
              <w:right w:val="single" w:sz="4" w:space="0" w:color="auto"/>
            </w:tcBorders>
            <w:shd w:val="clear" w:color="auto" w:fill="auto"/>
            <w:noWrap/>
            <w:vAlign w:val="center"/>
            <w:hideMark/>
          </w:tcPr>
          <w:p w14:paraId="7C4C3F8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1.604.997,11</w:t>
            </w:r>
          </w:p>
        </w:tc>
      </w:tr>
      <w:tr w:rsidR="003E19A2" w:rsidRPr="00A81CB8" w14:paraId="13E49BE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92856F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P_513</w:t>
            </w:r>
          </w:p>
        </w:tc>
        <w:tc>
          <w:tcPr>
            <w:tcW w:w="3969" w:type="dxa"/>
            <w:tcBorders>
              <w:top w:val="nil"/>
              <w:left w:val="nil"/>
              <w:bottom w:val="single" w:sz="4" w:space="0" w:color="auto"/>
              <w:right w:val="single" w:sz="4" w:space="0" w:color="auto"/>
            </w:tcBorders>
            <w:shd w:val="clear" w:color="auto" w:fill="auto"/>
            <w:noWrap/>
            <w:vAlign w:val="center"/>
            <w:hideMark/>
          </w:tcPr>
          <w:p w14:paraId="5B9D1A9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Chena S.A.</w:t>
            </w:r>
          </w:p>
        </w:tc>
        <w:tc>
          <w:tcPr>
            <w:tcW w:w="2552" w:type="dxa"/>
            <w:tcBorders>
              <w:top w:val="nil"/>
              <w:left w:val="nil"/>
              <w:bottom w:val="single" w:sz="4" w:space="0" w:color="auto"/>
              <w:right w:val="single" w:sz="4" w:space="0" w:color="auto"/>
            </w:tcBorders>
            <w:shd w:val="clear" w:color="auto" w:fill="auto"/>
            <w:noWrap/>
            <w:vAlign w:val="center"/>
            <w:hideMark/>
          </w:tcPr>
          <w:p w14:paraId="3512236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1.449.752,81</w:t>
            </w:r>
          </w:p>
        </w:tc>
      </w:tr>
      <w:tr w:rsidR="003E19A2" w:rsidRPr="00A81CB8" w14:paraId="2F5D977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43EC2D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P_514</w:t>
            </w:r>
          </w:p>
        </w:tc>
        <w:tc>
          <w:tcPr>
            <w:tcW w:w="3969" w:type="dxa"/>
            <w:tcBorders>
              <w:top w:val="nil"/>
              <w:left w:val="nil"/>
              <w:bottom w:val="single" w:sz="4" w:space="0" w:color="auto"/>
              <w:right w:val="single" w:sz="4" w:space="0" w:color="auto"/>
            </w:tcBorders>
            <w:shd w:val="clear" w:color="auto" w:fill="auto"/>
            <w:noWrap/>
            <w:vAlign w:val="center"/>
            <w:hideMark/>
          </w:tcPr>
          <w:p w14:paraId="36C49F1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TEN</w:t>
            </w:r>
          </w:p>
        </w:tc>
        <w:tc>
          <w:tcPr>
            <w:tcW w:w="2552" w:type="dxa"/>
            <w:tcBorders>
              <w:top w:val="nil"/>
              <w:left w:val="nil"/>
              <w:bottom w:val="single" w:sz="4" w:space="0" w:color="auto"/>
              <w:right w:val="single" w:sz="4" w:space="0" w:color="auto"/>
            </w:tcBorders>
            <w:shd w:val="clear" w:color="auto" w:fill="auto"/>
            <w:noWrap/>
            <w:vAlign w:val="center"/>
            <w:hideMark/>
          </w:tcPr>
          <w:p w14:paraId="30184D6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632.712.089,80</w:t>
            </w:r>
          </w:p>
        </w:tc>
      </w:tr>
      <w:tr w:rsidR="003E19A2" w:rsidRPr="00A81CB8" w14:paraId="5053AAA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489B66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P_517</w:t>
            </w:r>
          </w:p>
        </w:tc>
        <w:tc>
          <w:tcPr>
            <w:tcW w:w="3969" w:type="dxa"/>
            <w:tcBorders>
              <w:top w:val="nil"/>
              <w:left w:val="nil"/>
              <w:bottom w:val="single" w:sz="4" w:space="0" w:color="auto"/>
              <w:right w:val="single" w:sz="4" w:space="0" w:color="auto"/>
            </w:tcBorders>
            <w:shd w:val="clear" w:color="auto" w:fill="auto"/>
            <w:noWrap/>
            <w:vAlign w:val="center"/>
            <w:hideMark/>
          </w:tcPr>
          <w:p w14:paraId="22269FE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Valle de los Vientos</w:t>
            </w:r>
          </w:p>
        </w:tc>
        <w:tc>
          <w:tcPr>
            <w:tcW w:w="2552" w:type="dxa"/>
            <w:tcBorders>
              <w:top w:val="nil"/>
              <w:left w:val="nil"/>
              <w:bottom w:val="single" w:sz="4" w:space="0" w:color="auto"/>
              <w:right w:val="single" w:sz="4" w:space="0" w:color="auto"/>
            </w:tcBorders>
            <w:shd w:val="clear" w:color="auto" w:fill="auto"/>
            <w:noWrap/>
            <w:vAlign w:val="center"/>
            <w:hideMark/>
          </w:tcPr>
          <w:p w14:paraId="3ED018C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15.870,17</w:t>
            </w:r>
          </w:p>
        </w:tc>
      </w:tr>
      <w:tr w:rsidR="003E19A2" w:rsidRPr="00A81CB8" w14:paraId="642A62A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4C6245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P_521</w:t>
            </w:r>
          </w:p>
        </w:tc>
        <w:tc>
          <w:tcPr>
            <w:tcW w:w="3969" w:type="dxa"/>
            <w:tcBorders>
              <w:top w:val="nil"/>
              <w:left w:val="nil"/>
              <w:bottom w:val="single" w:sz="4" w:space="0" w:color="auto"/>
              <w:right w:val="single" w:sz="4" w:space="0" w:color="auto"/>
            </w:tcBorders>
            <w:shd w:val="clear" w:color="auto" w:fill="auto"/>
            <w:noWrap/>
            <w:vAlign w:val="center"/>
            <w:hideMark/>
          </w:tcPr>
          <w:p w14:paraId="306C80A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ELECTRICA INDUSTRIAL</w:t>
            </w:r>
          </w:p>
        </w:tc>
        <w:tc>
          <w:tcPr>
            <w:tcW w:w="2552" w:type="dxa"/>
            <w:tcBorders>
              <w:top w:val="nil"/>
              <w:left w:val="nil"/>
              <w:bottom w:val="single" w:sz="4" w:space="0" w:color="auto"/>
              <w:right w:val="single" w:sz="4" w:space="0" w:color="auto"/>
            </w:tcBorders>
            <w:shd w:val="clear" w:color="auto" w:fill="auto"/>
            <w:noWrap/>
            <w:vAlign w:val="center"/>
            <w:hideMark/>
          </w:tcPr>
          <w:p w14:paraId="4D918F1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13.050,49</w:t>
            </w:r>
          </w:p>
        </w:tc>
      </w:tr>
      <w:tr w:rsidR="003E19A2" w:rsidRPr="00A81CB8" w14:paraId="4A441D9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9188F7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P_524</w:t>
            </w:r>
          </w:p>
        </w:tc>
        <w:tc>
          <w:tcPr>
            <w:tcW w:w="3969" w:type="dxa"/>
            <w:tcBorders>
              <w:top w:val="nil"/>
              <w:left w:val="nil"/>
              <w:bottom w:val="single" w:sz="4" w:space="0" w:color="auto"/>
              <w:right w:val="single" w:sz="4" w:space="0" w:color="auto"/>
            </w:tcBorders>
            <w:shd w:val="clear" w:color="auto" w:fill="auto"/>
            <w:noWrap/>
            <w:vAlign w:val="center"/>
            <w:hideMark/>
          </w:tcPr>
          <w:p w14:paraId="4E43C0E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ENERGIA COYANCO</w:t>
            </w:r>
          </w:p>
        </w:tc>
        <w:tc>
          <w:tcPr>
            <w:tcW w:w="2552" w:type="dxa"/>
            <w:tcBorders>
              <w:top w:val="nil"/>
              <w:left w:val="nil"/>
              <w:bottom w:val="single" w:sz="4" w:space="0" w:color="auto"/>
              <w:right w:val="single" w:sz="4" w:space="0" w:color="auto"/>
            </w:tcBorders>
            <w:shd w:val="clear" w:color="auto" w:fill="auto"/>
            <w:noWrap/>
            <w:vAlign w:val="center"/>
            <w:hideMark/>
          </w:tcPr>
          <w:p w14:paraId="184C82D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78.466,20</w:t>
            </w:r>
          </w:p>
        </w:tc>
      </w:tr>
      <w:tr w:rsidR="003E19A2" w:rsidRPr="00A81CB8" w14:paraId="5CFBEBD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22F04A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P_530</w:t>
            </w:r>
          </w:p>
        </w:tc>
        <w:tc>
          <w:tcPr>
            <w:tcW w:w="3969" w:type="dxa"/>
            <w:tcBorders>
              <w:top w:val="nil"/>
              <w:left w:val="nil"/>
              <w:bottom w:val="single" w:sz="4" w:space="0" w:color="auto"/>
              <w:right w:val="single" w:sz="4" w:space="0" w:color="auto"/>
            </w:tcBorders>
            <w:shd w:val="clear" w:color="auto" w:fill="auto"/>
            <w:noWrap/>
            <w:vAlign w:val="center"/>
            <w:hideMark/>
          </w:tcPr>
          <w:p w14:paraId="50D1CD8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INTERCHILE</w:t>
            </w:r>
          </w:p>
        </w:tc>
        <w:tc>
          <w:tcPr>
            <w:tcW w:w="2552" w:type="dxa"/>
            <w:tcBorders>
              <w:top w:val="nil"/>
              <w:left w:val="nil"/>
              <w:bottom w:val="single" w:sz="4" w:space="0" w:color="auto"/>
              <w:right w:val="single" w:sz="4" w:space="0" w:color="auto"/>
            </w:tcBorders>
            <w:shd w:val="clear" w:color="auto" w:fill="auto"/>
            <w:noWrap/>
            <w:vAlign w:val="center"/>
            <w:hideMark/>
          </w:tcPr>
          <w:p w14:paraId="1BC7D9D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18.499.723,22</w:t>
            </w:r>
          </w:p>
        </w:tc>
      </w:tr>
      <w:tr w:rsidR="003E19A2" w:rsidRPr="00A81CB8" w14:paraId="0F9512C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79434F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P_537</w:t>
            </w:r>
          </w:p>
        </w:tc>
        <w:tc>
          <w:tcPr>
            <w:tcW w:w="3969" w:type="dxa"/>
            <w:tcBorders>
              <w:top w:val="nil"/>
              <w:left w:val="nil"/>
              <w:bottom w:val="single" w:sz="4" w:space="0" w:color="auto"/>
              <w:right w:val="single" w:sz="4" w:space="0" w:color="auto"/>
            </w:tcBorders>
            <w:shd w:val="clear" w:color="auto" w:fill="auto"/>
            <w:noWrap/>
            <w:vAlign w:val="center"/>
            <w:hideMark/>
          </w:tcPr>
          <w:p w14:paraId="1BC0734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PARQUE QUILLAGUA</w:t>
            </w:r>
          </w:p>
        </w:tc>
        <w:tc>
          <w:tcPr>
            <w:tcW w:w="2552" w:type="dxa"/>
            <w:tcBorders>
              <w:top w:val="nil"/>
              <w:left w:val="nil"/>
              <w:bottom w:val="single" w:sz="4" w:space="0" w:color="auto"/>
              <w:right w:val="single" w:sz="4" w:space="0" w:color="auto"/>
            </w:tcBorders>
            <w:shd w:val="clear" w:color="auto" w:fill="auto"/>
            <w:noWrap/>
            <w:vAlign w:val="center"/>
            <w:hideMark/>
          </w:tcPr>
          <w:p w14:paraId="4112F6D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96.558,35</w:t>
            </w:r>
          </w:p>
        </w:tc>
      </w:tr>
      <w:tr w:rsidR="003E19A2" w:rsidRPr="00A81CB8" w14:paraId="7C122E2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4FDAF8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P_578</w:t>
            </w:r>
          </w:p>
        </w:tc>
        <w:tc>
          <w:tcPr>
            <w:tcW w:w="3969" w:type="dxa"/>
            <w:tcBorders>
              <w:top w:val="nil"/>
              <w:left w:val="nil"/>
              <w:bottom w:val="single" w:sz="4" w:space="0" w:color="auto"/>
              <w:right w:val="single" w:sz="4" w:space="0" w:color="auto"/>
            </w:tcBorders>
            <w:shd w:val="clear" w:color="auto" w:fill="auto"/>
            <w:noWrap/>
            <w:vAlign w:val="center"/>
            <w:hideMark/>
          </w:tcPr>
          <w:p w14:paraId="7344F04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ANTOFAGASTA MINERALS S.A.</w:t>
            </w:r>
          </w:p>
        </w:tc>
        <w:tc>
          <w:tcPr>
            <w:tcW w:w="2552" w:type="dxa"/>
            <w:tcBorders>
              <w:top w:val="nil"/>
              <w:left w:val="nil"/>
              <w:bottom w:val="single" w:sz="4" w:space="0" w:color="auto"/>
              <w:right w:val="single" w:sz="4" w:space="0" w:color="auto"/>
            </w:tcBorders>
            <w:shd w:val="clear" w:color="auto" w:fill="auto"/>
            <w:noWrap/>
            <w:vAlign w:val="center"/>
            <w:hideMark/>
          </w:tcPr>
          <w:p w14:paraId="36C343F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32.743.232,13</w:t>
            </w:r>
          </w:p>
        </w:tc>
      </w:tr>
      <w:tr w:rsidR="003E19A2" w:rsidRPr="00A81CB8" w14:paraId="0526C9D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821B9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P_582</w:t>
            </w:r>
          </w:p>
        </w:tc>
        <w:tc>
          <w:tcPr>
            <w:tcW w:w="3969" w:type="dxa"/>
            <w:tcBorders>
              <w:top w:val="nil"/>
              <w:left w:val="nil"/>
              <w:bottom w:val="single" w:sz="4" w:space="0" w:color="auto"/>
              <w:right w:val="single" w:sz="4" w:space="0" w:color="auto"/>
            </w:tcBorders>
            <w:shd w:val="clear" w:color="auto" w:fill="auto"/>
            <w:noWrap/>
            <w:vAlign w:val="center"/>
            <w:hideMark/>
          </w:tcPr>
          <w:p w14:paraId="7A6A106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LINEA DE TRANSMISION CABO LEONES</w:t>
            </w:r>
          </w:p>
        </w:tc>
        <w:tc>
          <w:tcPr>
            <w:tcW w:w="2552" w:type="dxa"/>
            <w:tcBorders>
              <w:top w:val="nil"/>
              <w:left w:val="nil"/>
              <w:bottom w:val="single" w:sz="4" w:space="0" w:color="auto"/>
              <w:right w:val="single" w:sz="4" w:space="0" w:color="auto"/>
            </w:tcBorders>
            <w:shd w:val="clear" w:color="auto" w:fill="auto"/>
            <w:noWrap/>
            <w:vAlign w:val="center"/>
            <w:hideMark/>
          </w:tcPr>
          <w:p w14:paraId="52042C5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eastAsia="Times New Roman" w:cs="Calibri"/>
                <w:color w:val="000000"/>
                <w:sz w:val="20"/>
                <w:szCs w:val="20"/>
                <w:lang w:eastAsia="es-CL"/>
              </w:rPr>
              <w:t>450.015,50</w:t>
            </w:r>
          </w:p>
        </w:tc>
      </w:tr>
      <w:tr w:rsidR="003E19A2" w:rsidRPr="00A81CB8" w14:paraId="65AE22FC" w14:textId="77777777" w:rsidTr="00725CE1">
        <w:trPr>
          <w:jc w:val="center"/>
        </w:trPr>
        <w:tc>
          <w:tcPr>
            <w:tcW w:w="1985" w:type="dxa"/>
            <w:tcBorders>
              <w:top w:val="nil"/>
              <w:left w:val="nil"/>
              <w:bottom w:val="nil"/>
              <w:right w:val="nil"/>
            </w:tcBorders>
            <w:shd w:val="clear" w:color="auto" w:fill="auto"/>
            <w:noWrap/>
            <w:vAlign w:val="center"/>
            <w:hideMark/>
          </w:tcPr>
          <w:p w14:paraId="3C19558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c>
          <w:tcPr>
            <w:tcW w:w="396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2F40161" w14:textId="77777777" w:rsidR="003E19A2" w:rsidRPr="00A81CB8" w:rsidRDefault="003E19A2" w:rsidP="00725CE1">
            <w:pPr>
              <w:spacing w:before="20" w:after="20" w:line="240" w:lineRule="auto"/>
              <w:jc w:val="left"/>
              <w:rPr>
                <w:rFonts w:eastAsia="Times New Roman" w:cs="Calibri"/>
                <w:b/>
                <w:bCs/>
                <w:color w:val="000000"/>
                <w:sz w:val="20"/>
                <w:szCs w:val="20"/>
                <w:lang w:eastAsia="es-CL"/>
              </w:rPr>
            </w:pPr>
            <w:r w:rsidRPr="00A81CB8">
              <w:rPr>
                <w:rFonts w:eastAsia="Times New Roman" w:cs="Calibri"/>
                <w:b/>
                <w:bCs/>
                <w:color w:val="000000"/>
                <w:sz w:val="20"/>
                <w:szCs w:val="20"/>
                <w:lang w:eastAsia="es-CL"/>
              </w:rPr>
              <w:t>TOTAL</w:t>
            </w:r>
          </w:p>
        </w:tc>
        <w:tc>
          <w:tcPr>
            <w:tcW w:w="2552" w:type="dxa"/>
            <w:tcBorders>
              <w:top w:val="nil"/>
              <w:left w:val="nil"/>
              <w:bottom w:val="single" w:sz="4" w:space="0" w:color="auto"/>
              <w:right w:val="single" w:sz="4" w:space="0" w:color="auto"/>
            </w:tcBorders>
            <w:shd w:val="clear" w:color="auto" w:fill="D9D9D9" w:themeFill="background1" w:themeFillShade="D9"/>
            <w:noWrap/>
            <w:vAlign w:val="center"/>
            <w:hideMark/>
          </w:tcPr>
          <w:p w14:paraId="55E5A314" w14:textId="77777777" w:rsidR="003E19A2" w:rsidRPr="00A81CB8" w:rsidRDefault="003E19A2" w:rsidP="00725CE1">
            <w:pPr>
              <w:spacing w:before="20" w:after="20" w:line="240" w:lineRule="auto"/>
              <w:jc w:val="right"/>
              <w:rPr>
                <w:rFonts w:eastAsia="Times New Roman" w:cs="Calibri"/>
                <w:b/>
                <w:bCs/>
                <w:color w:val="000000"/>
                <w:sz w:val="20"/>
                <w:szCs w:val="20"/>
                <w:lang w:eastAsia="es-CL"/>
              </w:rPr>
            </w:pPr>
            <w:r w:rsidRPr="00A81CB8">
              <w:rPr>
                <w:rFonts w:eastAsia="Times New Roman" w:cs="Calibri"/>
                <w:b/>
                <w:bCs/>
                <w:color w:val="000000"/>
                <w:sz w:val="20"/>
                <w:szCs w:val="20"/>
                <w:lang w:eastAsia="es-CL"/>
              </w:rPr>
              <w:t>3.382.637.852,04</w:t>
            </w:r>
          </w:p>
        </w:tc>
      </w:tr>
    </w:tbl>
    <w:p w14:paraId="64810CE3" w14:textId="77777777" w:rsidR="003E19A2" w:rsidRDefault="003E19A2" w:rsidP="003E19A2">
      <w:pPr>
        <w:spacing w:after="0"/>
      </w:pPr>
    </w:p>
    <w:p w14:paraId="45D85D85" w14:textId="77777777" w:rsidR="003E19A2" w:rsidRDefault="003E19A2" w:rsidP="003E19A2">
      <w:pPr>
        <w:pStyle w:val="Ttulo3"/>
      </w:pPr>
      <w:bookmarkStart w:id="292" w:name="_Toc34640156"/>
      <w:bookmarkStart w:id="293" w:name="_Toc34655180"/>
      <w:bookmarkStart w:id="294" w:name="_Toc34687263"/>
      <w:r w:rsidRPr="00E1571A">
        <w:t>Valor de Inversión por tramo de subestación calificación naciona</w:t>
      </w:r>
      <w:bookmarkEnd w:id="292"/>
      <w:bookmarkEnd w:id="293"/>
      <w:r>
        <w:t>l</w:t>
      </w:r>
      <w:bookmarkEnd w:id="294"/>
    </w:p>
    <w:p w14:paraId="1888973A" w14:textId="15C84DA2" w:rsidR="003E19A2" w:rsidRPr="00E1571A" w:rsidRDefault="003E19A2" w:rsidP="003E19A2">
      <w:pPr>
        <w:pStyle w:val="Descripcin"/>
        <w:jc w:val="center"/>
        <w:rPr>
          <w:b/>
          <w:i w:val="0"/>
          <w:color w:val="auto"/>
          <w:sz w:val="20"/>
          <w:szCs w:val="20"/>
        </w:rPr>
      </w:pPr>
      <w:bookmarkStart w:id="295" w:name="_Toc34640123"/>
      <w:bookmarkStart w:id="296" w:name="_Toc34655191"/>
      <w:r w:rsidRPr="00E1571A">
        <w:rPr>
          <w:b/>
          <w:i w:val="0"/>
          <w:color w:val="auto"/>
          <w:sz w:val="20"/>
          <w:szCs w:val="20"/>
        </w:rPr>
        <w:t xml:space="preserve">Tabla </w:t>
      </w:r>
      <w:r w:rsidRPr="00E1571A">
        <w:rPr>
          <w:b/>
          <w:i w:val="0"/>
          <w:color w:val="auto"/>
          <w:sz w:val="20"/>
          <w:szCs w:val="20"/>
        </w:rPr>
        <w:fldChar w:fldCharType="begin"/>
      </w:r>
      <w:r w:rsidRPr="00E1571A">
        <w:rPr>
          <w:b/>
          <w:i w:val="0"/>
          <w:color w:val="auto"/>
          <w:sz w:val="20"/>
          <w:szCs w:val="20"/>
        </w:rPr>
        <w:instrText xml:space="preserve"> SEQ Tabla \* ARABIC </w:instrText>
      </w:r>
      <w:r w:rsidRPr="00E1571A">
        <w:rPr>
          <w:b/>
          <w:i w:val="0"/>
          <w:color w:val="auto"/>
          <w:sz w:val="20"/>
          <w:szCs w:val="20"/>
        </w:rPr>
        <w:fldChar w:fldCharType="separate"/>
      </w:r>
      <w:r w:rsidR="00F14BED">
        <w:rPr>
          <w:b/>
          <w:i w:val="0"/>
          <w:noProof/>
          <w:color w:val="auto"/>
          <w:sz w:val="20"/>
          <w:szCs w:val="20"/>
        </w:rPr>
        <w:t>8</w:t>
      </w:r>
      <w:r w:rsidRPr="00E1571A">
        <w:rPr>
          <w:b/>
          <w:i w:val="0"/>
          <w:color w:val="auto"/>
          <w:sz w:val="20"/>
          <w:szCs w:val="20"/>
        </w:rPr>
        <w:fldChar w:fldCharType="end"/>
      </w:r>
      <w:r w:rsidRPr="00E1571A">
        <w:rPr>
          <w:b/>
          <w:i w:val="0"/>
          <w:color w:val="auto"/>
          <w:sz w:val="20"/>
          <w:szCs w:val="20"/>
        </w:rPr>
        <w:t>: Valor de Inversión (V.I.) por tramo de subestación calificación nacional</w:t>
      </w:r>
      <w:bookmarkEnd w:id="295"/>
      <w:bookmarkEnd w:id="296"/>
    </w:p>
    <w:tbl>
      <w:tblPr>
        <w:tblW w:w="0" w:type="auto"/>
        <w:jc w:val="center"/>
        <w:tblLayout w:type="fixed"/>
        <w:tblCellMar>
          <w:left w:w="57" w:type="dxa"/>
          <w:right w:w="57" w:type="dxa"/>
        </w:tblCellMar>
        <w:tblLook w:val="04A0" w:firstRow="1" w:lastRow="0" w:firstColumn="1" w:lastColumn="0" w:noHBand="0" w:noVBand="1"/>
      </w:tblPr>
      <w:tblGrid>
        <w:gridCol w:w="1985"/>
        <w:gridCol w:w="3969"/>
        <w:gridCol w:w="2552"/>
      </w:tblGrid>
      <w:tr w:rsidR="003E19A2" w:rsidRPr="00A81CB8" w14:paraId="17EEE276" w14:textId="77777777" w:rsidTr="00725CE1">
        <w:trPr>
          <w:tblHeader/>
          <w:jc w:val="center"/>
        </w:trPr>
        <w:tc>
          <w:tcPr>
            <w:tcW w:w="198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4B1E52BA"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IdCalificacionCodigo</w:t>
            </w:r>
          </w:p>
        </w:tc>
        <w:tc>
          <w:tcPr>
            <w:tcW w:w="396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65588E6C"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NombreTramoTransporte</w:t>
            </w:r>
          </w:p>
        </w:tc>
        <w:tc>
          <w:tcPr>
            <w:tcW w:w="25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15CB1CF"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Valor de Inversión (V.I.)</w:t>
            </w:r>
          </w:p>
          <w:p w14:paraId="2C1E0D3F" w14:textId="77777777" w:rsidR="003E19A2" w:rsidRPr="00A81CB8" w:rsidRDefault="003E19A2" w:rsidP="00725CE1">
            <w:pPr>
              <w:spacing w:before="20" w:after="20" w:line="240" w:lineRule="auto"/>
              <w:jc w:val="center"/>
              <w:rPr>
                <w:rFonts w:cs="Calibri"/>
                <w:b/>
                <w:bCs/>
                <w:color w:val="000000"/>
                <w:sz w:val="20"/>
                <w:szCs w:val="20"/>
              </w:rPr>
            </w:pPr>
            <w:r w:rsidRPr="00A81CB8">
              <w:rPr>
                <w:rFonts w:cs="Calibri"/>
                <w:b/>
                <w:bCs/>
                <w:color w:val="000000"/>
                <w:sz w:val="20"/>
                <w:szCs w:val="20"/>
              </w:rPr>
              <w:t>USD (Dolares de USA)</w:t>
            </w:r>
          </w:p>
        </w:tc>
      </w:tr>
      <w:tr w:rsidR="003E19A2" w:rsidRPr="00A81CB8" w14:paraId="1A40A7B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27281A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w:t>
            </w:r>
          </w:p>
        </w:tc>
        <w:tc>
          <w:tcPr>
            <w:tcW w:w="3969" w:type="dxa"/>
            <w:tcBorders>
              <w:top w:val="nil"/>
              <w:left w:val="nil"/>
              <w:bottom w:val="single" w:sz="4" w:space="0" w:color="auto"/>
              <w:right w:val="single" w:sz="4" w:space="0" w:color="auto"/>
            </w:tcBorders>
            <w:shd w:val="clear" w:color="auto" w:fill="auto"/>
            <w:noWrap/>
            <w:vAlign w:val="center"/>
            <w:hideMark/>
          </w:tcPr>
          <w:p w14:paraId="3DE5247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w:t>
            </w:r>
          </w:p>
        </w:tc>
        <w:tc>
          <w:tcPr>
            <w:tcW w:w="2552" w:type="dxa"/>
            <w:tcBorders>
              <w:top w:val="nil"/>
              <w:left w:val="nil"/>
              <w:bottom w:val="single" w:sz="4" w:space="0" w:color="auto"/>
              <w:right w:val="single" w:sz="4" w:space="0" w:color="auto"/>
            </w:tcBorders>
            <w:shd w:val="clear" w:color="auto" w:fill="auto"/>
            <w:noWrap/>
            <w:hideMark/>
          </w:tcPr>
          <w:p w14:paraId="1AB4843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48.136.932</w:t>
            </w:r>
          </w:p>
        </w:tc>
      </w:tr>
      <w:tr w:rsidR="003E19A2" w:rsidRPr="00A81CB8" w14:paraId="370C7E2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D6EF5B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w:t>
            </w:r>
          </w:p>
        </w:tc>
        <w:tc>
          <w:tcPr>
            <w:tcW w:w="3969" w:type="dxa"/>
            <w:tcBorders>
              <w:top w:val="nil"/>
              <w:left w:val="nil"/>
              <w:bottom w:val="single" w:sz="4" w:space="0" w:color="auto"/>
              <w:right w:val="single" w:sz="4" w:space="0" w:color="auto"/>
            </w:tcBorders>
            <w:shd w:val="clear" w:color="auto" w:fill="auto"/>
            <w:noWrap/>
            <w:vAlign w:val="center"/>
            <w:hideMark/>
          </w:tcPr>
          <w:p w14:paraId="64D640D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ANCOA</w:t>
            </w:r>
          </w:p>
        </w:tc>
        <w:tc>
          <w:tcPr>
            <w:tcW w:w="2552" w:type="dxa"/>
            <w:tcBorders>
              <w:top w:val="nil"/>
              <w:left w:val="nil"/>
              <w:bottom w:val="single" w:sz="4" w:space="0" w:color="auto"/>
              <w:right w:val="single" w:sz="4" w:space="0" w:color="auto"/>
            </w:tcBorders>
            <w:shd w:val="clear" w:color="auto" w:fill="auto"/>
            <w:noWrap/>
            <w:hideMark/>
          </w:tcPr>
          <w:p w14:paraId="0A81F7C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80.388.867</w:t>
            </w:r>
          </w:p>
        </w:tc>
      </w:tr>
      <w:tr w:rsidR="003E19A2" w:rsidRPr="00A81CB8" w14:paraId="3822017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550F36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w:t>
            </w:r>
          </w:p>
        </w:tc>
        <w:tc>
          <w:tcPr>
            <w:tcW w:w="3969" w:type="dxa"/>
            <w:tcBorders>
              <w:top w:val="nil"/>
              <w:left w:val="nil"/>
              <w:bottom w:val="single" w:sz="4" w:space="0" w:color="auto"/>
              <w:right w:val="single" w:sz="4" w:space="0" w:color="auto"/>
            </w:tcBorders>
            <w:shd w:val="clear" w:color="auto" w:fill="auto"/>
            <w:noWrap/>
            <w:vAlign w:val="center"/>
            <w:hideMark/>
          </w:tcPr>
          <w:p w14:paraId="3D97016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ATACAMA</w:t>
            </w:r>
          </w:p>
        </w:tc>
        <w:tc>
          <w:tcPr>
            <w:tcW w:w="2552" w:type="dxa"/>
            <w:tcBorders>
              <w:top w:val="nil"/>
              <w:left w:val="nil"/>
              <w:bottom w:val="single" w:sz="4" w:space="0" w:color="auto"/>
              <w:right w:val="single" w:sz="4" w:space="0" w:color="auto"/>
            </w:tcBorders>
            <w:shd w:val="clear" w:color="auto" w:fill="auto"/>
            <w:noWrap/>
            <w:hideMark/>
          </w:tcPr>
          <w:p w14:paraId="651D827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4.746.959</w:t>
            </w:r>
          </w:p>
        </w:tc>
      </w:tr>
      <w:tr w:rsidR="003E19A2" w:rsidRPr="00A81CB8" w14:paraId="53D26AE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B9F18F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w:t>
            </w:r>
          </w:p>
        </w:tc>
        <w:tc>
          <w:tcPr>
            <w:tcW w:w="3969" w:type="dxa"/>
            <w:tcBorders>
              <w:top w:val="nil"/>
              <w:left w:val="nil"/>
              <w:bottom w:val="single" w:sz="4" w:space="0" w:color="auto"/>
              <w:right w:val="single" w:sz="4" w:space="0" w:color="auto"/>
            </w:tcBorders>
            <w:shd w:val="clear" w:color="auto" w:fill="auto"/>
            <w:noWrap/>
            <w:vAlign w:val="center"/>
            <w:hideMark/>
          </w:tcPr>
          <w:p w14:paraId="718D49F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Bureo</w:t>
            </w:r>
          </w:p>
        </w:tc>
        <w:tc>
          <w:tcPr>
            <w:tcW w:w="2552" w:type="dxa"/>
            <w:tcBorders>
              <w:top w:val="nil"/>
              <w:left w:val="nil"/>
              <w:bottom w:val="single" w:sz="4" w:space="0" w:color="auto"/>
              <w:right w:val="single" w:sz="4" w:space="0" w:color="auto"/>
            </w:tcBorders>
            <w:shd w:val="clear" w:color="auto" w:fill="auto"/>
            <w:noWrap/>
            <w:hideMark/>
          </w:tcPr>
          <w:p w14:paraId="545B763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42DEBF0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A5BFAB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w:t>
            </w:r>
          </w:p>
        </w:tc>
        <w:tc>
          <w:tcPr>
            <w:tcW w:w="3969" w:type="dxa"/>
            <w:tcBorders>
              <w:top w:val="nil"/>
              <w:left w:val="nil"/>
              <w:bottom w:val="single" w:sz="4" w:space="0" w:color="auto"/>
              <w:right w:val="single" w:sz="4" w:space="0" w:color="auto"/>
            </w:tcBorders>
            <w:shd w:val="clear" w:color="auto" w:fill="auto"/>
            <w:noWrap/>
            <w:vAlign w:val="center"/>
            <w:hideMark/>
          </w:tcPr>
          <w:p w14:paraId="45AEB77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Calama Nueva</w:t>
            </w:r>
          </w:p>
        </w:tc>
        <w:tc>
          <w:tcPr>
            <w:tcW w:w="2552" w:type="dxa"/>
            <w:tcBorders>
              <w:top w:val="nil"/>
              <w:left w:val="nil"/>
              <w:bottom w:val="single" w:sz="4" w:space="0" w:color="auto"/>
              <w:right w:val="single" w:sz="4" w:space="0" w:color="auto"/>
            </w:tcBorders>
            <w:shd w:val="clear" w:color="auto" w:fill="auto"/>
            <w:noWrap/>
            <w:hideMark/>
          </w:tcPr>
          <w:p w14:paraId="5AC140C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870.784</w:t>
            </w:r>
          </w:p>
        </w:tc>
      </w:tr>
      <w:tr w:rsidR="003E19A2" w:rsidRPr="00A81CB8" w14:paraId="185D304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5333E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w:t>
            </w:r>
          </w:p>
        </w:tc>
        <w:tc>
          <w:tcPr>
            <w:tcW w:w="3969" w:type="dxa"/>
            <w:tcBorders>
              <w:top w:val="nil"/>
              <w:left w:val="nil"/>
              <w:bottom w:val="single" w:sz="4" w:space="0" w:color="auto"/>
              <w:right w:val="single" w:sz="4" w:space="0" w:color="auto"/>
            </w:tcBorders>
            <w:shd w:val="clear" w:color="auto" w:fill="auto"/>
            <w:noWrap/>
            <w:vAlign w:val="center"/>
            <w:hideMark/>
          </w:tcPr>
          <w:p w14:paraId="70FA0B6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Candelaria</w:t>
            </w:r>
          </w:p>
        </w:tc>
        <w:tc>
          <w:tcPr>
            <w:tcW w:w="2552" w:type="dxa"/>
            <w:tcBorders>
              <w:top w:val="nil"/>
              <w:left w:val="nil"/>
              <w:bottom w:val="single" w:sz="4" w:space="0" w:color="auto"/>
              <w:right w:val="single" w:sz="4" w:space="0" w:color="auto"/>
            </w:tcBorders>
            <w:shd w:val="clear" w:color="auto" w:fill="auto"/>
            <w:noWrap/>
            <w:hideMark/>
          </w:tcPr>
          <w:p w14:paraId="4393CE4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1.565.330</w:t>
            </w:r>
          </w:p>
        </w:tc>
      </w:tr>
      <w:tr w:rsidR="003E19A2" w:rsidRPr="00A81CB8" w14:paraId="4DDEADC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A117C9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w:t>
            </w:r>
          </w:p>
        </w:tc>
        <w:tc>
          <w:tcPr>
            <w:tcW w:w="3969" w:type="dxa"/>
            <w:tcBorders>
              <w:top w:val="nil"/>
              <w:left w:val="nil"/>
              <w:bottom w:val="single" w:sz="4" w:space="0" w:color="auto"/>
              <w:right w:val="single" w:sz="4" w:space="0" w:color="auto"/>
            </w:tcBorders>
            <w:shd w:val="clear" w:color="auto" w:fill="auto"/>
            <w:noWrap/>
            <w:vAlign w:val="center"/>
            <w:hideMark/>
          </w:tcPr>
          <w:p w14:paraId="1BE494A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CARDONES</w:t>
            </w:r>
          </w:p>
        </w:tc>
        <w:tc>
          <w:tcPr>
            <w:tcW w:w="2552" w:type="dxa"/>
            <w:tcBorders>
              <w:top w:val="nil"/>
              <w:left w:val="nil"/>
              <w:bottom w:val="single" w:sz="4" w:space="0" w:color="auto"/>
              <w:right w:val="single" w:sz="4" w:space="0" w:color="auto"/>
            </w:tcBorders>
            <w:shd w:val="clear" w:color="auto" w:fill="auto"/>
            <w:noWrap/>
            <w:hideMark/>
          </w:tcPr>
          <w:p w14:paraId="2B288E0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13.708.244</w:t>
            </w:r>
          </w:p>
        </w:tc>
      </w:tr>
      <w:tr w:rsidR="003E19A2" w:rsidRPr="00A81CB8" w14:paraId="455A3CA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2BDFE2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SE-N_8</w:t>
            </w:r>
          </w:p>
        </w:tc>
        <w:tc>
          <w:tcPr>
            <w:tcW w:w="3969" w:type="dxa"/>
            <w:tcBorders>
              <w:top w:val="nil"/>
              <w:left w:val="nil"/>
              <w:bottom w:val="single" w:sz="4" w:space="0" w:color="auto"/>
              <w:right w:val="single" w:sz="4" w:space="0" w:color="auto"/>
            </w:tcBorders>
            <w:shd w:val="clear" w:color="auto" w:fill="auto"/>
            <w:noWrap/>
            <w:vAlign w:val="center"/>
            <w:hideMark/>
          </w:tcPr>
          <w:p w14:paraId="7DCB8A2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CARRERA PINTO</w:t>
            </w:r>
          </w:p>
        </w:tc>
        <w:tc>
          <w:tcPr>
            <w:tcW w:w="2552" w:type="dxa"/>
            <w:tcBorders>
              <w:top w:val="nil"/>
              <w:left w:val="nil"/>
              <w:bottom w:val="single" w:sz="4" w:space="0" w:color="auto"/>
              <w:right w:val="single" w:sz="4" w:space="0" w:color="auto"/>
            </w:tcBorders>
            <w:shd w:val="clear" w:color="auto" w:fill="auto"/>
            <w:noWrap/>
            <w:hideMark/>
          </w:tcPr>
          <w:p w14:paraId="0480341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4.031.038</w:t>
            </w:r>
          </w:p>
        </w:tc>
      </w:tr>
      <w:tr w:rsidR="003E19A2" w:rsidRPr="00A81CB8" w14:paraId="197C984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1D6A42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SE-N_9</w:t>
            </w:r>
          </w:p>
        </w:tc>
        <w:tc>
          <w:tcPr>
            <w:tcW w:w="3969" w:type="dxa"/>
            <w:tcBorders>
              <w:top w:val="nil"/>
              <w:left w:val="nil"/>
              <w:bottom w:val="single" w:sz="4" w:space="0" w:color="auto"/>
              <w:right w:val="single" w:sz="4" w:space="0" w:color="auto"/>
            </w:tcBorders>
            <w:shd w:val="clear" w:color="auto" w:fill="auto"/>
            <w:noWrap/>
            <w:vAlign w:val="center"/>
            <w:hideMark/>
          </w:tcPr>
          <w:p w14:paraId="1263FD7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CAUTIN</w:t>
            </w:r>
          </w:p>
        </w:tc>
        <w:tc>
          <w:tcPr>
            <w:tcW w:w="2552" w:type="dxa"/>
            <w:tcBorders>
              <w:top w:val="nil"/>
              <w:left w:val="nil"/>
              <w:bottom w:val="single" w:sz="4" w:space="0" w:color="auto"/>
              <w:right w:val="single" w:sz="4" w:space="0" w:color="auto"/>
            </w:tcBorders>
            <w:shd w:val="clear" w:color="auto" w:fill="auto"/>
            <w:noWrap/>
            <w:hideMark/>
          </w:tcPr>
          <w:p w14:paraId="2100099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6.336.637</w:t>
            </w:r>
          </w:p>
        </w:tc>
      </w:tr>
      <w:tr w:rsidR="003E19A2" w:rsidRPr="00A81CB8" w14:paraId="0112E8E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BEAE55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SE-N_10</w:t>
            </w:r>
          </w:p>
        </w:tc>
        <w:tc>
          <w:tcPr>
            <w:tcW w:w="3969" w:type="dxa"/>
            <w:tcBorders>
              <w:top w:val="nil"/>
              <w:left w:val="nil"/>
              <w:bottom w:val="single" w:sz="4" w:space="0" w:color="auto"/>
              <w:right w:val="single" w:sz="4" w:space="0" w:color="auto"/>
            </w:tcBorders>
            <w:shd w:val="clear" w:color="auto" w:fill="auto"/>
            <w:noWrap/>
            <w:vAlign w:val="center"/>
            <w:hideMark/>
          </w:tcPr>
          <w:p w14:paraId="5D6DE72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CERRO NAVIA</w:t>
            </w:r>
          </w:p>
        </w:tc>
        <w:tc>
          <w:tcPr>
            <w:tcW w:w="2552" w:type="dxa"/>
            <w:tcBorders>
              <w:top w:val="nil"/>
              <w:left w:val="nil"/>
              <w:bottom w:val="single" w:sz="4" w:space="0" w:color="auto"/>
              <w:right w:val="single" w:sz="4" w:space="0" w:color="auto"/>
            </w:tcBorders>
            <w:shd w:val="clear" w:color="auto" w:fill="auto"/>
            <w:noWrap/>
            <w:hideMark/>
          </w:tcPr>
          <w:p w14:paraId="5C493F6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49.827.329</w:t>
            </w:r>
          </w:p>
        </w:tc>
      </w:tr>
      <w:tr w:rsidR="003E19A2" w:rsidRPr="00A81CB8" w14:paraId="5CF725E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D7EAC0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SE-N_11</w:t>
            </w:r>
          </w:p>
        </w:tc>
        <w:tc>
          <w:tcPr>
            <w:tcW w:w="3969" w:type="dxa"/>
            <w:tcBorders>
              <w:top w:val="nil"/>
              <w:left w:val="nil"/>
              <w:bottom w:val="single" w:sz="4" w:space="0" w:color="auto"/>
              <w:right w:val="single" w:sz="4" w:space="0" w:color="auto"/>
            </w:tcBorders>
            <w:shd w:val="clear" w:color="auto" w:fill="auto"/>
            <w:noWrap/>
            <w:vAlign w:val="center"/>
            <w:hideMark/>
          </w:tcPr>
          <w:p w14:paraId="0F998F6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w:t>
            </w:r>
          </w:p>
        </w:tc>
        <w:tc>
          <w:tcPr>
            <w:tcW w:w="2552" w:type="dxa"/>
            <w:tcBorders>
              <w:top w:val="nil"/>
              <w:left w:val="nil"/>
              <w:bottom w:val="single" w:sz="4" w:space="0" w:color="auto"/>
              <w:right w:val="single" w:sz="4" w:space="0" w:color="auto"/>
            </w:tcBorders>
            <w:shd w:val="clear" w:color="auto" w:fill="auto"/>
            <w:noWrap/>
            <w:hideMark/>
          </w:tcPr>
          <w:p w14:paraId="111E92E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33.312.111</w:t>
            </w:r>
          </w:p>
        </w:tc>
      </w:tr>
      <w:tr w:rsidR="003E19A2" w:rsidRPr="00A81CB8" w14:paraId="379C8D8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076C5C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SE-N_12</w:t>
            </w:r>
          </w:p>
        </w:tc>
        <w:tc>
          <w:tcPr>
            <w:tcW w:w="3969" w:type="dxa"/>
            <w:tcBorders>
              <w:top w:val="nil"/>
              <w:left w:val="nil"/>
              <w:bottom w:val="single" w:sz="4" w:space="0" w:color="auto"/>
              <w:right w:val="single" w:sz="4" w:space="0" w:color="auto"/>
            </w:tcBorders>
            <w:shd w:val="clear" w:color="auto" w:fill="auto"/>
            <w:noWrap/>
            <w:vAlign w:val="center"/>
            <w:hideMark/>
          </w:tcPr>
          <w:p w14:paraId="378EEEA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CHENA</w:t>
            </w:r>
          </w:p>
        </w:tc>
        <w:tc>
          <w:tcPr>
            <w:tcW w:w="2552" w:type="dxa"/>
            <w:tcBorders>
              <w:top w:val="nil"/>
              <w:left w:val="nil"/>
              <w:bottom w:val="single" w:sz="4" w:space="0" w:color="auto"/>
              <w:right w:val="single" w:sz="4" w:space="0" w:color="auto"/>
            </w:tcBorders>
            <w:shd w:val="clear" w:color="auto" w:fill="auto"/>
            <w:noWrap/>
            <w:hideMark/>
          </w:tcPr>
          <w:p w14:paraId="0165C0A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20.751.692</w:t>
            </w:r>
          </w:p>
        </w:tc>
      </w:tr>
      <w:tr w:rsidR="003E19A2" w:rsidRPr="00A81CB8" w14:paraId="682817B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BEF2D9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SE-N_13</w:t>
            </w:r>
          </w:p>
        </w:tc>
        <w:tc>
          <w:tcPr>
            <w:tcW w:w="3969" w:type="dxa"/>
            <w:tcBorders>
              <w:top w:val="nil"/>
              <w:left w:val="nil"/>
              <w:bottom w:val="single" w:sz="4" w:space="0" w:color="auto"/>
              <w:right w:val="single" w:sz="4" w:space="0" w:color="auto"/>
            </w:tcBorders>
            <w:shd w:val="clear" w:color="auto" w:fill="auto"/>
            <w:noWrap/>
            <w:vAlign w:val="center"/>
            <w:hideMark/>
          </w:tcPr>
          <w:p w14:paraId="71B5F21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Chiloe</w:t>
            </w:r>
          </w:p>
        </w:tc>
        <w:tc>
          <w:tcPr>
            <w:tcW w:w="2552" w:type="dxa"/>
            <w:tcBorders>
              <w:top w:val="nil"/>
              <w:left w:val="nil"/>
              <w:bottom w:val="single" w:sz="4" w:space="0" w:color="auto"/>
              <w:right w:val="single" w:sz="4" w:space="0" w:color="auto"/>
            </w:tcBorders>
            <w:shd w:val="clear" w:color="auto" w:fill="auto"/>
            <w:noWrap/>
            <w:hideMark/>
          </w:tcPr>
          <w:p w14:paraId="6C14770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2.784.251</w:t>
            </w:r>
          </w:p>
        </w:tc>
      </w:tr>
      <w:tr w:rsidR="003E19A2" w:rsidRPr="00A81CB8" w14:paraId="190F732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523D51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SE-N_14</w:t>
            </w:r>
          </w:p>
        </w:tc>
        <w:tc>
          <w:tcPr>
            <w:tcW w:w="3969" w:type="dxa"/>
            <w:tcBorders>
              <w:top w:val="nil"/>
              <w:left w:val="nil"/>
              <w:bottom w:val="single" w:sz="4" w:space="0" w:color="auto"/>
              <w:right w:val="single" w:sz="4" w:space="0" w:color="auto"/>
            </w:tcBorders>
            <w:shd w:val="clear" w:color="auto" w:fill="auto"/>
            <w:noWrap/>
            <w:vAlign w:val="center"/>
            <w:hideMark/>
          </w:tcPr>
          <w:p w14:paraId="2AB4053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Chuquicamata</w:t>
            </w:r>
          </w:p>
        </w:tc>
        <w:tc>
          <w:tcPr>
            <w:tcW w:w="2552" w:type="dxa"/>
            <w:tcBorders>
              <w:top w:val="nil"/>
              <w:left w:val="nil"/>
              <w:bottom w:val="single" w:sz="4" w:space="0" w:color="auto"/>
              <w:right w:val="single" w:sz="4" w:space="0" w:color="auto"/>
            </w:tcBorders>
            <w:shd w:val="clear" w:color="auto" w:fill="auto"/>
            <w:noWrap/>
            <w:hideMark/>
          </w:tcPr>
          <w:p w14:paraId="5737F71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2.606.665</w:t>
            </w:r>
          </w:p>
        </w:tc>
      </w:tr>
      <w:tr w:rsidR="003E19A2" w:rsidRPr="00A81CB8" w14:paraId="201AA2B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C2007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SE-N_15</w:t>
            </w:r>
          </w:p>
        </w:tc>
        <w:tc>
          <w:tcPr>
            <w:tcW w:w="3969" w:type="dxa"/>
            <w:tcBorders>
              <w:top w:val="nil"/>
              <w:left w:val="nil"/>
              <w:bottom w:val="single" w:sz="4" w:space="0" w:color="auto"/>
              <w:right w:val="single" w:sz="4" w:space="0" w:color="auto"/>
            </w:tcBorders>
            <w:shd w:val="clear" w:color="auto" w:fill="auto"/>
            <w:noWrap/>
            <w:vAlign w:val="center"/>
            <w:hideMark/>
          </w:tcPr>
          <w:p w14:paraId="2D99299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CIRUELOS</w:t>
            </w:r>
          </w:p>
        </w:tc>
        <w:tc>
          <w:tcPr>
            <w:tcW w:w="2552" w:type="dxa"/>
            <w:tcBorders>
              <w:top w:val="nil"/>
              <w:left w:val="nil"/>
              <w:bottom w:val="single" w:sz="4" w:space="0" w:color="auto"/>
              <w:right w:val="single" w:sz="4" w:space="0" w:color="auto"/>
            </w:tcBorders>
            <w:shd w:val="clear" w:color="auto" w:fill="auto"/>
            <w:noWrap/>
            <w:hideMark/>
          </w:tcPr>
          <w:p w14:paraId="67DCE3C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6.175.969</w:t>
            </w:r>
          </w:p>
        </w:tc>
      </w:tr>
      <w:tr w:rsidR="003E19A2" w:rsidRPr="00A81CB8" w14:paraId="47A6F89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8E22E9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SE-N_16</w:t>
            </w:r>
          </w:p>
        </w:tc>
        <w:tc>
          <w:tcPr>
            <w:tcW w:w="3969" w:type="dxa"/>
            <w:tcBorders>
              <w:top w:val="nil"/>
              <w:left w:val="nil"/>
              <w:bottom w:val="single" w:sz="4" w:space="0" w:color="auto"/>
              <w:right w:val="single" w:sz="4" w:space="0" w:color="auto"/>
            </w:tcBorders>
            <w:shd w:val="clear" w:color="auto" w:fill="auto"/>
            <w:noWrap/>
            <w:vAlign w:val="center"/>
            <w:hideMark/>
          </w:tcPr>
          <w:p w14:paraId="582208F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Colbun</w:t>
            </w:r>
          </w:p>
        </w:tc>
        <w:tc>
          <w:tcPr>
            <w:tcW w:w="2552" w:type="dxa"/>
            <w:tcBorders>
              <w:top w:val="nil"/>
              <w:left w:val="nil"/>
              <w:bottom w:val="single" w:sz="4" w:space="0" w:color="auto"/>
              <w:right w:val="single" w:sz="4" w:space="0" w:color="auto"/>
            </w:tcBorders>
            <w:shd w:val="clear" w:color="auto" w:fill="auto"/>
            <w:noWrap/>
            <w:hideMark/>
          </w:tcPr>
          <w:p w14:paraId="2CBF72E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3.242.429</w:t>
            </w:r>
          </w:p>
        </w:tc>
      </w:tr>
      <w:tr w:rsidR="003E19A2" w:rsidRPr="00A81CB8" w14:paraId="624177A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B9B339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SE-N_17</w:t>
            </w:r>
          </w:p>
        </w:tc>
        <w:tc>
          <w:tcPr>
            <w:tcW w:w="3969" w:type="dxa"/>
            <w:tcBorders>
              <w:top w:val="nil"/>
              <w:left w:val="nil"/>
              <w:bottom w:val="single" w:sz="4" w:space="0" w:color="auto"/>
              <w:right w:val="single" w:sz="4" w:space="0" w:color="auto"/>
            </w:tcBorders>
            <w:shd w:val="clear" w:color="auto" w:fill="auto"/>
            <w:noWrap/>
            <w:vAlign w:val="center"/>
            <w:hideMark/>
          </w:tcPr>
          <w:p w14:paraId="3C17CC7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CONCEPCION</w:t>
            </w:r>
          </w:p>
        </w:tc>
        <w:tc>
          <w:tcPr>
            <w:tcW w:w="2552" w:type="dxa"/>
            <w:tcBorders>
              <w:top w:val="nil"/>
              <w:left w:val="nil"/>
              <w:bottom w:val="single" w:sz="4" w:space="0" w:color="auto"/>
              <w:right w:val="single" w:sz="4" w:space="0" w:color="auto"/>
            </w:tcBorders>
            <w:shd w:val="clear" w:color="auto" w:fill="auto"/>
            <w:noWrap/>
            <w:hideMark/>
          </w:tcPr>
          <w:p w14:paraId="780B3D7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6.783.535</w:t>
            </w:r>
          </w:p>
        </w:tc>
      </w:tr>
      <w:tr w:rsidR="003E19A2" w:rsidRPr="00A81CB8" w14:paraId="3EAA377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49782A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SE-N_18</w:t>
            </w:r>
          </w:p>
        </w:tc>
        <w:tc>
          <w:tcPr>
            <w:tcW w:w="3969" w:type="dxa"/>
            <w:tcBorders>
              <w:top w:val="nil"/>
              <w:left w:val="nil"/>
              <w:bottom w:val="single" w:sz="4" w:space="0" w:color="auto"/>
              <w:right w:val="single" w:sz="4" w:space="0" w:color="auto"/>
            </w:tcBorders>
            <w:shd w:val="clear" w:color="auto" w:fill="auto"/>
            <w:noWrap/>
            <w:vAlign w:val="center"/>
            <w:hideMark/>
          </w:tcPr>
          <w:p w14:paraId="437C23B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CONDORES</w:t>
            </w:r>
          </w:p>
        </w:tc>
        <w:tc>
          <w:tcPr>
            <w:tcW w:w="2552" w:type="dxa"/>
            <w:tcBorders>
              <w:top w:val="nil"/>
              <w:left w:val="nil"/>
              <w:bottom w:val="single" w:sz="4" w:space="0" w:color="auto"/>
              <w:right w:val="single" w:sz="4" w:space="0" w:color="auto"/>
            </w:tcBorders>
            <w:shd w:val="clear" w:color="auto" w:fill="auto"/>
            <w:noWrap/>
            <w:hideMark/>
          </w:tcPr>
          <w:p w14:paraId="0C734EF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6.159.685</w:t>
            </w:r>
          </w:p>
        </w:tc>
      </w:tr>
      <w:tr w:rsidR="003E19A2" w:rsidRPr="00A81CB8" w14:paraId="18FD91F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1FD91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SE-N_19</w:t>
            </w:r>
          </w:p>
        </w:tc>
        <w:tc>
          <w:tcPr>
            <w:tcW w:w="3969" w:type="dxa"/>
            <w:tcBorders>
              <w:top w:val="nil"/>
              <w:left w:val="nil"/>
              <w:bottom w:val="single" w:sz="4" w:space="0" w:color="auto"/>
              <w:right w:val="single" w:sz="4" w:space="0" w:color="auto"/>
            </w:tcBorders>
            <w:shd w:val="clear" w:color="auto" w:fill="auto"/>
            <w:noWrap/>
            <w:vAlign w:val="center"/>
            <w:hideMark/>
          </w:tcPr>
          <w:p w14:paraId="17D7BB3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CRUCERO</w:t>
            </w:r>
          </w:p>
        </w:tc>
        <w:tc>
          <w:tcPr>
            <w:tcW w:w="2552" w:type="dxa"/>
            <w:tcBorders>
              <w:top w:val="nil"/>
              <w:left w:val="nil"/>
              <w:bottom w:val="single" w:sz="4" w:space="0" w:color="auto"/>
              <w:right w:val="single" w:sz="4" w:space="0" w:color="auto"/>
            </w:tcBorders>
            <w:shd w:val="clear" w:color="auto" w:fill="auto"/>
            <w:noWrap/>
            <w:hideMark/>
          </w:tcPr>
          <w:p w14:paraId="4A361CD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8.713.391</w:t>
            </w:r>
          </w:p>
        </w:tc>
      </w:tr>
      <w:tr w:rsidR="003E19A2" w:rsidRPr="00A81CB8" w14:paraId="588F53E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2D48D9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SE-N_20</w:t>
            </w:r>
          </w:p>
        </w:tc>
        <w:tc>
          <w:tcPr>
            <w:tcW w:w="3969" w:type="dxa"/>
            <w:tcBorders>
              <w:top w:val="nil"/>
              <w:left w:val="nil"/>
              <w:bottom w:val="single" w:sz="4" w:space="0" w:color="auto"/>
              <w:right w:val="single" w:sz="4" w:space="0" w:color="auto"/>
            </w:tcBorders>
            <w:shd w:val="clear" w:color="auto" w:fill="auto"/>
            <w:noWrap/>
            <w:vAlign w:val="center"/>
            <w:hideMark/>
          </w:tcPr>
          <w:p w14:paraId="3F49895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Cumbres</w:t>
            </w:r>
          </w:p>
        </w:tc>
        <w:tc>
          <w:tcPr>
            <w:tcW w:w="2552" w:type="dxa"/>
            <w:tcBorders>
              <w:top w:val="nil"/>
              <w:left w:val="nil"/>
              <w:bottom w:val="single" w:sz="4" w:space="0" w:color="auto"/>
              <w:right w:val="single" w:sz="4" w:space="0" w:color="auto"/>
            </w:tcBorders>
            <w:shd w:val="clear" w:color="auto" w:fill="auto"/>
            <w:noWrap/>
            <w:hideMark/>
          </w:tcPr>
          <w:p w14:paraId="0325B4A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9.173.227</w:t>
            </w:r>
          </w:p>
        </w:tc>
      </w:tr>
      <w:tr w:rsidR="003E19A2" w:rsidRPr="00A81CB8" w14:paraId="15F0296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D93002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SE-N_21</w:t>
            </w:r>
          </w:p>
        </w:tc>
        <w:tc>
          <w:tcPr>
            <w:tcW w:w="3969" w:type="dxa"/>
            <w:tcBorders>
              <w:top w:val="nil"/>
              <w:left w:val="nil"/>
              <w:bottom w:val="single" w:sz="4" w:space="0" w:color="auto"/>
              <w:right w:val="single" w:sz="4" w:space="0" w:color="auto"/>
            </w:tcBorders>
            <w:shd w:val="clear" w:color="auto" w:fill="auto"/>
            <w:noWrap/>
            <w:vAlign w:val="center"/>
            <w:hideMark/>
          </w:tcPr>
          <w:p w14:paraId="5B7A390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DIEGO DE ALMAGRO</w:t>
            </w:r>
          </w:p>
        </w:tc>
        <w:tc>
          <w:tcPr>
            <w:tcW w:w="2552" w:type="dxa"/>
            <w:tcBorders>
              <w:top w:val="nil"/>
              <w:left w:val="nil"/>
              <w:bottom w:val="single" w:sz="4" w:space="0" w:color="auto"/>
              <w:right w:val="single" w:sz="4" w:space="0" w:color="auto"/>
            </w:tcBorders>
            <w:shd w:val="clear" w:color="auto" w:fill="auto"/>
            <w:noWrap/>
            <w:hideMark/>
          </w:tcPr>
          <w:p w14:paraId="7AEA9F5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29.012.132</w:t>
            </w:r>
          </w:p>
        </w:tc>
      </w:tr>
      <w:tr w:rsidR="003E19A2" w:rsidRPr="00A81CB8" w14:paraId="71BDF0F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971D31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SE-N_22</w:t>
            </w:r>
          </w:p>
        </w:tc>
        <w:tc>
          <w:tcPr>
            <w:tcW w:w="3969" w:type="dxa"/>
            <w:tcBorders>
              <w:top w:val="nil"/>
              <w:left w:val="nil"/>
              <w:bottom w:val="single" w:sz="4" w:space="0" w:color="auto"/>
              <w:right w:val="single" w:sz="4" w:space="0" w:color="auto"/>
            </w:tcBorders>
            <w:shd w:val="clear" w:color="auto" w:fill="auto"/>
            <w:noWrap/>
            <w:vAlign w:val="center"/>
            <w:hideMark/>
          </w:tcPr>
          <w:p w14:paraId="5EBC4F2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DON GOYO</w:t>
            </w:r>
          </w:p>
        </w:tc>
        <w:tc>
          <w:tcPr>
            <w:tcW w:w="2552" w:type="dxa"/>
            <w:tcBorders>
              <w:top w:val="nil"/>
              <w:left w:val="nil"/>
              <w:bottom w:val="single" w:sz="4" w:space="0" w:color="auto"/>
              <w:right w:val="single" w:sz="4" w:space="0" w:color="auto"/>
            </w:tcBorders>
            <w:shd w:val="clear" w:color="auto" w:fill="auto"/>
            <w:noWrap/>
            <w:hideMark/>
          </w:tcPr>
          <w:p w14:paraId="7934982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489.769</w:t>
            </w:r>
          </w:p>
        </w:tc>
      </w:tr>
      <w:tr w:rsidR="003E19A2" w:rsidRPr="00A81CB8" w14:paraId="2D7BCF8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ED2746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SE-N_23</w:t>
            </w:r>
          </w:p>
        </w:tc>
        <w:tc>
          <w:tcPr>
            <w:tcW w:w="3969" w:type="dxa"/>
            <w:tcBorders>
              <w:top w:val="nil"/>
              <w:left w:val="nil"/>
              <w:bottom w:val="single" w:sz="4" w:space="0" w:color="auto"/>
              <w:right w:val="single" w:sz="4" w:space="0" w:color="auto"/>
            </w:tcBorders>
            <w:shd w:val="clear" w:color="auto" w:fill="auto"/>
            <w:noWrap/>
            <w:vAlign w:val="center"/>
            <w:hideMark/>
          </w:tcPr>
          <w:p w14:paraId="0AC73A5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Don Hector</w:t>
            </w:r>
          </w:p>
        </w:tc>
        <w:tc>
          <w:tcPr>
            <w:tcW w:w="2552" w:type="dxa"/>
            <w:tcBorders>
              <w:top w:val="nil"/>
              <w:left w:val="nil"/>
              <w:bottom w:val="single" w:sz="4" w:space="0" w:color="auto"/>
              <w:right w:val="single" w:sz="4" w:space="0" w:color="auto"/>
            </w:tcBorders>
            <w:shd w:val="clear" w:color="auto" w:fill="auto"/>
            <w:noWrap/>
            <w:hideMark/>
          </w:tcPr>
          <w:p w14:paraId="1816605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2.369.929</w:t>
            </w:r>
          </w:p>
        </w:tc>
      </w:tr>
      <w:tr w:rsidR="003E19A2" w:rsidRPr="00A81CB8" w14:paraId="2172F21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1D5AF5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SE-N_24</w:t>
            </w:r>
          </w:p>
        </w:tc>
        <w:tc>
          <w:tcPr>
            <w:tcW w:w="3969" w:type="dxa"/>
            <w:tcBorders>
              <w:top w:val="nil"/>
              <w:left w:val="nil"/>
              <w:bottom w:val="single" w:sz="4" w:space="0" w:color="auto"/>
              <w:right w:val="single" w:sz="4" w:space="0" w:color="auto"/>
            </w:tcBorders>
            <w:shd w:val="clear" w:color="auto" w:fill="auto"/>
            <w:noWrap/>
            <w:vAlign w:val="center"/>
            <w:hideMark/>
          </w:tcPr>
          <w:p w14:paraId="7DB5282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DUQUECO</w:t>
            </w:r>
          </w:p>
        </w:tc>
        <w:tc>
          <w:tcPr>
            <w:tcW w:w="2552" w:type="dxa"/>
            <w:tcBorders>
              <w:top w:val="nil"/>
              <w:left w:val="nil"/>
              <w:bottom w:val="single" w:sz="4" w:space="0" w:color="auto"/>
              <w:right w:val="single" w:sz="4" w:space="0" w:color="auto"/>
            </w:tcBorders>
            <w:shd w:val="clear" w:color="auto" w:fill="auto"/>
            <w:noWrap/>
            <w:hideMark/>
          </w:tcPr>
          <w:p w14:paraId="29D3125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5.677.633</w:t>
            </w:r>
          </w:p>
        </w:tc>
      </w:tr>
      <w:tr w:rsidR="003E19A2" w:rsidRPr="00A81CB8" w14:paraId="59B0C56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1BF14F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SE-N_25</w:t>
            </w:r>
          </w:p>
        </w:tc>
        <w:tc>
          <w:tcPr>
            <w:tcW w:w="3969" w:type="dxa"/>
            <w:tcBorders>
              <w:top w:val="nil"/>
              <w:left w:val="nil"/>
              <w:bottom w:val="single" w:sz="4" w:space="0" w:color="auto"/>
              <w:right w:val="single" w:sz="4" w:space="0" w:color="auto"/>
            </w:tcBorders>
            <w:shd w:val="clear" w:color="auto" w:fill="auto"/>
            <w:noWrap/>
            <w:vAlign w:val="center"/>
            <w:hideMark/>
          </w:tcPr>
          <w:p w14:paraId="2A93CD5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El Cobre</w:t>
            </w:r>
          </w:p>
        </w:tc>
        <w:tc>
          <w:tcPr>
            <w:tcW w:w="2552" w:type="dxa"/>
            <w:tcBorders>
              <w:top w:val="nil"/>
              <w:left w:val="nil"/>
              <w:bottom w:val="single" w:sz="4" w:space="0" w:color="auto"/>
              <w:right w:val="single" w:sz="4" w:space="0" w:color="auto"/>
            </w:tcBorders>
            <w:shd w:val="clear" w:color="auto" w:fill="auto"/>
            <w:noWrap/>
            <w:hideMark/>
          </w:tcPr>
          <w:p w14:paraId="0339C11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3.186.733</w:t>
            </w:r>
          </w:p>
        </w:tc>
      </w:tr>
      <w:tr w:rsidR="003E19A2" w:rsidRPr="00A81CB8" w14:paraId="4FC5FE1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D91CF8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SE-N_26</w:t>
            </w:r>
          </w:p>
        </w:tc>
        <w:tc>
          <w:tcPr>
            <w:tcW w:w="3969" w:type="dxa"/>
            <w:tcBorders>
              <w:top w:val="nil"/>
              <w:left w:val="nil"/>
              <w:bottom w:val="single" w:sz="4" w:space="0" w:color="auto"/>
              <w:right w:val="single" w:sz="4" w:space="0" w:color="auto"/>
            </w:tcBorders>
            <w:shd w:val="clear" w:color="auto" w:fill="auto"/>
            <w:noWrap/>
            <w:vAlign w:val="center"/>
            <w:hideMark/>
          </w:tcPr>
          <w:p w14:paraId="0DD3F12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ENCUENTRO</w:t>
            </w:r>
          </w:p>
        </w:tc>
        <w:tc>
          <w:tcPr>
            <w:tcW w:w="2552" w:type="dxa"/>
            <w:tcBorders>
              <w:top w:val="nil"/>
              <w:left w:val="nil"/>
              <w:bottom w:val="single" w:sz="4" w:space="0" w:color="auto"/>
              <w:right w:val="single" w:sz="4" w:space="0" w:color="auto"/>
            </w:tcBorders>
            <w:shd w:val="clear" w:color="auto" w:fill="auto"/>
            <w:noWrap/>
            <w:hideMark/>
          </w:tcPr>
          <w:p w14:paraId="16D6F6C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8.433.095</w:t>
            </w:r>
          </w:p>
        </w:tc>
      </w:tr>
      <w:tr w:rsidR="003E19A2" w:rsidRPr="00A81CB8" w14:paraId="492ED00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B0C0D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SE-N_27</w:t>
            </w:r>
          </w:p>
        </w:tc>
        <w:tc>
          <w:tcPr>
            <w:tcW w:w="3969" w:type="dxa"/>
            <w:tcBorders>
              <w:top w:val="nil"/>
              <w:left w:val="nil"/>
              <w:bottom w:val="single" w:sz="4" w:space="0" w:color="auto"/>
              <w:right w:val="single" w:sz="4" w:space="0" w:color="auto"/>
            </w:tcBorders>
            <w:shd w:val="clear" w:color="auto" w:fill="auto"/>
            <w:noWrap/>
            <w:vAlign w:val="center"/>
            <w:hideMark/>
          </w:tcPr>
          <w:p w14:paraId="0CE3032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ESPERANZA SING</w:t>
            </w:r>
          </w:p>
        </w:tc>
        <w:tc>
          <w:tcPr>
            <w:tcW w:w="2552" w:type="dxa"/>
            <w:tcBorders>
              <w:top w:val="nil"/>
              <w:left w:val="nil"/>
              <w:bottom w:val="single" w:sz="4" w:space="0" w:color="auto"/>
              <w:right w:val="single" w:sz="4" w:space="0" w:color="auto"/>
            </w:tcBorders>
            <w:shd w:val="clear" w:color="auto" w:fill="auto"/>
            <w:noWrap/>
            <w:hideMark/>
          </w:tcPr>
          <w:p w14:paraId="7BFD8D9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78.611</w:t>
            </w:r>
          </w:p>
        </w:tc>
      </w:tr>
      <w:tr w:rsidR="003E19A2" w:rsidRPr="00A81CB8" w14:paraId="0A21EEC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F03AB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SE-N_28</w:t>
            </w:r>
          </w:p>
        </w:tc>
        <w:tc>
          <w:tcPr>
            <w:tcW w:w="3969" w:type="dxa"/>
            <w:tcBorders>
              <w:top w:val="nil"/>
              <w:left w:val="nil"/>
              <w:bottom w:val="single" w:sz="4" w:space="0" w:color="auto"/>
              <w:right w:val="single" w:sz="4" w:space="0" w:color="auto"/>
            </w:tcBorders>
            <w:shd w:val="clear" w:color="auto" w:fill="auto"/>
            <w:noWrap/>
            <w:vAlign w:val="center"/>
            <w:hideMark/>
          </w:tcPr>
          <w:p w14:paraId="52088C7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HUALPEN</w:t>
            </w:r>
          </w:p>
        </w:tc>
        <w:tc>
          <w:tcPr>
            <w:tcW w:w="2552" w:type="dxa"/>
            <w:tcBorders>
              <w:top w:val="nil"/>
              <w:left w:val="nil"/>
              <w:bottom w:val="single" w:sz="4" w:space="0" w:color="auto"/>
              <w:right w:val="single" w:sz="4" w:space="0" w:color="auto"/>
            </w:tcBorders>
            <w:shd w:val="clear" w:color="auto" w:fill="auto"/>
            <w:noWrap/>
            <w:hideMark/>
          </w:tcPr>
          <w:p w14:paraId="2D00935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4.590.794</w:t>
            </w:r>
          </w:p>
        </w:tc>
      </w:tr>
      <w:tr w:rsidR="003E19A2" w:rsidRPr="00A81CB8" w14:paraId="498AE3F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2D18D7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SE-N_29</w:t>
            </w:r>
          </w:p>
        </w:tc>
        <w:tc>
          <w:tcPr>
            <w:tcW w:w="3969" w:type="dxa"/>
            <w:tcBorders>
              <w:top w:val="nil"/>
              <w:left w:val="nil"/>
              <w:bottom w:val="single" w:sz="4" w:space="0" w:color="auto"/>
              <w:right w:val="single" w:sz="4" w:space="0" w:color="auto"/>
            </w:tcBorders>
            <w:shd w:val="clear" w:color="auto" w:fill="auto"/>
            <w:noWrap/>
            <w:vAlign w:val="center"/>
            <w:hideMark/>
          </w:tcPr>
          <w:p w14:paraId="4C2D449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ITAHUE</w:t>
            </w:r>
          </w:p>
        </w:tc>
        <w:tc>
          <w:tcPr>
            <w:tcW w:w="2552" w:type="dxa"/>
            <w:tcBorders>
              <w:top w:val="nil"/>
              <w:left w:val="nil"/>
              <w:bottom w:val="single" w:sz="4" w:space="0" w:color="auto"/>
              <w:right w:val="single" w:sz="4" w:space="0" w:color="auto"/>
            </w:tcBorders>
            <w:shd w:val="clear" w:color="auto" w:fill="auto"/>
            <w:noWrap/>
            <w:hideMark/>
          </w:tcPr>
          <w:p w14:paraId="7FADCC7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12.234.184</w:t>
            </w:r>
          </w:p>
        </w:tc>
      </w:tr>
      <w:tr w:rsidR="003E19A2" w:rsidRPr="00A81CB8" w14:paraId="473F108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058BE5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SE-N_30</w:t>
            </w:r>
          </w:p>
        </w:tc>
        <w:tc>
          <w:tcPr>
            <w:tcW w:w="3969" w:type="dxa"/>
            <w:tcBorders>
              <w:top w:val="nil"/>
              <w:left w:val="nil"/>
              <w:bottom w:val="single" w:sz="4" w:space="0" w:color="auto"/>
              <w:right w:val="single" w:sz="4" w:space="0" w:color="auto"/>
            </w:tcBorders>
            <w:shd w:val="clear" w:color="auto" w:fill="auto"/>
            <w:noWrap/>
            <w:vAlign w:val="center"/>
            <w:hideMark/>
          </w:tcPr>
          <w:p w14:paraId="178C001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Kapatur</w:t>
            </w:r>
          </w:p>
        </w:tc>
        <w:tc>
          <w:tcPr>
            <w:tcW w:w="2552" w:type="dxa"/>
            <w:tcBorders>
              <w:top w:val="nil"/>
              <w:left w:val="nil"/>
              <w:bottom w:val="single" w:sz="4" w:space="0" w:color="auto"/>
              <w:right w:val="single" w:sz="4" w:space="0" w:color="auto"/>
            </w:tcBorders>
            <w:shd w:val="clear" w:color="auto" w:fill="auto"/>
            <w:noWrap/>
            <w:hideMark/>
          </w:tcPr>
          <w:p w14:paraId="70ECCB4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4.927.114</w:t>
            </w:r>
          </w:p>
        </w:tc>
      </w:tr>
      <w:tr w:rsidR="003E19A2" w:rsidRPr="00A81CB8" w14:paraId="1823190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968D0D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SE-N_31</w:t>
            </w:r>
          </w:p>
        </w:tc>
        <w:tc>
          <w:tcPr>
            <w:tcW w:w="3969" w:type="dxa"/>
            <w:tcBorders>
              <w:top w:val="nil"/>
              <w:left w:val="nil"/>
              <w:bottom w:val="single" w:sz="4" w:space="0" w:color="auto"/>
              <w:right w:val="single" w:sz="4" w:space="0" w:color="auto"/>
            </w:tcBorders>
            <w:shd w:val="clear" w:color="auto" w:fill="auto"/>
            <w:noWrap/>
            <w:vAlign w:val="center"/>
            <w:hideMark/>
          </w:tcPr>
          <w:p w14:paraId="2520E03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CENTRAL LA CEBADA</w:t>
            </w:r>
          </w:p>
        </w:tc>
        <w:tc>
          <w:tcPr>
            <w:tcW w:w="2552" w:type="dxa"/>
            <w:tcBorders>
              <w:top w:val="nil"/>
              <w:left w:val="nil"/>
              <w:bottom w:val="single" w:sz="4" w:space="0" w:color="auto"/>
              <w:right w:val="single" w:sz="4" w:space="0" w:color="auto"/>
            </w:tcBorders>
            <w:shd w:val="clear" w:color="auto" w:fill="auto"/>
            <w:noWrap/>
            <w:hideMark/>
          </w:tcPr>
          <w:p w14:paraId="7946471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378.813</w:t>
            </w:r>
          </w:p>
        </w:tc>
      </w:tr>
      <w:tr w:rsidR="003E19A2" w:rsidRPr="00A81CB8" w14:paraId="52AD394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583CDD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SE-N_32</w:t>
            </w:r>
          </w:p>
        </w:tc>
        <w:tc>
          <w:tcPr>
            <w:tcW w:w="3969" w:type="dxa"/>
            <w:tcBorders>
              <w:top w:val="nil"/>
              <w:left w:val="nil"/>
              <w:bottom w:val="single" w:sz="4" w:space="0" w:color="auto"/>
              <w:right w:val="single" w:sz="4" w:space="0" w:color="auto"/>
            </w:tcBorders>
            <w:shd w:val="clear" w:color="auto" w:fill="auto"/>
            <w:noWrap/>
            <w:vAlign w:val="center"/>
            <w:hideMark/>
          </w:tcPr>
          <w:p w14:paraId="7C7BFEE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Laberinto</w:t>
            </w:r>
          </w:p>
        </w:tc>
        <w:tc>
          <w:tcPr>
            <w:tcW w:w="2552" w:type="dxa"/>
            <w:tcBorders>
              <w:top w:val="nil"/>
              <w:left w:val="nil"/>
              <w:bottom w:val="single" w:sz="4" w:space="0" w:color="auto"/>
              <w:right w:val="single" w:sz="4" w:space="0" w:color="auto"/>
            </w:tcBorders>
            <w:shd w:val="clear" w:color="auto" w:fill="auto"/>
            <w:noWrap/>
            <w:hideMark/>
          </w:tcPr>
          <w:p w14:paraId="3BEEC94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1.414.354</w:t>
            </w:r>
          </w:p>
        </w:tc>
      </w:tr>
      <w:tr w:rsidR="003E19A2" w:rsidRPr="00A81CB8" w14:paraId="7CBD30B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A7C573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SE-N_33</w:t>
            </w:r>
          </w:p>
        </w:tc>
        <w:tc>
          <w:tcPr>
            <w:tcW w:w="3969" w:type="dxa"/>
            <w:tcBorders>
              <w:top w:val="nil"/>
              <w:left w:val="nil"/>
              <w:bottom w:val="single" w:sz="4" w:space="0" w:color="auto"/>
              <w:right w:val="single" w:sz="4" w:space="0" w:color="auto"/>
            </w:tcBorders>
            <w:shd w:val="clear" w:color="auto" w:fill="auto"/>
            <w:noWrap/>
            <w:vAlign w:val="center"/>
            <w:hideMark/>
          </w:tcPr>
          <w:p w14:paraId="6F2B298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LAGUNAS</w:t>
            </w:r>
          </w:p>
        </w:tc>
        <w:tc>
          <w:tcPr>
            <w:tcW w:w="2552" w:type="dxa"/>
            <w:tcBorders>
              <w:top w:val="nil"/>
              <w:left w:val="nil"/>
              <w:bottom w:val="single" w:sz="4" w:space="0" w:color="auto"/>
              <w:right w:val="single" w:sz="4" w:space="0" w:color="auto"/>
            </w:tcBorders>
            <w:shd w:val="clear" w:color="auto" w:fill="auto"/>
            <w:noWrap/>
            <w:hideMark/>
          </w:tcPr>
          <w:p w14:paraId="65E4271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6.905.659</w:t>
            </w:r>
          </w:p>
        </w:tc>
      </w:tr>
      <w:tr w:rsidR="003E19A2" w:rsidRPr="00A81CB8" w14:paraId="7196A16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102CAA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SE-N_34</w:t>
            </w:r>
          </w:p>
        </w:tc>
        <w:tc>
          <w:tcPr>
            <w:tcW w:w="3969" w:type="dxa"/>
            <w:tcBorders>
              <w:top w:val="nil"/>
              <w:left w:val="nil"/>
              <w:bottom w:val="single" w:sz="4" w:space="0" w:color="auto"/>
              <w:right w:val="single" w:sz="4" w:space="0" w:color="auto"/>
            </w:tcBorders>
            <w:shd w:val="clear" w:color="auto" w:fill="auto"/>
            <w:noWrap/>
            <w:vAlign w:val="center"/>
            <w:hideMark/>
          </w:tcPr>
          <w:p w14:paraId="6324369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LAGUNILLAS</w:t>
            </w:r>
          </w:p>
        </w:tc>
        <w:tc>
          <w:tcPr>
            <w:tcW w:w="2552" w:type="dxa"/>
            <w:tcBorders>
              <w:top w:val="nil"/>
              <w:left w:val="nil"/>
              <w:bottom w:val="single" w:sz="4" w:space="0" w:color="auto"/>
              <w:right w:val="single" w:sz="4" w:space="0" w:color="auto"/>
            </w:tcBorders>
            <w:shd w:val="clear" w:color="auto" w:fill="auto"/>
            <w:noWrap/>
            <w:hideMark/>
          </w:tcPr>
          <w:p w14:paraId="7F4E155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5.631.040</w:t>
            </w:r>
          </w:p>
        </w:tc>
      </w:tr>
      <w:tr w:rsidR="003E19A2" w:rsidRPr="00A81CB8" w14:paraId="672DC05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ABA8F6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SE-N_35</w:t>
            </w:r>
          </w:p>
        </w:tc>
        <w:tc>
          <w:tcPr>
            <w:tcW w:w="3969" w:type="dxa"/>
            <w:tcBorders>
              <w:top w:val="nil"/>
              <w:left w:val="nil"/>
              <w:bottom w:val="single" w:sz="4" w:space="0" w:color="auto"/>
              <w:right w:val="single" w:sz="4" w:space="0" w:color="auto"/>
            </w:tcBorders>
            <w:shd w:val="clear" w:color="auto" w:fill="auto"/>
            <w:noWrap/>
            <w:vAlign w:val="center"/>
            <w:hideMark/>
          </w:tcPr>
          <w:p w14:paraId="221C826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LAS PALMAS</w:t>
            </w:r>
          </w:p>
        </w:tc>
        <w:tc>
          <w:tcPr>
            <w:tcW w:w="2552" w:type="dxa"/>
            <w:tcBorders>
              <w:top w:val="nil"/>
              <w:left w:val="nil"/>
              <w:bottom w:val="single" w:sz="4" w:space="0" w:color="auto"/>
              <w:right w:val="single" w:sz="4" w:space="0" w:color="auto"/>
            </w:tcBorders>
            <w:shd w:val="clear" w:color="auto" w:fill="auto"/>
            <w:noWrap/>
            <w:hideMark/>
          </w:tcPr>
          <w:p w14:paraId="3AC3089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3.271.429</w:t>
            </w:r>
          </w:p>
        </w:tc>
      </w:tr>
      <w:tr w:rsidR="003E19A2" w:rsidRPr="00A81CB8" w14:paraId="5BB31B6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13936A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SE-N_36</w:t>
            </w:r>
          </w:p>
        </w:tc>
        <w:tc>
          <w:tcPr>
            <w:tcW w:w="3969" w:type="dxa"/>
            <w:tcBorders>
              <w:top w:val="nil"/>
              <w:left w:val="nil"/>
              <w:bottom w:val="single" w:sz="4" w:space="0" w:color="auto"/>
              <w:right w:val="single" w:sz="4" w:space="0" w:color="auto"/>
            </w:tcBorders>
            <w:shd w:val="clear" w:color="auto" w:fill="auto"/>
            <w:noWrap/>
            <w:vAlign w:val="center"/>
            <w:hideMark/>
          </w:tcPr>
          <w:p w14:paraId="6AF37FF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 Aguirre</w:t>
            </w:r>
          </w:p>
        </w:tc>
        <w:tc>
          <w:tcPr>
            <w:tcW w:w="2552" w:type="dxa"/>
            <w:tcBorders>
              <w:top w:val="nil"/>
              <w:left w:val="nil"/>
              <w:bottom w:val="single" w:sz="4" w:space="0" w:color="auto"/>
              <w:right w:val="single" w:sz="4" w:space="0" w:color="auto"/>
            </w:tcBorders>
            <w:shd w:val="clear" w:color="auto" w:fill="auto"/>
            <w:noWrap/>
            <w:hideMark/>
          </w:tcPr>
          <w:p w14:paraId="1A80D68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7D99CFE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12F7C9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SE-N_37</w:t>
            </w:r>
          </w:p>
        </w:tc>
        <w:tc>
          <w:tcPr>
            <w:tcW w:w="3969" w:type="dxa"/>
            <w:tcBorders>
              <w:top w:val="nil"/>
              <w:left w:val="nil"/>
              <w:bottom w:val="single" w:sz="4" w:space="0" w:color="auto"/>
              <w:right w:val="single" w:sz="4" w:space="0" w:color="auto"/>
            </w:tcBorders>
            <w:shd w:val="clear" w:color="auto" w:fill="auto"/>
            <w:noWrap/>
            <w:vAlign w:val="center"/>
            <w:hideMark/>
          </w:tcPr>
          <w:p w14:paraId="15CB607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Changos</w:t>
            </w:r>
          </w:p>
        </w:tc>
        <w:tc>
          <w:tcPr>
            <w:tcW w:w="2552" w:type="dxa"/>
            <w:tcBorders>
              <w:top w:val="nil"/>
              <w:left w:val="nil"/>
              <w:bottom w:val="single" w:sz="4" w:space="0" w:color="auto"/>
              <w:right w:val="single" w:sz="4" w:space="0" w:color="auto"/>
            </w:tcBorders>
            <w:shd w:val="clear" w:color="auto" w:fill="auto"/>
            <w:noWrap/>
            <w:hideMark/>
          </w:tcPr>
          <w:p w14:paraId="36412E4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22.132.264</w:t>
            </w:r>
          </w:p>
        </w:tc>
      </w:tr>
      <w:tr w:rsidR="003E19A2" w:rsidRPr="00A81CB8" w14:paraId="60EB1FE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0C961D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SE-N_38</w:t>
            </w:r>
          </w:p>
        </w:tc>
        <w:tc>
          <w:tcPr>
            <w:tcW w:w="3969" w:type="dxa"/>
            <w:tcBorders>
              <w:top w:val="nil"/>
              <w:left w:val="nil"/>
              <w:bottom w:val="single" w:sz="4" w:space="0" w:color="auto"/>
              <w:right w:val="single" w:sz="4" w:space="0" w:color="auto"/>
            </w:tcBorders>
            <w:shd w:val="clear" w:color="auto" w:fill="auto"/>
            <w:noWrap/>
            <w:vAlign w:val="center"/>
            <w:hideMark/>
          </w:tcPr>
          <w:p w14:paraId="18BBC42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MAQUIS</w:t>
            </w:r>
          </w:p>
        </w:tc>
        <w:tc>
          <w:tcPr>
            <w:tcW w:w="2552" w:type="dxa"/>
            <w:tcBorders>
              <w:top w:val="nil"/>
              <w:left w:val="nil"/>
              <w:bottom w:val="single" w:sz="4" w:space="0" w:color="auto"/>
              <w:right w:val="single" w:sz="4" w:space="0" w:color="auto"/>
            </w:tcBorders>
            <w:shd w:val="clear" w:color="auto" w:fill="auto"/>
            <w:noWrap/>
            <w:hideMark/>
          </w:tcPr>
          <w:p w14:paraId="7660215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1.567.737</w:t>
            </w:r>
          </w:p>
        </w:tc>
      </w:tr>
      <w:tr w:rsidR="003E19A2" w:rsidRPr="00A81CB8" w14:paraId="180E9FA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32D38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SE-N_39</w:t>
            </w:r>
          </w:p>
        </w:tc>
        <w:tc>
          <w:tcPr>
            <w:tcW w:w="3969" w:type="dxa"/>
            <w:tcBorders>
              <w:top w:val="nil"/>
              <w:left w:val="nil"/>
              <w:bottom w:val="single" w:sz="4" w:space="0" w:color="auto"/>
              <w:right w:val="single" w:sz="4" w:space="0" w:color="auto"/>
            </w:tcBorders>
            <w:shd w:val="clear" w:color="auto" w:fill="auto"/>
            <w:noWrap/>
            <w:vAlign w:val="center"/>
            <w:hideMark/>
          </w:tcPr>
          <w:p w14:paraId="33E9C54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Peumos</w:t>
            </w:r>
          </w:p>
        </w:tc>
        <w:tc>
          <w:tcPr>
            <w:tcW w:w="2552" w:type="dxa"/>
            <w:tcBorders>
              <w:top w:val="nil"/>
              <w:left w:val="nil"/>
              <w:bottom w:val="single" w:sz="4" w:space="0" w:color="auto"/>
              <w:right w:val="single" w:sz="4" w:space="0" w:color="auto"/>
            </w:tcBorders>
            <w:shd w:val="clear" w:color="auto" w:fill="auto"/>
            <w:noWrap/>
            <w:hideMark/>
          </w:tcPr>
          <w:p w14:paraId="2A40EE9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6.493.355</w:t>
            </w:r>
          </w:p>
        </w:tc>
      </w:tr>
      <w:tr w:rsidR="003E19A2" w:rsidRPr="00A81CB8" w14:paraId="73D9D49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40FA05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SE-N_40</w:t>
            </w:r>
          </w:p>
        </w:tc>
        <w:tc>
          <w:tcPr>
            <w:tcW w:w="3969" w:type="dxa"/>
            <w:tcBorders>
              <w:top w:val="nil"/>
              <w:left w:val="nil"/>
              <w:bottom w:val="single" w:sz="4" w:space="0" w:color="auto"/>
              <w:right w:val="single" w:sz="4" w:space="0" w:color="auto"/>
            </w:tcBorders>
            <w:shd w:val="clear" w:color="auto" w:fill="auto"/>
            <w:noWrap/>
            <w:vAlign w:val="center"/>
            <w:hideMark/>
          </w:tcPr>
          <w:p w14:paraId="6687C95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VILOS</w:t>
            </w:r>
          </w:p>
        </w:tc>
        <w:tc>
          <w:tcPr>
            <w:tcW w:w="2552" w:type="dxa"/>
            <w:tcBorders>
              <w:top w:val="nil"/>
              <w:left w:val="nil"/>
              <w:bottom w:val="single" w:sz="4" w:space="0" w:color="auto"/>
              <w:right w:val="single" w:sz="4" w:space="0" w:color="auto"/>
            </w:tcBorders>
            <w:shd w:val="clear" w:color="auto" w:fill="auto"/>
            <w:noWrap/>
            <w:hideMark/>
          </w:tcPr>
          <w:p w14:paraId="0243888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2.713.076</w:t>
            </w:r>
          </w:p>
        </w:tc>
      </w:tr>
      <w:tr w:rsidR="003E19A2" w:rsidRPr="00A81CB8" w14:paraId="038C52B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6BEC45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SE-N_41</w:t>
            </w:r>
          </w:p>
        </w:tc>
        <w:tc>
          <w:tcPr>
            <w:tcW w:w="3969" w:type="dxa"/>
            <w:tcBorders>
              <w:top w:val="nil"/>
              <w:left w:val="nil"/>
              <w:bottom w:val="single" w:sz="4" w:space="0" w:color="auto"/>
              <w:right w:val="single" w:sz="4" w:space="0" w:color="auto"/>
            </w:tcBorders>
            <w:shd w:val="clear" w:color="auto" w:fill="auto"/>
            <w:noWrap/>
            <w:vAlign w:val="center"/>
            <w:hideMark/>
          </w:tcPr>
          <w:p w14:paraId="5F7EE94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Maipo</w:t>
            </w:r>
          </w:p>
        </w:tc>
        <w:tc>
          <w:tcPr>
            <w:tcW w:w="2552" w:type="dxa"/>
            <w:tcBorders>
              <w:top w:val="nil"/>
              <w:left w:val="nil"/>
              <w:bottom w:val="single" w:sz="4" w:space="0" w:color="auto"/>
              <w:right w:val="single" w:sz="4" w:space="0" w:color="auto"/>
            </w:tcBorders>
            <w:shd w:val="clear" w:color="auto" w:fill="auto"/>
            <w:noWrap/>
            <w:hideMark/>
          </w:tcPr>
          <w:p w14:paraId="22C891C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8.115.099</w:t>
            </w:r>
          </w:p>
        </w:tc>
      </w:tr>
      <w:tr w:rsidR="003E19A2" w:rsidRPr="00A81CB8" w14:paraId="1E94933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94EC3E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SE-N_42</w:t>
            </w:r>
          </w:p>
        </w:tc>
        <w:tc>
          <w:tcPr>
            <w:tcW w:w="3969" w:type="dxa"/>
            <w:tcBorders>
              <w:top w:val="nil"/>
              <w:left w:val="nil"/>
              <w:bottom w:val="single" w:sz="4" w:space="0" w:color="auto"/>
              <w:right w:val="single" w:sz="4" w:space="0" w:color="auto"/>
            </w:tcBorders>
            <w:shd w:val="clear" w:color="auto" w:fill="auto"/>
            <w:noWrap/>
            <w:vAlign w:val="center"/>
            <w:hideMark/>
          </w:tcPr>
          <w:p w14:paraId="1DBF157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MAITENCILLO</w:t>
            </w:r>
          </w:p>
        </w:tc>
        <w:tc>
          <w:tcPr>
            <w:tcW w:w="2552" w:type="dxa"/>
            <w:tcBorders>
              <w:top w:val="nil"/>
              <w:left w:val="nil"/>
              <w:bottom w:val="single" w:sz="4" w:space="0" w:color="auto"/>
              <w:right w:val="single" w:sz="4" w:space="0" w:color="auto"/>
            </w:tcBorders>
            <w:shd w:val="clear" w:color="auto" w:fill="auto"/>
            <w:noWrap/>
            <w:hideMark/>
          </w:tcPr>
          <w:p w14:paraId="46A7632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20.304.806</w:t>
            </w:r>
          </w:p>
        </w:tc>
      </w:tr>
      <w:tr w:rsidR="003E19A2" w:rsidRPr="00A81CB8" w14:paraId="4126F2D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4E12F2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SE-N_43</w:t>
            </w:r>
          </w:p>
        </w:tc>
        <w:tc>
          <w:tcPr>
            <w:tcW w:w="3969" w:type="dxa"/>
            <w:tcBorders>
              <w:top w:val="nil"/>
              <w:left w:val="nil"/>
              <w:bottom w:val="single" w:sz="4" w:space="0" w:color="auto"/>
              <w:right w:val="single" w:sz="4" w:space="0" w:color="auto"/>
            </w:tcBorders>
            <w:shd w:val="clear" w:color="auto" w:fill="auto"/>
            <w:noWrap/>
            <w:vAlign w:val="center"/>
            <w:hideMark/>
          </w:tcPr>
          <w:p w14:paraId="0DD9BFA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María Elena</w:t>
            </w:r>
          </w:p>
        </w:tc>
        <w:tc>
          <w:tcPr>
            <w:tcW w:w="2552" w:type="dxa"/>
            <w:tcBorders>
              <w:top w:val="nil"/>
              <w:left w:val="nil"/>
              <w:bottom w:val="single" w:sz="4" w:space="0" w:color="auto"/>
              <w:right w:val="single" w:sz="4" w:space="0" w:color="auto"/>
            </w:tcBorders>
            <w:shd w:val="clear" w:color="auto" w:fill="auto"/>
            <w:noWrap/>
            <w:hideMark/>
          </w:tcPr>
          <w:p w14:paraId="759A727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4.564.445</w:t>
            </w:r>
          </w:p>
        </w:tc>
      </w:tr>
      <w:tr w:rsidR="003E19A2" w:rsidRPr="00A81CB8" w14:paraId="40DE1AF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E3DE17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SE-N_44</w:t>
            </w:r>
          </w:p>
        </w:tc>
        <w:tc>
          <w:tcPr>
            <w:tcW w:w="3969" w:type="dxa"/>
            <w:tcBorders>
              <w:top w:val="nil"/>
              <w:left w:val="nil"/>
              <w:bottom w:val="single" w:sz="4" w:space="0" w:color="auto"/>
              <w:right w:val="single" w:sz="4" w:space="0" w:color="auto"/>
            </w:tcBorders>
            <w:shd w:val="clear" w:color="auto" w:fill="auto"/>
            <w:noWrap/>
            <w:vAlign w:val="center"/>
            <w:hideMark/>
          </w:tcPr>
          <w:p w14:paraId="76FF6C2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Melipulli</w:t>
            </w:r>
          </w:p>
        </w:tc>
        <w:tc>
          <w:tcPr>
            <w:tcW w:w="2552" w:type="dxa"/>
            <w:tcBorders>
              <w:top w:val="nil"/>
              <w:left w:val="nil"/>
              <w:bottom w:val="single" w:sz="4" w:space="0" w:color="auto"/>
              <w:right w:val="single" w:sz="4" w:space="0" w:color="auto"/>
            </w:tcBorders>
            <w:shd w:val="clear" w:color="auto" w:fill="auto"/>
            <w:noWrap/>
            <w:hideMark/>
          </w:tcPr>
          <w:p w14:paraId="3FE4A01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5.781.406</w:t>
            </w:r>
          </w:p>
        </w:tc>
      </w:tr>
      <w:tr w:rsidR="003E19A2" w:rsidRPr="00A81CB8" w14:paraId="51A2CD8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BD980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SE-N_45</w:t>
            </w:r>
          </w:p>
        </w:tc>
        <w:tc>
          <w:tcPr>
            <w:tcW w:w="3969" w:type="dxa"/>
            <w:tcBorders>
              <w:top w:val="nil"/>
              <w:left w:val="nil"/>
              <w:bottom w:val="single" w:sz="4" w:space="0" w:color="auto"/>
              <w:right w:val="single" w:sz="4" w:space="0" w:color="auto"/>
            </w:tcBorders>
            <w:shd w:val="clear" w:color="auto" w:fill="auto"/>
            <w:noWrap/>
            <w:vAlign w:val="center"/>
            <w:hideMark/>
          </w:tcPr>
          <w:p w14:paraId="3B7E08A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MIRAJE</w:t>
            </w:r>
          </w:p>
        </w:tc>
        <w:tc>
          <w:tcPr>
            <w:tcW w:w="2552" w:type="dxa"/>
            <w:tcBorders>
              <w:top w:val="nil"/>
              <w:left w:val="nil"/>
              <w:bottom w:val="single" w:sz="4" w:space="0" w:color="auto"/>
              <w:right w:val="single" w:sz="4" w:space="0" w:color="auto"/>
            </w:tcBorders>
            <w:shd w:val="clear" w:color="auto" w:fill="auto"/>
            <w:noWrap/>
            <w:hideMark/>
          </w:tcPr>
          <w:p w14:paraId="6D1ECCC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1.832.269</w:t>
            </w:r>
          </w:p>
        </w:tc>
      </w:tr>
      <w:tr w:rsidR="003E19A2" w:rsidRPr="00A81CB8" w14:paraId="6A8E02F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DB388C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SE-N_46</w:t>
            </w:r>
          </w:p>
        </w:tc>
        <w:tc>
          <w:tcPr>
            <w:tcW w:w="3969" w:type="dxa"/>
            <w:tcBorders>
              <w:top w:val="nil"/>
              <w:left w:val="nil"/>
              <w:bottom w:val="single" w:sz="4" w:space="0" w:color="auto"/>
              <w:right w:val="single" w:sz="4" w:space="0" w:color="auto"/>
            </w:tcBorders>
            <w:shd w:val="clear" w:color="auto" w:fill="auto"/>
            <w:noWrap/>
            <w:vAlign w:val="center"/>
            <w:hideMark/>
          </w:tcPr>
          <w:p w14:paraId="1B93719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Mulchén</w:t>
            </w:r>
          </w:p>
        </w:tc>
        <w:tc>
          <w:tcPr>
            <w:tcW w:w="2552" w:type="dxa"/>
            <w:tcBorders>
              <w:top w:val="nil"/>
              <w:left w:val="nil"/>
              <w:bottom w:val="single" w:sz="4" w:space="0" w:color="auto"/>
              <w:right w:val="single" w:sz="4" w:space="0" w:color="auto"/>
            </w:tcBorders>
            <w:shd w:val="clear" w:color="auto" w:fill="auto"/>
            <w:noWrap/>
            <w:hideMark/>
          </w:tcPr>
          <w:p w14:paraId="0278ACE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2.669.441</w:t>
            </w:r>
          </w:p>
        </w:tc>
      </w:tr>
      <w:tr w:rsidR="003E19A2" w:rsidRPr="00A81CB8" w14:paraId="4487226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514B0E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SE-N_47</w:t>
            </w:r>
          </w:p>
        </w:tc>
        <w:tc>
          <w:tcPr>
            <w:tcW w:w="3969" w:type="dxa"/>
            <w:tcBorders>
              <w:top w:val="nil"/>
              <w:left w:val="nil"/>
              <w:bottom w:val="single" w:sz="4" w:space="0" w:color="auto"/>
              <w:right w:val="single" w:sz="4" w:space="0" w:color="auto"/>
            </w:tcBorders>
            <w:shd w:val="clear" w:color="auto" w:fill="auto"/>
            <w:noWrap/>
            <w:vAlign w:val="center"/>
            <w:hideMark/>
          </w:tcPr>
          <w:p w14:paraId="65D3390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NEPTUNO</w:t>
            </w:r>
          </w:p>
        </w:tc>
        <w:tc>
          <w:tcPr>
            <w:tcW w:w="2552" w:type="dxa"/>
            <w:tcBorders>
              <w:top w:val="nil"/>
              <w:left w:val="nil"/>
              <w:bottom w:val="single" w:sz="4" w:space="0" w:color="auto"/>
              <w:right w:val="single" w:sz="4" w:space="0" w:color="auto"/>
            </w:tcBorders>
            <w:shd w:val="clear" w:color="auto" w:fill="auto"/>
            <w:noWrap/>
            <w:hideMark/>
          </w:tcPr>
          <w:p w14:paraId="733E9FD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1.388.851</w:t>
            </w:r>
          </w:p>
        </w:tc>
      </w:tr>
      <w:tr w:rsidR="003E19A2" w:rsidRPr="00A81CB8" w14:paraId="6247BA0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F4053F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SE-N_48</w:t>
            </w:r>
          </w:p>
        </w:tc>
        <w:tc>
          <w:tcPr>
            <w:tcW w:w="3969" w:type="dxa"/>
            <w:tcBorders>
              <w:top w:val="nil"/>
              <w:left w:val="nil"/>
              <w:bottom w:val="single" w:sz="4" w:space="0" w:color="auto"/>
              <w:right w:val="single" w:sz="4" w:space="0" w:color="auto"/>
            </w:tcBorders>
            <w:shd w:val="clear" w:color="auto" w:fill="auto"/>
            <w:noWrap/>
            <w:vAlign w:val="center"/>
            <w:hideMark/>
          </w:tcPr>
          <w:p w14:paraId="31E0FBB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NOGALES</w:t>
            </w:r>
          </w:p>
        </w:tc>
        <w:tc>
          <w:tcPr>
            <w:tcW w:w="2552" w:type="dxa"/>
            <w:tcBorders>
              <w:top w:val="nil"/>
              <w:left w:val="nil"/>
              <w:bottom w:val="single" w:sz="4" w:space="0" w:color="auto"/>
              <w:right w:val="single" w:sz="4" w:space="0" w:color="auto"/>
            </w:tcBorders>
            <w:shd w:val="clear" w:color="auto" w:fill="auto"/>
            <w:noWrap/>
            <w:hideMark/>
          </w:tcPr>
          <w:p w14:paraId="1F24CFE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1.460.044</w:t>
            </w:r>
          </w:p>
        </w:tc>
      </w:tr>
      <w:tr w:rsidR="003E19A2" w:rsidRPr="00A81CB8" w14:paraId="52ECB87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4B7E5A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SE-N_49</w:t>
            </w:r>
          </w:p>
        </w:tc>
        <w:tc>
          <w:tcPr>
            <w:tcW w:w="3969" w:type="dxa"/>
            <w:tcBorders>
              <w:top w:val="nil"/>
              <w:left w:val="nil"/>
              <w:bottom w:val="single" w:sz="4" w:space="0" w:color="auto"/>
              <w:right w:val="single" w:sz="4" w:space="0" w:color="auto"/>
            </w:tcBorders>
            <w:shd w:val="clear" w:color="auto" w:fill="auto"/>
            <w:noWrap/>
            <w:vAlign w:val="center"/>
            <w:hideMark/>
          </w:tcPr>
          <w:p w14:paraId="4DF2D67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Alto Melipilla</w:t>
            </w:r>
          </w:p>
        </w:tc>
        <w:tc>
          <w:tcPr>
            <w:tcW w:w="2552" w:type="dxa"/>
            <w:tcBorders>
              <w:top w:val="nil"/>
              <w:left w:val="nil"/>
              <w:bottom w:val="single" w:sz="4" w:space="0" w:color="auto"/>
              <w:right w:val="single" w:sz="4" w:space="0" w:color="auto"/>
            </w:tcBorders>
            <w:shd w:val="clear" w:color="auto" w:fill="auto"/>
            <w:noWrap/>
            <w:hideMark/>
          </w:tcPr>
          <w:p w14:paraId="781B85E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29EC546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E6EC85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SE-N_50</w:t>
            </w:r>
          </w:p>
        </w:tc>
        <w:tc>
          <w:tcPr>
            <w:tcW w:w="3969" w:type="dxa"/>
            <w:tcBorders>
              <w:top w:val="nil"/>
              <w:left w:val="nil"/>
              <w:bottom w:val="single" w:sz="4" w:space="0" w:color="auto"/>
              <w:right w:val="single" w:sz="4" w:space="0" w:color="auto"/>
            </w:tcBorders>
            <w:shd w:val="clear" w:color="auto" w:fill="auto"/>
            <w:noWrap/>
            <w:vAlign w:val="center"/>
            <w:hideMark/>
          </w:tcPr>
          <w:p w14:paraId="5B0964A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Cardones</w:t>
            </w:r>
          </w:p>
        </w:tc>
        <w:tc>
          <w:tcPr>
            <w:tcW w:w="2552" w:type="dxa"/>
            <w:tcBorders>
              <w:top w:val="nil"/>
              <w:left w:val="nil"/>
              <w:bottom w:val="single" w:sz="4" w:space="0" w:color="auto"/>
              <w:right w:val="single" w:sz="4" w:space="0" w:color="auto"/>
            </w:tcBorders>
            <w:shd w:val="clear" w:color="auto" w:fill="auto"/>
            <w:noWrap/>
            <w:hideMark/>
          </w:tcPr>
          <w:p w14:paraId="12678F2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12.606.347</w:t>
            </w:r>
          </w:p>
        </w:tc>
      </w:tr>
      <w:tr w:rsidR="003E19A2" w:rsidRPr="00A81CB8" w14:paraId="172B462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A6F40A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SE-N_51</w:t>
            </w:r>
          </w:p>
        </w:tc>
        <w:tc>
          <w:tcPr>
            <w:tcW w:w="3969" w:type="dxa"/>
            <w:tcBorders>
              <w:top w:val="nil"/>
              <w:left w:val="nil"/>
              <w:bottom w:val="single" w:sz="4" w:space="0" w:color="auto"/>
              <w:right w:val="single" w:sz="4" w:space="0" w:color="auto"/>
            </w:tcBorders>
            <w:shd w:val="clear" w:color="auto" w:fill="auto"/>
            <w:noWrap/>
            <w:vAlign w:val="center"/>
            <w:hideMark/>
          </w:tcPr>
          <w:p w14:paraId="490FE77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Pichirropulli</w:t>
            </w:r>
          </w:p>
        </w:tc>
        <w:tc>
          <w:tcPr>
            <w:tcW w:w="2552" w:type="dxa"/>
            <w:tcBorders>
              <w:top w:val="nil"/>
              <w:left w:val="nil"/>
              <w:bottom w:val="single" w:sz="4" w:space="0" w:color="auto"/>
              <w:right w:val="single" w:sz="4" w:space="0" w:color="auto"/>
            </w:tcBorders>
            <w:shd w:val="clear" w:color="auto" w:fill="auto"/>
            <w:noWrap/>
            <w:hideMark/>
          </w:tcPr>
          <w:p w14:paraId="02306F5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5.733.250</w:t>
            </w:r>
          </w:p>
        </w:tc>
      </w:tr>
      <w:tr w:rsidR="003E19A2" w:rsidRPr="00A81CB8" w14:paraId="421E7BB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22F03D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SE-N_52</w:t>
            </w:r>
          </w:p>
        </w:tc>
        <w:tc>
          <w:tcPr>
            <w:tcW w:w="3969" w:type="dxa"/>
            <w:tcBorders>
              <w:top w:val="nil"/>
              <w:left w:val="nil"/>
              <w:bottom w:val="single" w:sz="4" w:space="0" w:color="auto"/>
              <w:right w:val="single" w:sz="4" w:space="0" w:color="auto"/>
            </w:tcBorders>
            <w:shd w:val="clear" w:color="auto" w:fill="auto"/>
            <w:noWrap/>
            <w:vAlign w:val="center"/>
            <w:hideMark/>
          </w:tcPr>
          <w:p w14:paraId="10B3060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Victoria</w:t>
            </w:r>
          </w:p>
        </w:tc>
        <w:tc>
          <w:tcPr>
            <w:tcW w:w="2552" w:type="dxa"/>
            <w:tcBorders>
              <w:top w:val="nil"/>
              <w:left w:val="nil"/>
              <w:bottom w:val="single" w:sz="4" w:space="0" w:color="auto"/>
              <w:right w:val="single" w:sz="4" w:space="0" w:color="auto"/>
            </w:tcBorders>
            <w:shd w:val="clear" w:color="auto" w:fill="auto"/>
            <w:noWrap/>
            <w:hideMark/>
          </w:tcPr>
          <w:p w14:paraId="3EFB19E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38F122C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67C83B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SE-N_53</w:t>
            </w:r>
          </w:p>
        </w:tc>
        <w:tc>
          <w:tcPr>
            <w:tcW w:w="3969" w:type="dxa"/>
            <w:tcBorders>
              <w:top w:val="nil"/>
              <w:left w:val="nil"/>
              <w:bottom w:val="single" w:sz="4" w:space="0" w:color="auto"/>
              <w:right w:val="single" w:sz="4" w:space="0" w:color="auto"/>
            </w:tcBorders>
            <w:shd w:val="clear" w:color="auto" w:fill="auto"/>
            <w:noWrap/>
            <w:vAlign w:val="center"/>
            <w:hideMark/>
          </w:tcPr>
          <w:p w14:paraId="11D6608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O'Higgins</w:t>
            </w:r>
          </w:p>
        </w:tc>
        <w:tc>
          <w:tcPr>
            <w:tcW w:w="2552" w:type="dxa"/>
            <w:tcBorders>
              <w:top w:val="nil"/>
              <w:left w:val="nil"/>
              <w:bottom w:val="single" w:sz="4" w:space="0" w:color="auto"/>
              <w:right w:val="single" w:sz="4" w:space="0" w:color="auto"/>
            </w:tcBorders>
            <w:shd w:val="clear" w:color="auto" w:fill="auto"/>
            <w:noWrap/>
            <w:hideMark/>
          </w:tcPr>
          <w:p w14:paraId="6841A20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872.157</w:t>
            </w:r>
          </w:p>
        </w:tc>
      </w:tr>
      <w:tr w:rsidR="003E19A2" w:rsidRPr="00A81CB8" w14:paraId="5C1093B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5D1314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SE-N_54</w:t>
            </w:r>
          </w:p>
        </w:tc>
        <w:tc>
          <w:tcPr>
            <w:tcW w:w="3969" w:type="dxa"/>
            <w:tcBorders>
              <w:top w:val="nil"/>
              <w:left w:val="nil"/>
              <w:bottom w:val="single" w:sz="4" w:space="0" w:color="auto"/>
              <w:right w:val="single" w:sz="4" w:space="0" w:color="auto"/>
            </w:tcBorders>
            <w:shd w:val="clear" w:color="auto" w:fill="auto"/>
            <w:noWrap/>
            <w:vAlign w:val="center"/>
            <w:hideMark/>
          </w:tcPr>
          <w:p w14:paraId="155B13C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PAN DE AZUCAR</w:t>
            </w:r>
          </w:p>
        </w:tc>
        <w:tc>
          <w:tcPr>
            <w:tcW w:w="2552" w:type="dxa"/>
            <w:tcBorders>
              <w:top w:val="nil"/>
              <w:left w:val="nil"/>
              <w:bottom w:val="single" w:sz="4" w:space="0" w:color="auto"/>
              <w:right w:val="single" w:sz="4" w:space="0" w:color="auto"/>
            </w:tcBorders>
            <w:shd w:val="clear" w:color="auto" w:fill="auto"/>
            <w:noWrap/>
            <w:hideMark/>
          </w:tcPr>
          <w:p w14:paraId="6211B31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37.408.390</w:t>
            </w:r>
          </w:p>
        </w:tc>
      </w:tr>
      <w:tr w:rsidR="003E19A2" w:rsidRPr="00A81CB8" w14:paraId="5555C83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2FF677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SE-N_55</w:t>
            </w:r>
          </w:p>
        </w:tc>
        <w:tc>
          <w:tcPr>
            <w:tcW w:w="3969" w:type="dxa"/>
            <w:tcBorders>
              <w:top w:val="nil"/>
              <w:left w:val="nil"/>
              <w:bottom w:val="single" w:sz="4" w:space="0" w:color="auto"/>
              <w:right w:val="single" w:sz="4" w:space="0" w:color="auto"/>
            </w:tcBorders>
            <w:shd w:val="clear" w:color="auto" w:fill="auto"/>
            <w:noWrap/>
            <w:vAlign w:val="center"/>
            <w:hideMark/>
          </w:tcPr>
          <w:p w14:paraId="1B31ECF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PARINACOTA</w:t>
            </w:r>
          </w:p>
        </w:tc>
        <w:tc>
          <w:tcPr>
            <w:tcW w:w="2552" w:type="dxa"/>
            <w:tcBorders>
              <w:top w:val="nil"/>
              <w:left w:val="nil"/>
              <w:bottom w:val="single" w:sz="4" w:space="0" w:color="auto"/>
              <w:right w:val="single" w:sz="4" w:space="0" w:color="auto"/>
            </w:tcBorders>
            <w:shd w:val="clear" w:color="auto" w:fill="auto"/>
            <w:noWrap/>
            <w:hideMark/>
          </w:tcPr>
          <w:p w14:paraId="655DAA2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4.652.605</w:t>
            </w:r>
          </w:p>
        </w:tc>
      </w:tr>
      <w:tr w:rsidR="003E19A2" w:rsidRPr="00A81CB8" w14:paraId="78366D1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6EF310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SE-N_56</w:t>
            </w:r>
          </w:p>
        </w:tc>
        <w:tc>
          <w:tcPr>
            <w:tcW w:w="3969" w:type="dxa"/>
            <w:tcBorders>
              <w:top w:val="nil"/>
              <w:left w:val="nil"/>
              <w:bottom w:val="single" w:sz="4" w:space="0" w:color="auto"/>
              <w:right w:val="single" w:sz="4" w:space="0" w:color="auto"/>
            </w:tcBorders>
            <w:shd w:val="clear" w:color="auto" w:fill="auto"/>
            <w:noWrap/>
            <w:vAlign w:val="center"/>
            <w:hideMark/>
          </w:tcPr>
          <w:p w14:paraId="3139098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POLPAICO</w:t>
            </w:r>
          </w:p>
        </w:tc>
        <w:tc>
          <w:tcPr>
            <w:tcW w:w="2552" w:type="dxa"/>
            <w:tcBorders>
              <w:top w:val="nil"/>
              <w:left w:val="nil"/>
              <w:bottom w:val="single" w:sz="4" w:space="0" w:color="auto"/>
              <w:right w:val="single" w:sz="4" w:space="0" w:color="auto"/>
            </w:tcBorders>
            <w:shd w:val="clear" w:color="auto" w:fill="auto"/>
            <w:noWrap/>
            <w:hideMark/>
          </w:tcPr>
          <w:p w14:paraId="7430338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45.626.118</w:t>
            </w:r>
          </w:p>
        </w:tc>
      </w:tr>
      <w:tr w:rsidR="003E19A2" w:rsidRPr="00A81CB8" w14:paraId="2ED0188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B0395C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SE-N_57</w:t>
            </w:r>
          </w:p>
        </w:tc>
        <w:tc>
          <w:tcPr>
            <w:tcW w:w="3969" w:type="dxa"/>
            <w:tcBorders>
              <w:top w:val="nil"/>
              <w:left w:val="nil"/>
              <w:bottom w:val="single" w:sz="4" w:space="0" w:color="auto"/>
              <w:right w:val="single" w:sz="4" w:space="0" w:color="auto"/>
            </w:tcBorders>
            <w:shd w:val="clear" w:color="auto" w:fill="auto"/>
            <w:noWrap/>
            <w:vAlign w:val="center"/>
            <w:hideMark/>
          </w:tcPr>
          <w:p w14:paraId="339589F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Pozo Almonte</w:t>
            </w:r>
          </w:p>
        </w:tc>
        <w:tc>
          <w:tcPr>
            <w:tcW w:w="2552" w:type="dxa"/>
            <w:tcBorders>
              <w:top w:val="nil"/>
              <w:left w:val="nil"/>
              <w:bottom w:val="single" w:sz="4" w:space="0" w:color="auto"/>
              <w:right w:val="single" w:sz="4" w:space="0" w:color="auto"/>
            </w:tcBorders>
            <w:shd w:val="clear" w:color="auto" w:fill="auto"/>
            <w:noWrap/>
            <w:hideMark/>
          </w:tcPr>
          <w:p w14:paraId="0ADBD6E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2.311.472</w:t>
            </w:r>
          </w:p>
        </w:tc>
      </w:tr>
      <w:tr w:rsidR="003E19A2" w:rsidRPr="00A81CB8" w14:paraId="4E29348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4A179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SE-N_58</w:t>
            </w:r>
          </w:p>
        </w:tc>
        <w:tc>
          <w:tcPr>
            <w:tcW w:w="3969" w:type="dxa"/>
            <w:tcBorders>
              <w:top w:val="nil"/>
              <w:left w:val="nil"/>
              <w:bottom w:val="single" w:sz="4" w:space="0" w:color="auto"/>
              <w:right w:val="single" w:sz="4" w:space="0" w:color="auto"/>
            </w:tcBorders>
            <w:shd w:val="clear" w:color="auto" w:fill="auto"/>
            <w:noWrap/>
            <w:vAlign w:val="center"/>
            <w:hideMark/>
          </w:tcPr>
          <w:p w14:paraId="3577AAD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Puente Negro</w:t>
            </w:r>
          </w:p>
        </w:tc>
        <w:tc>
          <w:tcPr>
            <w:tcW w:w="2552" w:type="dxa"/>
            <w:tcBorders>
              <w:top w:val="nil"/>
              <w:left w:val="nil"/>
              <w:bottom w:val="single" w:sz="4" w:space="0" w:color="auto"/>
              <w:right w:val="single" w:sz="4" w:space="0" w:color="auto"/>
            </w:tcBorders>
            <w:shd w:val="clear" w:color="auto" w:fill="auto"/>
            <w:noWrap/>
            <w:hideMark/>
          </w:tcPr>
          <w:p w14:paraId="4AE1A95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15E5B52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DD22B4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SE-N_59</w:t>
            </w:r>
          </w:p>
        </w:tc>
        <w:tc>
          <w:tcPr>
            <w:tcW w:w="3969" w:type="dxa"/>
            <w:tcBorders>
              <w:top w:val="nil"/>
              <w:left w:val="nil"/>
              <w:bottom w:val="single" w:sz="4" w:space="0" w:color="auto"/>
              <w:right w:val="single" w:sz="4" w:space="0" w:color="auto"/>
            </w:tcBorders>
            <w:shd w:val="clear" w:color="auto" w:fill="auto"/>
            <w:noWrap/>
            <w:vAlign w:val="center"/>
            <w:hideMark/>
          </w:tcPr>
          <w:p w14:paraId="22D296F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PUERTO MONTT</w:t>
            </w:r>
          </w:p>
        </w:tc>
        <w:tc>
          <w:tcPr>
            <w:tcW w:w="2552" w:type="dxa"/>
            <w:tcBorders>
              <w:top w:val="nil"/>
              <w:left w:val="nil"/>
              <w:bottom w:val="single" w:sz="4" w:space="0" w:color="auto"/>
              <w:right w:val="single" w:sz="4" w:space="0" w:color="auto"/>
            </w:tcBorders>
            <w:shd w:val="clear" w:color="auto" w:fill="auto"/>
            <w:noWrap/>
            <w:hideMark/>
          </w:tcPr>
          <w:p w14:paraId="03F62B3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8.933.267</w:t>
            </w:r>
          </w:p>
        </w:tc>
      </w:tr>
      <w:tr w:rsidR="003E19A2" w:rsidRPr="00A81CB8" w14:paraId="5943608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862710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SE-N_60</w:t>
            </w:r>
          </w:p>
        </w:tc>
        <w:tc>
          <w:tcPr>
            <w:tcW w:w="3969" w:type="dxa"/>
            <w:tcBorders>
              <w:top w:val="nil"/>
              <w:left w:val="nil"/>
              <w:bottom w:val="single" w:sz="4" w:space="0" w:color="auto"/>
              <w:right w:val="single" w:sz="4" w:space="0" w:color="auto"/>
            </w:tcBorders>
            <w:shd w:val="clear" w:color="auto" w:fill="auto"/>
            <w:noWrap/>
            <w:vAlign w:val="center"/>
            <w:hideMark/>
          </w:tcPr>
          <w:p w14:paraId="639702A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PUNTA COLORADA</w:t>
            </w:r>
          </w:p>
        </w:tc>
        <w:tc>
          <w:tcPr>
            <w:tcW w:w="2552" w:type="dxa"/>
            <w:tcBorders>
              <w:top w:val="nil"/>
              <w:left w:val="nil"/>
              <w:bottom w:val="single" w:sz="4" w:space="0" w:color="auto"/>
              <w:right w:val="single" w:sz="4" w:space="0" w:color="auto"/>
            </w:tcBorders>
            <w:shd w:val="clear" w:color="auto" w:fill="auto"/>
            <w:noWrap/>
            <w:hideMark/>
          </w:tcPr>
          <w:p w14:paraId="334E2DE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2.259.504</w:t>
            </w:r>
          </w:p>
        </w:tc>
      </w:tr>
      <w:tr w:rsidR="003E19A2" w:rsidRPr="00A81CB8" w14:paraId="29C38C5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8DA75E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SE-N_61</w:t>
            </w:r>
          </w:p>
        </w:tc>
        <w:tc>
          <w:tcPr>
            <w:tcW w:w="3969" w:type="dxa"/>
            <w:tcBorders>
              <w:top w:val="nil"/>
              <w:left w:val="nil"/>
              <w:bottom w:val="single" w:sz="4" w:space="0" w:color="auto"/>
              <w:right w:val="single" w:sz="4" w:space="0" w:color="auto"/>
            </w:tcBorders>
            <w:shd w:val="clear" w:color="auto" w:fill="auto"/>
            <w:noWrap/>
            <w:vAlign w:val="center"/>
            <w:hideMark/>
          </w:tcPr>
          <w:p w14:paraId="3FE90EF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Punta Sierra</w:t>
            </w:r>
          </w:p>
        </w:tc>
        <w:tc>
          <w:tcPr>
            <w:tcW w:w="2552" w:type="dxa"/>
            <w:tcBorders>
              <w:top w:val="nil"/>
              <w:left w:val="nil"/>
              <w:bottom w:val="single" w:sz="4" w:space="0" w:color="auto"/>
              <w:right w:val="single" w:sz="4" w:space="0" w:color="auto"/>
            </w:tcBorders>
            <w:shd w:val="clear" w:color="auto" w:fill="auto"/>
            <w:noWrap/>
            <w:hideMark/>
          </w:tcPr>
          <w:p w14:paraId="6AF08FA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4EFA617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DEB2ED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SE-N_62</w:t>
            </w:r>
          </w:p>
        </w:tc>
        <w:tc>
          <w:tcPr>
            <w:tcW w:w="3969" w:type="dxa"/>
            <w:tcBorders>
              <w:top w:val="nil"/>
              <w:left w:val="nil"/>
              <w:bottom w:val="single" w:sz="4" w:space="0" w:color="auto"/>
              <w:right w:val="single" w:sz="4" w:space="0" w:color="auto"/>
            </w:tcBorders>
            <w:shd w:val="clear" w:color="auto" w:fill="auto"/>
            <w:noWrap/>
            <w:vAlign w:val="center"/>
            <w:hideMark/>
          </w:tcPr>
          <w:p w14:paraId="527083A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CENTRAL QUILAPILUN</w:t>
            </w:r>
          </w:p>
        </w:tc>
        <w:tc>
          <w:tcPr>
            <w:tcW w:w="2552" w:type="dxa"/>
            <w:tcBorders>
              <w:top w:val="nil"/>
              <w:left w:val="nil"/>
              <w:bottom w:val="single" w:sz="4" w:space="0" w:color="auto"/>
              <w:right w:val="single" w:sz="4" w:space="0" w:color="auto"/>
            </w:tcBorders>
            <w:shd w:val="clear" w:color="auto" w:fill="auto"/>
            <w:noWrap/>
            <w:hideMark/>
          </w:tcPr>
          <w:p w14:paraId="4178B66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409.943</w:t>
            </w:r>
          </w:p>
        </w:tc>
      </w:tr>
      <w:tr w:rsidR="003E19A2" w:rsidRPr="00A81CB8" w14:paraId="152D622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7ACA9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SE-N_63</w:t>
            </w:r>
          </w:p>
        </w:tc>
        <w:tc>
          <w:tcPr>
            <w:tcW w:w="3969" w:type="dxa"/>
            <w:tcBorders>
              <w:top w:val="nil"/>
              <w:left w:val="nil"/>
              <w:bottom w:val="single" w:sz="4" w:space="0" w:color="auto"/>
              <w:right w:val="single" w:sz="4" w:space="0" w:color="auto"/>
            </w:tcBorders>
            <w:shd w:val="clear" w:color="auto" w:fill="auto"/>
            <w:noWrap/>
            <w:vAlign w:val="center"/>
            <w:hideMark/>
          </w:tcPr>
          <w:p w14:paraId="5FBB801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OFF QUILLAGUA</w:t>
            </w:r>
          </w:p>
        </w:tc>
        <w:tc>
          <w:tcPr>
            <w:tcW w:w="2552" w:type="dxa"/>
            <w:tcBorders>
              <w:top w:val="nil"/>
              <w:left w:val="nil"/>
              <w:bottom w:val="single" w:sz="4" w:space="0" w:color="auto"/>
              <w:right w:val="single" w:sz="4" w:space="0" w:color="auto"/>
            </w:tcBorders>
            <w:shd w:val="clear" w:color="auto" w:fill="auto"/>
            <w:noWrap/>
            <w:hideMark/>
          </w:tcPr>
          <w:p w14:paraId="372EB04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96.558</w:t>
            </w:r>
          </w:p>
        </w:tc>
      </w:tr>
      <w:tr w:rsidR="003E19A2" w:rsidRPr="00A81CB8" w14:paraId="70A6467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91BE55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SE-N_64</w:t>
            </w:r>
          </w:p>
        </w:tc>
        <w:tc>
          <w:tcPr>
            <w:tcW w:w="3969" w:type="dxa"/>
            <w:tcBorders>
              <w:top w:val="nil"/>
              <w:left w:val="nil"/>
              <w:bottom w:val="single" w:sz="4" w:space="0" w:color="auto"/>
              <w:right w:val="single" w:sz="4" w:space="0" w:color="auto"/>
            </w:tcBorders>
            <w:shd w:val="clear" w:color="auto" w:fill="auto"/>
            <w:noWrap/>
            <w:vAlign w:val="center"/>
            <w:hideMark/>
          </w:tcPr>
          <w:p w14:paraId="0E38F1C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QUILLOTA</w:t>
            </w:r>
          </w:p>
        </w:tc>
        <w:tc>
          <w:tcPr>
            <w:tcW w:w="2552" w:type="dxa"/>
            <w:tcBorders>
              <w:top w:val="nil"/>
              <w:left w:val="nil"/>
              <w:bottom w:val="single" w:sz="4" w:space="0" w:color="auto"/>
              <w:right w:val="single" w:sz="4" w:space="0" w:color="auto"/>
            </w:tcBorders>
            <w:shd w:val="clear" w:color="auto" w:fill="auto"/>
            <w:noWrap/>
            <w:hideMark/>
          </w:tcPr>
          <w:p w14:paraId="39A100B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4.354.831</w:t>
            </w:r>
          </w:p>
        </w:tc>
      </w:tr>
      <w:tr w:rsidR="003E19A2" w:rsidRPr="00A81CB8" w14:paraId="2E307A2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5EB6F4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SE-N_65</w:t>
            </w:r>
          </w:p>
        </w:tc>
        <w:tc>
          <w:tcPr>
            <w:tcW w:w="3969" w:type="dxa"/>
            <w:tcBorders>
              <w:top w:val="nil"/>
              <w:left w:val="nil"/>
              <w:bottom w:val="single" w:sz="4" w:space="0" w:color="auto"/>
              <w:right w:val="single" w:sz="4" w:space="0" w:color="auto"/>
            </w:tcBorders>
            <w:shd w:val="clear" w:color="auto" w:fill="auto"/>
            <w:noWrap/>
            <w:vAlign w:val="center"/>
            <w:hideMark/>
          </w:tcPr>
          <w:p w14:paraId="2419858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RAHUE</w:t>
            </w:r>
          </w:p>
        </w:tc>
        <w:tc>
          <w:tcPr>
            <w:tcW w:w="2552" w:type="dxa"/>
            <w:tcBorders>
              <w:top w:val="nil"/>
              <w:left w:val="nil"/>
              <w:bottom w:val="single" w:sz="4" w:space="0" w:color="auto"/>
              <w:right w:val="single" w:sz="4" w:space="0" w:color="auto"/>
            </w:tcBorders>
            <w:shd w:val="clear" w:color="auto" w:fill="auto"/>
            <w:noWrap/>
            <w:hideMark/>
          </w:tcPr>
          <w:p w14:paraId="0223B05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2.520.371</w:t>
            </w:r>
          </w:p>
        </w:tc>
      </w:tr>
      <w:tr w:rsidR="003E19A2" w:rsidRPr="00A81CB8" w14:paraId="3409F95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4CA283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SE-N_66</w:t>
            </w:r>
          </w:p>
        </w:tc>
        <w:tc>
          <w:tcPr>
            <w:tcW w:w="3969" w:type="dxa"/>
            <w:tcBorders>
              <w:top w:val="nil"/>
              <w:left w:val="nil"/>
              <w:bottom w:val="single" w:sz="4" w:space="0" w:color="auto"/>
              <w:right w:val="single" w:sz="4" w:space="0" w:color="auto"/>
            </w:tcBorders>
            <w:shd w:val="clear" w:color="auto" w:fill="auto"/>
            <w:noWrap/>
            <w:vAlign w:val="center"/>
            <w:hideMark/>
          </w:tcPr>
          <w:p w14:paraId="2A76C4B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RAPEL</w:t>
            </w:r>
          </w:p>
        </w:tc>
        <w:tc>
          <w:tcPr>
            <w:tcW w:w="2552" w:type="dxa"/>
            <w:tcBorders>
              <w:top w:val="nil"/>
              <w:left w:val="nil"/>
              <w:bottom w:val="single" w:sz="4" w:space="0" w:color="auto"/>
              <w:right w:val="single" w:sz="4" w:space="0" w:color="auto"/>
            </w:tcBorders>
            <w:shd w:val="clear" w:color="auto" w:fill="auto"/>
            <w:noWrap/>
            <w:hideMark/>
          </w:tcPr>
          <w:p w14:paraId="2965736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2.932.306</w:t>
            </w:r>
          </w:p>
        </w:tc>
      </w:tr>
      <w:tr w:rsidR="003E19A2" w:rsidRPr="00A81CB8" w14:paraId="271E5F8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DB0135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SE-N_67</w:t>
            </w:r>
          </w:p>
        </w:tc>
        <w:tc>
          <w:tcPr>
            <w:tcW w:w="3969" w:type="dxa"/>
            <w:tcBorders>
              <w:top w:val="nil"/>
              <w:left w:val="nil"/>
              <w:bottom w:val="single" w:sz="4" w:space="0" w:color="auto"/>
              <w:right w:val="single" w:sz="4" w:space="0" w:color="auto"/>
            </w:tcBorders>
            <w:shd w:val="clear" w:color="auto" w:fill="auto"/>
            <w:noWrap/>
            <w:vAlign w:val="center"/>
            <w:hideMark/>
          </w:tcPr>
          <w:p w14:paraId="66E1DC8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SAN ANDRES</w:t>
            </w:r>
          </w:p>
        </w:tc>
        <w:tc>
          <w:tcPr>
            <w:tcW w:w="2552" w:type="dxa"/>
            <w:tcBorders>
              <w:top w:val="nil"/>
              <w:left w:val="nil"/>
              <w:bottom w:val="single" w:sz="4" w:space="0" w:color="auto"/>
              <w:right w:val="single" w:sz="4" w:space="0" w:color="auto"/>
            </w:tcBorders>
            <w:shd w:val="clear" w:color="auto" w:fill="auto"/>
            <w:noWrap/>
            <w:hideMark/>
          </w:tcPr>
          <w:p w14:paraId="01D6C3B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13.685.637</w:t>
            </w:r>
          </w:p>
        </w:tc>
      </w:tr>
      <w:tr w:rsidR="003E19A2" w:rsidRPr="00A81CB8" w14:paraId="41C53F6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3438C0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SE-N_68</w:t>
            </w:r>
          </w:p>
        </w:tc>
        <w:tc>
          <w:tcPr>
            <w:tcW w:w="3969" w:type="dxa"/>
            <w:tcBorders>
              <w:top w:val="nil"/>
              <w:left w:val="nil"/>
              <w:bottom w:val="single" w:sz="4" w:space="0" w:color="auto"/>
              <w:right w:val="single" w:sz="4" w:space="0" w:color="auto"/>
            </w:tcBorders>
            <w:shd w:val="clear" w:color="auto" w:fill="auto"/>
            <w:noWrap/>
            <w:vAlign w:val="center"/>
            <w:hideMark/>
          </w:tcPr>
          <w:p w14:paraId="6160763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Salar</w:t>
            </w:r>
          </w:p>
        </w:tc>
        <w:tc>
          <w:tcPr>
            <w:tcW w:w="2552" w:type="dxa"/>
            <w:tcBorders>
              <w:top w:val="nil"/>
              <w:left w:val="nil"/>
              <w:bottom w:val="single" w:sz="4" w:space="0" w:color="auto"/>
              <w:right w:val="single" w:sz="4" w:space="0" w:color="auto"/>
            </w:tcBorders>
            <w:shd w:val="clear" w:color="auto" w:fill="auto"/>
            <w:noWrap/>
            <w:hideMark/>
          </w:tcPr>
          <w:p w14:paraId="4CA3C4E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2.489.192</w:t>
            </w:r>
          </w:p>
        </w:tc>
      </w:tr>
      <w:tr w:rsidR="003E19A2" w:rsidRPr="00A81CB8" w14:paraId="739016A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71E7E2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SE-N_69</w:t>
            </w:r>
          </w:p>
        </w:tc>
        <w:tc>
          <w:tcPr>
            <w:tcW w:w="3969" w:type="dxa"/>
            <w:tcBorders>
              <w:top w:val="nil"/>
              <w:left w:val="nil"/>
              <w:bottom w:val="single" w:sz="4" w:space="0" w:color="auto"/>
              <w:right w:val="single" w:sz="4" w:space="0" w:color="auto"/>
            </w:tcBorders>
            <w:shd w:val="clear" w:color="auto" w:fill="auto"/>
            <w:noWrap/>
            <w:vAlign w:val="center"/>
            <w:hideMark/>
          </w:tcPr>
          <w:p w14:paraId="77DA844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SAN LUIS</w:t>
            </w:r>
          </w:p>
        </w:tc>
        <w:tc>
          <w:tcPr>
            <w:tcW w:w="2552" w:type="dxa"/>
            <w:tcBorders>
              <w:top w:val="nil"/>
              <w:left w:val="nil"/>
              <w:bottom w:val="single" w:sz="4" w:space="0" w:color="auto"/>
              <w:right w:val="single" w:sz="4" w:space="0" w:color="auto"/>
            </w:tcBorders>
            <w:shd w:val="clear" w:color="auto" w:fill="auto"/>
            <w:noWrap/>
            <w:hideMark/>
          </w:tcPr>
          <w:p w14:paraId="1512213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1.790.481</w:t>
            </w:r>
          </w:p>
        </w:tc>
      </w:tr>
      <w:tr w:rsidR="003E19A2" w:rsidRPr="00A81CB8" w14:paraId="15D0DC2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C244A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SE-N_70</w:t>
            </w:r>
          </w:p>
        </w:tc>
        <w:tc>
          <w:tcPr>
            <w:tcW w:w="3969" w:type="dxa"/>
            <w:tcBorders>
              <w:top w:val="nil"/>
              <w:left w:val="nil"/>
              <w:bottom w:val="single" w:sz="4" w:space="0" w:color="auto"/>
              <w:right w:val="single" w:sz="4" w:space="0" w:color="auto"/>
            </w:tcBorders>
            <w:shd w:val="clear" w:color="auto" w:fill="auto"/>
            <w:noWrap/>
            <w:vAlign w:val="center"/>
            <w:hideMark/>
          </w:tcPr>
          <w:p w14:paraId="2CCFE2C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San Simon</w:t>
            </w:r>
          </w:p>
        </w:tc>
        <w:tc>
          <w:tcPr>
            <w:tcW w:w="2552" w:type="dxa"/>
            <w:tcBorders>
              <w:top w:val="nil"/>
              <w:left w:val="nil"/>
              <w:bottom w:val="single" w:sz="4" w:space="0" w:color="auto"/>
              <w:right w:val="single" w:sz="4" w:space="0" w:color="auto"/>
            </w:tcBorders>
            <w:shd w:val="clear" w:color="auto" w:fill="auto"/>
            <w:noWrap/>
            <w:hideMark/>
          </w:tcPr>
          <w:p w14:paraId="3E3BC3B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2086FD7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89AFB1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SE-N_71</w:t>
            </w:r>
          </w:p>
        </w:tc>
        <w:tc>
          <w:tcPr>
            <w:tcW w:w="3969" w:type="dxa"/>
            <w:tcBorders>
              <w:top w:val="nil"/>
              <w:left w:val="nil"/>
              <w:bottom w:val="single" w:sz="4" w:space="0" w:color="auto"/>
              <w:right w:val="single" w:sz="4" w:space="0" w:color="auto"/>
            </w:tcBorders>
            <w:shd w:val="clear" w:color="auto" w:fill="auto"/>
            <w:noWrap/>
            <w:vAlign w:val="center"/>
            <w:hideMark/>
          </w:tcPr>
          <w:p w14:paraId="3C9EA3C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Central Santa Marta</w:t>
            </w:r>
          </w:p>
        </w:tc>
        <w:tc>
          <w:tcPr>
            <w:tcW w:w="2552" w:type="dxa"/>
            <w:tcBorders>
              <w:top w:val="nil"/>
              <w:left w:val="nil"/>
              <w:bottom w:val="single" w:sz="4" w:space="0" w:color="auto"/>
              <w:right w:val="single" w:sz="4" w:space="0" w:color="auto"/>
            </w:tcBorders>
            <w:shd w:val="clear" w:color="auto" w:fill="auto"/>
            <w:noWrap/>
            <w:hideMark/>
          </w:tcPr>
          <w:p w14:paraId="2CFDD2A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426EB41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5B6FC9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SE-N_72</w:t>
            </w:r>
          </w:p>
        </w:tc>
        <w:tc>
          <w:tcPr>
            <w:tcW w:w="3969" w:type="dxa"/>
            <w:tcBorders>
              <w:top w:val="nil"/>
              <w:left w:val="nil"/>
              <w:bottom w:val="single" w:sz="4" w:space="0" w:color="auto"/>
              <w:right w:val="single" w:sz="4" w:space="0" w:color="auto"/>
            </w:tcBorders>
            <w:shd w:val="clear" w:color="auto" w:fill="auto"/>
            <w:noWrap/>
            <w:vAlign w:val="center"/>
            <w:hideMark/>
          </w:tcPr>
          <w:p w14:paraId="08064EA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Chicureo</w:t>
            </w:r>
          </w:p>
        </w:tc>
        <w:tc>
          <w:tcPr>
            <w:tcW w:w="2552" w:type="dxa"/>
            <w:tcBorders>
              <w:top w:val="nil"/>
              <w:left w:val="nil"/>
              <w:bottom w:val="single" w:sz="4" w:space="0" w:color="auto"/>
              <w:right w:val="single" w:sz="4" w:space="0" w:color="auto"/>
            </w:tcBorders>
            <w:shd w:val="clear" w:color="auto" w:fill="auto"/>
            <w:noWrap/>
            <w:hideMark/>
          </w:tcPr>
          <w:p w14:paraId="7504564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489D541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BFEB4B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SE-N_73</w:t>
            </w:r>
          </w:p>
        </w:tc>
        <w:tc>
          <w:tcPr>
            <w:tcW w:w="3969" w:type="dxa"/>
            <w:tcBorders>
              <w:top w:val="nil"/>
              <w:left w:val="nil"/>
              <w:bottom w:val="single" w:sz="4" w:space="0" w:color="auto"/>
              <w:right w:val="single" w:sz="4" w:space="0" w:color="auto"/>
            </w:tcBorders>
            <w:shd w:val="clear" w:color="auto" w:fill="auto"/>
            <w:noWrap/>
            <w:vAlign w:val="center"/>
            <w:hideMark/>
          </w:tcPr>
          <w:p w14:paraId="656871D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Doña Carmen</w:t>
            </w:r>
          </w:p>
        </w:tc>
        <w:tc>
          <w:tcPr>
            <w:tcW w:w="2552" w:type="dxa"/>
            <w:tcBorders>
              <w:top w:val="nil"/>
              <w:left w:val="nil"/>
              <w:bottom w:val="single" w:sz="4" w:space="0" w:color="auto"/>
              <w:right w:val="single" w:sz="4" w:space="0" w:color="auto"/>
            </w:tcBorders>
            <w:shd w:val="clear" w:color="auto" w:fill="auto"/>
            <w:noWrap/>
            <w:hideMark/>
          </w:tcPr>
          <w:p w14:paraId="72E4A51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76CA259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6AFEB2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SE-N_74</w:t>
            </w:r>
          </w:p>
        </w:tc>
        <w:tc>
          <w:tcPr>
            <w:tcW w:w="3969" w:type="dxa"/>
            <w:tcBorders>
              <w:top w:val="nil"/>
              <w:left w:val="nil"/>
              <w:bottom w:val="single" w:sz="4" w:space="0" w:color="auto"/>
              <w:right w:val="single" w:sz="4" w:space="0" w:color="auto"/>
            </w:tcBorders>
            <w:shd w:val="clear" w:color="auto" w:fill="auto"/>
            <w:noWrap/>
            <w:vAlign w:val="center"/>
            <w:hideMark/>
          </w:tcPr>
          <w:p w14:paraId="35DDB14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El Manzano</w:t>
            </w:r>
          </w:p>
        </w:tc>
        <w:tc>
          <w:tcPr>
            <w:tcW w:w="2552" w:type="dxa"/>
            <w:tcBorders>
              <w:top w:val="nil"/>
              <w:left w:val="nil"/>
              <w:bottom w:val="single" w:sz="4" w:space="0" w:color="auto"/>
              <w:right w:val="single" w:sz="4" w:space="0" w:color="auto"/>
            </w:tcBorders>
            <w:shd w:val="clear" w:color="auto" w:fill="auto"/>
            <w:noWrap/>
            <w:hideMark/>
          </w:tcPr>
          <w:p w14:paraId="14E6D6C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4EED45B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410425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SE-N_75</w:t>
            </w:r>
          </w:p>
        </w:tc>
        <w:tc>
          <w:tcPr>
            <w:tcW w:w="3969" w:type="dxa"/>
            <w:tcBorders>
              <w:top w:val="nil"/>
              <w:left w:val="nil"/>
              <w:bottom w:val="single" w:sz="4" w:space="0" w:color="auto"/>
              <w:right w:val="single" w:sz="4" w:space="0" w:color="auto"/>
            </w:tcBorders>
            <w:shd w:val="clear" w:color="auto" w:fill="auto"/>
            <w:noWrap/>
            <w:vAlign w:val="center"/>
            <w:hideMark/>
          </w:tcPr>
          <w:p w14:paraId="3ECE81B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El Romero</w:t>
            </w:r>
          </w:p>
        </w:tc>
        <w:tc>
          <w:tcPr>
            <w:tcW w:w="2552" w:type="dxa"/>
            <w:tcBorders>
              <w:top w:val="nil"/>
              <w:left w:val="nil"/>
              <w:bottom w:val="single" w:sz="4" w:space="0" w:color="auto"/>
              <w:right w:val="single" w:sz="4" w:space="0" w:color="auto"/>
            </w:tcBorders>
            <w:shd w:val="clear" w:color="auto" w:fill="auto"/>
            <w:noWrap/>
            <w:hideMark/>
          </w:tcPr>
          <w:p w14:paraId="1352149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57C47AD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F985B4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SE-N_76</w:t>
            </w:r>
          </w:p>
        </w:tc>
        <w:tc>
          <w:tcPr>
            <w:tcW w:w="3969" w:type="dxa"/>
            <w:tcBorders>
              <w:top w:val="nil"/>
              <w:left w:val="nil"/>
              <w:bottom w:val="single" w:sz="4" w:space="0" w:color="auto"/>
              <w:right w:val="single" w:sz="4" w:space="0" w:color="auto"/>
            </w:tcBorders>
            <w:shd w:val="clear" w:color="auto" w:fill="auto"/>
            <w:noWrap/>
            <w:vAlign w:val="center"/>
            <w:hideMark/>
          </w:tcPr>
          <w:p w14:paraId="12F30F9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Enlace</w:t>
            </w:r>
          </w:p>
        </w:tc>
        <w:tc>
          <w:tcPr>
            <w:tcW w:w="2552" w:type="dxa"/>
            <w:tcBorders>
              <w:top w:val="nil"/>
              <w:left w:val="nil"/>
              <w:bottom w:val="single" w:sz="4" w:space="0" w:color="auto"/>
              <w:right w:val="single" w:sz="4" w:space="0" w:color="auto"/>
            </w:tcBorders>
            <w:shd w:val="clear" w:color="auto" w:fill="auto"/>
            <w:noWrap/>
            <w:hideMark/>
          </w:tcPr>
          <w:p w14:paraId="11AA928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7206B4F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7A8971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SE-N_77</w:t>
            </w:r>
          </w:p>
        </w:tc>
        <w:tc>
          <w:tcPr>
            <w:tcW w:w="3969" w:type="dxa"/>
            <w:tcBorders>
              <w:top w:val="nil"/>
              <w:left w:val="nil"/>
              <w:bottom w:val="single" w:sz="4" w:space="0" w:color="auto"/>
              <w:right w:val="single" w:sz="4" w:space="0" w:color="auto"/>
            </w:tcBorders>
            <w:shd w:val="clear" w:color="auto" w:fill="auto"/>
            <w:noWrap/>
            <w:vAlign w:val="center"/>
            <w:hideMark/>
          </w:tcPr>
          <w:p w14:paraId="09B92E2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Off Sierra Gorda Eólico</w:t>
            </w:r>
          </w:p>
        </w:tc>
        <w:tc>
          <w:tcPr>
            <w:tcW w:w="2552" w:type="dxa"/>
            <w:tcBorders>
              <w:top w:val="nil"/>
              <w:left w:val="nil"/>
              <w:bottom w:val="single" w:sz="4" w:space="0" w:color="auto"/>
              <w:right w:val="single" w:sz="4" w:space="0" w:color="auto"/>
            </w:tcBorders>
            <w:shd w:val="clear" w:color="auto" w:fill="auto"/>
            <w:noWrap/>
            <w:hideMark/>
          </w:tcPr>
          <w:p w14:paraId="202CCED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w:t>
            </w:r>
          </w:p>
        </w:tc>
      </w:tr>
      <w:tr w:rsidR="003E19A2" w:rsidRPr="00A81CB8" w14:paraId="688AB46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659327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SE-N_78</w:t>
            </w:r>
          </w:p>
        </w:tc>
        <w:tc>
          <w:tcPr>
            <w:tcW w:w="3969" w:type="dxa"/>
            <w:tcBorders>
              <w:top w:val="nil"/>
              <w:left w:val="nil"/>
              <w:bottom w:val="single" w:sz="4" w:space="0" w:color="auto"/>
              <w:right w:val="single" w:sz="4" w:space="0" w:color="auto"/>
            </w:tcBorders>
            <w:shd w:val="clear" w:color="auto" w:fill="auto"/>
            <w:noWrap/>
            <w:vAlign w:val="center"/>
            <w:hideMark/>
          </w:tcPr>
          <w:p w14:paraId="26F0A9E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TARAPACA</w:t>
            </w:r>
          </w:p>
        </w:tc>
        <w:tc>
          <w:tcPr>
            <w:tcW w:w="2552" w:type="dxa"/>
            <w:tcBorders>
              <w:top w:val="nil"/>
              <w:left w:val="nil"/>
              <w:bottom w:val="single" w:sz="4" w:space="0" w:color="auto"/>
              <w:right w:val="single" w:sz="4" w:space="0" w:color="auto"/>
            </w:tcBorders>
            <w:shd w:val="clear" w:color="auto" w:fill="auto"/>
            <w:noWrap/>
            <w:hideMark/>
          </w:tcPr>
          <w:p w14:paraId="79B3247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2.483.745</w:t>
            </w:r>
          </w:p>
        </w:tc>
      </w:tr>
      <w:tr w:rsidR="003E19A2" w:rsidRPr="00A81CB8" w14:paraId="59813A4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C36F4A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SE-N_79</w:t>
            </w:r>
          </w:p>
        </w:tc>
        <w:tc>
          <w:tcPr>
            <w:tcW w:w="3969" w:type="dxa"/>
            <w:tcBorders>
              <w:top w:val="nil"/>
              <w:left w:val="nil"/>
              <w:bottom w:val="single" w:sz="4" w:space="0" w:color="auto"/>
              <w:right w:val="single" w:sz="4" w:space="0" w:color="auto"/>
            </w:tcBorders>
            <w:shd w:val="clear" w:color="auto" w:fill="auto"/>
            <w:noWrap/>
            <w:vAlign w:val="center"/>
            <w:hideMark/>
          </w:tcPr>
          <w:p w14:paraId="5353CD4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TEMUCO</w:t>
            </w:r>
          </w:p>
        </w:tc>
        <w:tc>
          <w:tcPr>
            <w:tcW w:w="2552" w:type="dxa"/>
            <w:tcBorders>
              <w:top w:val="nil"/>
              <w:left w:val="nil"/>
              <w:bottom w:val="single" w:sz="4" w:space="0" w:color="auto"/>
              <w:right w:val="single" w:sz="4" w:space="0" w:color="auto"/>
            </w:tcBorders>
            <w:shd w:val="clear" w:color="auto" w:fill="auto"/>
            <w:noWrap/>
            <w:hideMark/>
          </w:tcPr>
          <w:p w14:paraId="50F81D1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9.882.484</w:t>
            </w:r>
          </w:p>
        </w:tc>
      </w:tr>
      <w:tr w:rsidR="003E19A2" w:rsidRPr="00A81CB8" w14:paraId="65185F4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DA5626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SE-N_80</w:t>
            </w:r>
          </w:p>
        </w:tc>
        <w:tc>
          <w:tcPr>
            <w:tcW w:w="3969" w:type="dxa"/>
            <w:tcBorders>
              <w:top w:val="nil"/>
              <w:left w:val="nil"/>
              <w:bottom w:val="single" w:sz="4" w:space="0" w:color="auto"/>
              <w:right w:val="single" w:sz="4" w:space="0" w:color="auto"/>
            </w:tcBorders>
            <w:shd w:val="clear" w:color="auto" w:fill="auto"/>
            <w:noWrap/>
            <w:vAlign w:val="center"/>
            <w:hideMark/>
          </w:tcPr>
          <w:p w14:paraId="5CBBD9A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TINGUIRIRICA</w:t>
            </w:r>
          </w:p>
        </w:tc>
        <w:tc>
          <w:tcPr>
            <w:tcW w:w="2552" w:type="dxa"/>
            <w:tcBorders>
              <w:top w:val="nil"/>
              <w:left w:val="nil"/>
              <w:bottom w:val="single" w:sz="4" w:space="0" w:color="auto"/>
              <w:right w:val="single" w:sz="4" w:space="0" w:color="auto"/>
            </w:tcBorders>
            <w:shd w:val="clear" w:color="auto" w:fill="auto"/>
            <w:noWrap/>
            <w:hideMark/>
          </w:tcPr>
          <w:p w14:paraId="2D99171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3.462.105</w:t>
            </w:r>
          </w:p>
        </w:tc>
      </w:tr>
      <w:tr w:rsidR="003E19A2" w:rsidRPr="00A81CB8" w14:paraId="79E1B5E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30C9D1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SE-N_81</w:t>
            </w:r>
          </w:p>
        </w:tc>
        <w:tc>
          <w:tcPr>
            <w:tcW w:w="3969" w:type="dxa"/>
            <w:tcBorders>
              <w:top w:val="nil"/>
              <w:left w:val="nil"/>
              <w:bottom w:val="single" w:sz="4" w:space="0" w:color="auto"/>
              <w:right w:val="single" w:sz="4" w:space="0" w:color="auto"/>
            </w:tcBorders>
            <w:shd w:val="clear" w:color="auto" w:fill="auto"/>
            <w:noWrap/>
            <w:vAlign w:val="center"/>
            <w:hideMark/>
          </w:tcPr>
          <w:p w14:paraId="45F30A7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VALDIVIA</w:t>
            </w:r>
          </w:p>
        </w:tc>
        <w:tc>
          <w:tcPr>
            <w:tcW w:w="2552" w:type="dxa"/>
            <w:tcBorders>
              <w:top w:val="nil"/>
              <w:left w:val="nil"/>
              <w:bottom w:val="single" w:sz="4" w:space="0" w:color="auto"/>
              <w:right w:val="single" w:sz="4" w:space="0" w:color="auto"/>
            </w:tcBorders>
            <w:shd w:val="clear" w:color="auto" w:fill="auto"/>
            <w:noWrap/>
            <w:hideMark/>
          </w:tcPr>
          <w:p w14:paraId="17E651E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4.670.131</w:t>
            </w:r>
          </w:p>
        </w:tc>
      </w:tr>
      <w:tr w:rsidR="003E19A2" w:rsidRPr="00A81CB8" w14:paraId="780B8FD6" w14:textId="77777777" w:rsidTr="00725CE1">
        <w:trPr>
          <w:jc w:val="center"/>
        </w:trPr>
        <w:tc>
          <w:tcPr>
            <w:tcW w:w="1985" w:type="dxa"/>
            <w:tcBorders>
              <w:top w:val="nil"/>
              <w:left w:val="nil"/>
              <w:bottom w:val="nil"/>
              <w:right w:val="nil"/>
            </w:tcBorders>
            <w:shd w:val="clear" w:color="auto" w:fill="auto"/>
            <w:noWrap/>
            <w:vAlign w:val="center"/>
            <w:hideMark/>
          </w:tcPr>
          <w:p w14:paraId="630B6F3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48B5D81C" w14:textId="77777777" w:rsidR="003E19A2" w:rsidRPr="00A81CB8" w:rsidRDefault="003E19A2" w:rsidP="00725CE1">
            <w:pPr>
              <w:spacing w:before="20" w:after="20" w:line="240" w:lineRule="auto"/>
              <w:jc w:val="left"/>
              <w:rPr>
                <w:rFonts w:eastAsia="Times New Roman" w:cs="Calibri"/>
                <w:b/>
                <w:bCs/>
                <w:color w:val="000000"/>
                <w:sz w:val="20"/>
                <w:szCs w:val="20"/>
                <w:lang w:eastAsia="es-CL"/>
              </w:rPr>
            </w:pPr>
            <w:r w:rsidRPr="00A81CB8">
              <w:rPr>
                <w:rFonts w:eastAsia="Times New Roman" w:cs="Calibri"/>
                <w:b/>
                <w:bCs/>
                <w:color w:val="000000"/>
                <w:sz w:val="20"/>
                <w:szCs w:val="20"/>
                <w:lang w:eastAsia="es-CL"/>
              </w:rPr>
              <w:t>TOTAL</w:t>
            </w:r>
          </w:p>
        </w:tc>
        <w:tc>
          <w:tcPr>
            <w:tcW w:w="2552" w:type="dxa"/>
            <w:tcBorders>
              <w:top w:val="nil"/>
              <w:left w:val="nil"/>
              <w:bottom w:val="single" w:sz="4" w:space="0" w:color="auto"/>
              <w:right w:val="single" w:sz="4" w:space="0" w:color="auto"/>
            </w:tcBorders>
            <w:shd w:val="clear" w:color="auto" w:fill="auto"/>
            <w:noWrap/>
            <w:hideMark/>
          </w:tcPr>
          <w:p w14:paraId="0330892F" w14:textId="77777777" w:rsidR="003E19A2" w:rsidRPr="00A81CB8" w:rsidRDefault="003E19A2" w:rsidP="00725CE1">
            <w:pPr>
              <w:spacing w:before="20" w:after="20" w:line="240" w:lineRule="auto"/>
              <w:jc w:val="right"/>
              <w:rPr>
                <w:rFonts w:eastAsia="Times New Roman" w:cs="Calibri"/>
                <w:b/>
                <w:bCs/>
                <w:color w:val="000000"/>
                <w:sz w:val="20"/>
                <w:szCs w:val="20"/>
                <w:lang w:eastAsia="es-CL"/>
              </w:rPr>
            </w:pPr>
            <w:r w:rsidRPr="00A81CB8">
              <w:rPr>
                <w:rFonts w:cs="Calibri"/>
                <w:b/>
                <w:bCs/>
                <w:sz w:val="20"/>
                <w:szCs w:val="20"/>
              </w:rPr>
              <w:t>646.120.048</w:t>
            </w:r>
          </w:p>
        </w:tc>
      </w:tr>
    </w:tbl>
    <w:p w14:paraId="6E99F4AF" w14:textId="77777777" w:rsidR="003E19A2" w:rsidRDefault="003E19A2" w:rsidP="003E19A2">
      <w:pPr>
        <w:spacing w:after="0"/>
      </w:pPr>
    </w:p>
    <w:p w14:paraId="234CDCBB" w14:textId="77777777" w:rsidR="003E19A2" w:rsidRDefault="003E19A2" w:rsidP="003E19A2">
      <w:pPr>
        <w:pStyle w:val="Ttulo3"/>
      </w:pPr>
      <w:bookmarkStart w:id="297" w:name="_Toc34640157"/>
      <w:bookmarkStart w:id="298" w:name="_Toc34655181"/>
      <w:bookmarkStart w:id="299" w:name="_Toc34687264"/>
      <w:r w:rsidRPr="00E1571A">
        <w:t>Valor de Inversión</w:t>
      </w:r>
      <w:r>
        <w:t xml:space="preserve"> </w:t>
      </w:r>
      <w:r w:rsidRPr="00E1571A">
        <w:t>por tramo de transporte calificación nacional</w:t>
      </w:r>
      <w:bookmarkEnd w:id="297"/>
      <w:bookmarkEnd w:id="298"/>
      <w:bookmarkEnd w:id="299"/>
    </w:p>
    <w:p w14:paraId="56BCAED9" w14:textId="6F00128B" w:rsidR="003E19A2" w:rsidRPr="00F277BC" w:rsidRDefault="003E19A2" w:rsidP="003E19A2">
      <w:pPr>
        <w:pStyle w:val="Descripcin"/>
        <w:jc w:val="center"/>
        <w:rPr>
          <w:b/>
          <w:i w:val="0"/>
          <w:color w:val="auto"/>
        </w:rPr>
      </w:pPr>
      <w:bookmarkStart w:id="300" w:name="_Toc34640124"/>
      <w:bookmarkStart w:id="301" w:name="_Toc34655192"/>
      <w:r w:rsidRPr="00F277BC">
        <w:rPr>
          <w:b/>
          <w:i w:val="0"/>
          <w:color w:val="auto"/>
        </w:rPr>
        <w:t xml:space="preserve">Tabla </w:t>
      </w:r>
      <w:r w:rsidRPr="00F277BC">
        <w:rPr>
          <w:b/>
          <w:i w:val="0"/>
          <w:color w:val="auto"/>
        </w:rPr>
        <w:fldChar w:fldCharType="begin"/>
      </w:r>
      <w:r w:rsidRPr="00F277BC">
        <w:rPr>
          <w:b/>
          <w:i w:val="0"/>
          <w:color w:val="auto"/>
        </w:rPr>
        <w:instrText xml:space="preserve"> SEQ Tabla \* ARABIC </w:instrText>
      </w:r>
      <w:r w:rsidRPr="00F277BC">
        <w:rPr>
          <w:b/>
          <w:i w:val="0"/>
          <w:color w:val="auto"/>
        </w:rPr>
        <w:fldChar w:fldCharType="separate"/>
      </w:r>
      <w:r w:rsidR="00F14BED">
        <w:rPr>
          <w:b/>
          <w:i w:val="0"/>
          <w:noProof/>
          <w:color w:val="auto"/>
        </w:rPr>
        <w:t>9</w:t>
      </w:r>
      <w:r w:rsidRPr="00F277BC">
        <w:rPr>
          <w:b/>
          <w:i w:val="0"/>
          <w:color w:val="auto"/>
        </w:rPr>
        <w:fldChar w:fldCharType="end"/>
      </w:r>
      <w:r w:rsidRPr="00F277BC">
        <w:rPr>
          <w:b/>
          <w:i w:val="0"/>
          <w:color w:val="auto"/>
        </w:rPr>
        <w:t xml:space="preserve">: </w:t>
      </w:r>
      <w:bookmarkStart w:id="302" w:name="_Hlk34638666"/>
      <w:r w:rsidRPr="00F277BC">
        <w:rPr>
          <w:b/>
          <w:i w:val="0"/>
          <w:color w:val="auto"/>
        </w:rPr>
        <w:t xml:space="preserve">Valor de Inversión (V.I.) por </w:t>
      </w:r>
      <w:r>
        <w:rPr>
          <w:b/>
          <w:i w:val="0"/>
          <w:color w:val="auto"/>
        </w:rPr>
        <w:t>tramo de transporte calificación nacional</w:t>
      </w:r>
      <w:bookmarkEnd w:id="300"/>
      <w:bookmarkEnd w:id="301"/>
      <w:bookmarkEnd w:id="302"/>
    </w:p>
    <w:tbl>
      <w:tblPr>
        <w:tblW w:w="0" w:type="auto"/>
        <w:jc w:val="center"/>
        <w:tblLayout w:type="fixed"/>
        <w:tblCellMar>
          <w:left w:w="57" w:type="dxa"/>
          <w:right w:w="57" w:type="dxa"/>
        </w:tblCellMar>
        <w:tblLook w:val="04A0" w:firstRow="1" w:lastRow="0" w:firstColumn="1" w:lastColumn="0" w:noHBand="0" w:noVBand="1"/>
      </w:tblPr>
      <w:tblGrid>
        <w:gridCol w:w="1985"/>
        <w:gridCol w:w="3969"/>
        <w:gridCol w:w="2552"/>
      </w:tblGrid>
      <w:tr w:rsidR="003E19A2" w:rsidRPr="00A81CB8" w14:paraId="6C32E12A" w14:textId="77777777" w:rsidTr="00725CE1">
        <w:trPr>
          <w:tblHeader/>
          <w:jc w:val="center"/>
        </w:trPr>
        <w:tc>
          <w:tcPr>
            <w:tcW w:w="198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F8CAE86" w14:textId="77777777" w:rsidR="003E19A2" w:rsidRPr="00A81CB8" w:rsidRDefault="003E19A2" w:rsidP="00725CE1">
            <w:pPr>
              <w:spacing w:before="20" w:after="20" w:line="240" w:lineRule="auto"/>
              <w:jc w:val="center"/>
              <w:rPr>
                <w:rFonts w:eastAsia="Times New Roman" w:cs="Calibri"/>
                <w:b/>
                <w:bCs/>
                <w:color w:val="000000"/>
                <w:sz w:val="20"/>
                <w:szCs w:val="20"/>
                <w:lang w:eastAsia="es-CL"/>
              </w:rPr>
            </w:pPr>
            <w:r w:rsidRPr="00A81CB8">
              <w:rPr>
                <w:rFonts w:eastAsia="Times New Roman" w:cs="Calibri"/>
                <w:b/>
                <w:bCs/>
                <w:color w:val="000000"/>
                <w:sz w:val="20"/>
                <w:szCs w:val="20"/>
                <w:lang w:eastAsia="es-CL"/>
              </w:rPr>
              <w:t>IdCalificacionCodigo</w:t>
            </w:r>
          </w:p>
        </w:tc>
        <w:tc>
          <w:tcPr>
            <w:tcW w:w="396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3100F89" w14:textId="77777777" w:rsidR="003E19A2" w:rsidRPr="00A81CB8" w:rsidRDefault="003E19A2" w:rsidP="00725CE1">
            <w:pPr>
              <w:spacing w:before="20" w:after="20" w:line="240" w:lineRule="auto"/>
              <w:jc w:val="center"/>
              <w:rPr>
                <w:rFonts w:eastAsia="Times New Roman" w:cs="Calibri"/>
                <w:b/>
                <w:bCs/>
                <w:color w:val="000000"/>
                <w:sz w:val="20"/>
                <w:szCs w:val="20"/>
                <w:lang w:eastAsia="es-CL"/>
              </w:rPr>
            </w:pPr>
            <w:r w:rsidRPr="00A81CB8">
              <w:rPr>
                <w:rFonts w:eastAsia="Times New Roman" w:cs="Calibri"/>
                <w:b/>
                <w:bCs/>
                <w:color w:val="000000"/>
                <w:sz w:val="20"/>
                <w:szCs w:val="20"/>
                <w:lang w:eastAsia="es-CL"/>
              </w:rPr>
              <w:t>NombreTramoTransporte</w:t>
            </w:r>
          </w:p>
        </w:tc>
        <w:tc>
          <w:tcPr>
            <w:tcW w:w="25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A30F833" w14:textId="77777777" w:rsidR="003E19A2" w:rsidRPr="00A81CB8" w:rsidRDefault="003E19A2" w:rsidP="00725CE1">
            <w:pPr>
              <w:spacing w:before="20" w:after="20" w:line="240" w:lineRule="auto"/>
              <w:jc w:val="center"/>
              <w:rPr>
                <w:rFonts w:eastAsia="Times New Roman" w:cs="Calibri"/>
                <w:b/>
                <w:bCs/>
                <w:color w:val="000000"/>
                <w:sz w:val="20"/>
                <w:szCs w:val="20"/>
                <w:lang w:eastAsia="es-CL"/>
              </w:rPr>
            </w:pPr>
            <w:r w:rsidRPr="00A81CB8">
              <w:rPr>
                <w:rFonts w:eastAsia="Times New Roman" w:cs="Calibri"/>
                <w:b/>
                <w:bCs/>
                <w:color w:val="000000"/>
                <w:sz w:val="20"/>
                <w:szCs w:val="20"/>
                <w:lang w:eastAsia="es-CL"/>
              </w:rPr>
              <w:t>Valor de Inversión (V.I.)</w:t>
            </w:r>
          </w:p>
          <w:p w14:paraId="53AE9910" w14:textId="77777777" w:rsidR="003E19A2" w:rsidRPr="00A81CB8" w:rsidRDefault="003E19A2" w:rsidP="00725CE1">
            <w:pPr>
              <w:spacing w:before="20" w:after="20" w:line="240" w:lineRule="auto"/>
              <w:jc w:val="center"/>
              <w:rPr>
                <w:rFonts w:eastAsia="Times New Roman" w:cs="Calibri"/>
                <w:b/>
                <w:bCs/>
                <w:color w:val="000000"/>
                <w:sz w:val="20"/>
                <w:szCs w:val="20"/>
                <w:lang w:eastAsia="es-CL"/>
              </w:rPr>
            </w:pPr>
            <w:r w:rsidRPr="00A81CB8">
              <w:rPr>
                <w:rFonts w:eastAsia="Times New Roman" w:cs="Calibri"/>
                <w:b/>
                <w:bCs/>
                <w:color w:val="000000"/>
                <w:sz w:val="20"/>
                <w:szCs w:val="20"/>
                <w:lang w:eastAsia="es-CL"/>
              </w:rPr>
              <w:t>USD (Dolares de USA)</w:t>
            </w:r>
          </w:p>
        </w:tc>
      </w:tr>
      <w:tr w:rsidR="003E19A2" w:rsidRPr="00A81CB8" w14:paraId="3AF8E46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F4E6B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w:t>
            </w:r>
          </w:p>
        </w:tc>
        <w:tc>
          <w:tcPr>
            <w:tcW w:w="3969" w:type="dxa"/>
            <w:tcBorders>
              <w:top w:val="nil"/>
              <w:left w:val="nil"/>
              <w:bottom w:val="single" w:sz="4" w:space="0" w:color="auto"/>
              <w:right w:val="single" w:sz="4" w:space="0" w:color="auto"/>
            </w:tcBorders>
            <w:shd w:val="clear" w:color="auto" w:fill="auto"/>
            <w:noWrap/>
            <w:vAlign w:val="center"/>
            <w:hideMark/>
          </w:tcPr>
          <w:p w14:paraId="2C44E2D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220-&gt;Alto Jahuel 500</w:t>
            </w:r>
          </w:p>
        </w:tc>
        <w:tc>
          <w:tcPr>
            <w:tcW w:w="2552" w:type="dxa"/>
            <w:tcBorders>
              <w:top w:val="nil"/>
              <w:left w:val="nil"/>
              <w:bottom w:val="single" w:sz="4" w:space="0" w:color="auto"/>
              <w:right w:val="single" w:sz="4" w:space="0" w:color="auto"/>
            </w:tcBorders>
            <w:shd w:val="clear" w:color="auto" w:fill="auto"/>
            <w:noWrap/>
            <w:hideMark/>
          </w:tcPr>
          <w:p w14:paraId="69BE0CA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15.847.373</w:t>
            </w:r>
          </w:p>
        </w:tc>
      </w:tr>
      <w:tr w:rsidR="003E19A2" w:rsidRPr="00A81CB8" w14:paraId="2C99149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5FD71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w:t>
            </w:r>
          </w:p>
        </w:tc>
        <w:tc>
          <w:tcPr>
            <w:tcW w:w="3969" w:type="dxa"/>
            <w:tcBorders>
              <w:top w:val="nil"/>
              <w:left w:val="nil"/>
              <w:bottom w:val="single" w:sz="4" w:space="0" w:color="auto"/>
              <w:right w:val="single" w:sz="4" w:space="0" w:color="auto"/>
            </w:tcBorders>
            <w:shd w:val="clear" w:color="auto" w:fill="auto"/>
            <w:noWrap/>
            <w:vAlign w:val="center"/>
            <w:hideMark/>
          </w:tcPr>
          <w:p w14:paraId="6CCAFDE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220-&gt;Buin 220</w:t>
            </w:r>
          </w:p>
        </w:tc>
        <w:tc>
          <w:tcPr>
            <w:tcW w:w="2552" w:type="dxa"/>
            <w:tcBorders>
              <w:top w:val="nil"/>
              <w:left w:val="nil"/>
              <w:bottom w:val="single" w:sz="4" w:space="0" w:color="auto"/>
              <w:right w:val="single" w:sz="4" w:space="0" w:color="auto"/>
            </w:tcBorders>
            <w:shd w:val="clear" w:color="auto" w:fill="auto"/>
            <w:noWrap/>
            <w:hideMark/>
          </w:tcPr>
          <w:p w14:paraId="427C10B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455.325</w:t>
            </w:r>
          </w:p>
        </w:tc>
      </w:tr>
      <w:tr w:rsidR="003E19A2" w:rsidRPr="00A81CB8" w14:paraId="1B0D804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7B6D65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w:t>
            </w:r>
          </w:p>
        </w:tc>
        <w:tc>
          <w:tcPr>
            <w:tcW w:w="3969" w:type="dxa"/>
            <w:tcBorders>
              <w:top w:val="nil"/>
              <w:left w:val="nil"/>
              <w:bottom w:val="single" w:sz="4" w:space="0" w:color="auto"/>
              <w:right w:val="single" w:sz="4" w:space="0" w:color="auto"/>
            </w:tcBorders>
            <w:shd w:val="clear" w:color="auto" w:fill="auto"/>
            <w:noWrap/>
            <w:vAlign w:val="center"/>
            <w:hideMark/>
          </w:tcPr>
          <w:p w14:paraId="0C49B56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220-&gt;Chena 220</w:t>
            </w:r>
          </w:p>
        </w:tc>
        <w:tc>
          <w:tcPr>
            <w:tcW w:w="2552" w:type="dxa"/>
            <w:tcBorders>
              <w:top w:val="nil"/>
              <w:left w:val="nil"/>
              <w:bottom w:val="single" w:sz="4" w:space="0" w:color="auto"/>
              <w:right w:val="single" w:sz="4" w:space="0" w:color="auto"/>
            </w:tcBorders>
            <w:shd w:val="clear" w:color="auto" w:fill="auto"/>
            <w:noWrap/>
            <w:hideMark/>
          </w:tcPr>
          <w:p w14:paraId="02C001B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16.305.608</w:t>
            </w:r>
          </w:p>
        </w:tc>
      </w:tr>
      <w:tr w:rsidR="003E19A2" w:rsidRPr="00A81CB8" w14:paraId="0C6B11E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FFFC8C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w:t>
            </w:r>
          </w:p>
        </w:tc>
        <w:tc>
          <w:tcPr>
            <w:tcW w:w="3969" w:type="dxa"/>
            <w:tcBorders>
              <w:top w:val="nil"/>
              <w:left w:val="nil"/>
              <w:bottom w:val="single" w:sz="4" w:space="0" w:color="auto"/>
              <w:right w:val="single" w:sz="4" w:space="0" w:color="auto"/>
            </w:tcBorders>
            <w:shd w:val="clear" w:color="auto" w:fill="auto"/>
            <w:noWrap/>
            <w:vAlign w:val="center"/>
            <w:hideMark/>
          </w:tcPr>
          <w:p w14:paraId="42C5D9E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220-&gt;Los Almendros 220</w:t>
            </w:r>
          </w:p>
        </w:tc>
        <w:tc>
          <w:tcPr>
            <w:tcW w:w="2552" w:type="dxa"/>
            <w:tcBorders>
              <w:top w:val="nil"/>
              <w:left w:val="nil"/>
              <w:bottom w:val="single" w:sz="4" w:space="0" w:color="auto"/>
              <w:right w:val="single" w:sz="4" w:space="0" w:color="auto"/>
            </w:tcBorders>
            <w:shd w:val="clear" w:color="auto" w:fill="auto"/>
            <w:noWrap/>
            <w:hideMark/>
          </w:tcPr>
          <w:p w14:paraId="3B4620F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31.649.711</w:t>
            </w:r>
          </w:p>
        </w:tc>
      </w:tr>
      <w:tr w:rsidR="003E19A2" w:rsidRPr="00A81CB8" w14:paraId="7A02BAA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29A758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w:t>
            </w:r>
          </w:p>
        </w:tc>
        <w:tc>
          <w:tcPr>
            <w:tcW w:w="3969" w:type="dxa"/>
            <w:tcBorders>
              <w:top w:val="nil"/>
              <w:left w:val="nil"/>
              <w:bottom w:val="single" w:sz="4" w:space="0" w:color="auto"/>
              <w:right w:val="single" w:sz="4" w:space="0" w:color="auto"/>
            </w:tcBorders>
            <w:shd w:val="clear" w:color="auto" w:fill="auto"/>
            <w:noWrap/>
            <w:vAlign w:val="center"/>
            <w:hideMark/>
          </w:tcPr>
          <w:p w14:paraId="7A9C899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220-&gt;Maipo 220</w:t>
            </w:r>
          </w:p>
        </w:tc>
        <w:tc>
          <w:tcPr>
            <w:tcW w:w="2552" w:type="dxa"/>
            <w:tcBorders>
              <w:top w:val="nil"/>
              <w:left w:val="nil"/>
              <w:bottom w:val="single" w:sz="4" w:space="0" w:color="auto"/>
              <w:right w:val="single" w:sz="4" w:space="0" w:color="auto"/>
            </w:tcBorders>
            <w:shd w:val="clear" w:color="auto" w:fill="auto"/>
            <w:noWrap/>
            <w:hideMark/>
          </w:tcPr>
          <w:p w14:paraId="62588C1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1.859.423</w:t>
            </w:r>
          </w:p>
        </w:tc>
      </w:tr>
      <w:tr w:rsidR="003E19A2" w:rsidRPr="00A81CB8" w14:paraId="76C6480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5BF54E9"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w:t>
            </w:r>
          </w:p>
        </w:tc>
        <w:tc>
          <w:tcPr>
            <w:tcW w:w="3969" w:type="dxa"/>
            <w:tcBorders>
              <w:top w:val="nil"/>
              <w:left w:val="nil"/>
              <w:bottom w:val="single" w:sz="4" w:space="0" w:color="auto"/>
              <w:right w:val="single" w:sz="4" w:space="0" w:color="auto"/>
            </w:tcBorders>
            <w:shd w:val="clear" w:color="auto" w:fill="auto"/>
            <w:noWrap/>
            <w:vAlign w:val="center"/>
            <w:hideMark/>
          </w:tcPr>
          <w:p w14:paraId="282949F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220-&gt;Tap Central Santa Marta 220</w:t>
            </w:r>
          </w:p>
        </w:tc>
        <w:tc>
          <w:tcPr>
            <w:tcW w:w="2552" w:type="dxa"/>
            <w:tcBorders>
              <w:top w:val="nil"/>
              <w:left w:val="nil"/>
              <w:bottom w:val="single" w:sz="4" w:space="0" w:color="auto"/>
              <w:right w:val="single" w:sz="4" w:space="0" w:color="auto"/>
            </w:tcBorders>
            <w:shd w:val="clear" w:color="auto" w:fill="auto"/>
            <w:noWrap/>
            <w:hideMark/>
          </w:tcPr>
          <w:p w14:paraId="53080C2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4.217.106</w:t>
            </w:r>
          </w:p>
        </w:tc>
      </w:tr>
      <w:tr w:rsidR="003E19A2" w:rsidRPr="00A81CB8" w14:paraId="38CADF9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FC6CA14"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w:t>
            </w:r>
          </w:p>
        </w:tc>
        <w:tc>
          <w:tcPr>
            <w:tcW w:w="3969" w:type="dxa"/>
            <w:tcBorders>
              <w:top w:val="nil"/>
              <w:left w:val="nil"/>
              <w:bottom w:val="single" w:sz="4" w:space="0" w:color="auto"/>
              <w:right w:val="single" w:sz="4" w:space="0" w:color="auto"/>
            </w:tcBorders>
            <w:shd w:val="clear" w:color="auto" w:fill="auto"/>
            <w:noWrap/>
            <w:vAlign w:val="center"/>
            <w:hideMark/>
          </w:tcPr>
          <w:p w14:paraId="7843334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Alto Jahuel 500-&gt;Ancoa 500</w:t>
            </w:r>
          </w:p>
        </w:tc>
        <w:tc>
          <w:tcPr>
            <w:tcW w:w="2552" w:type="dxa"/>
            <w:tcBorders>
              <w:top w:val="nil"/>
              <w:left w:val="nil"/>
              <w:bottom w:val="single" w:sz="4" w:space="0" w:color="auto"/>
              <w:right w:val="single" w:sz="4" w:space="0" w:color="auto"/>
            </w:tcBorders>
            <w:shd w:val="clear" w:color="auto" w:fill="auto"/>
            <w:noWrap/>
            <w:hideMark/>
          </w:tcPr>
          <w:p w14:paraId="451459E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309.797.214</w:t>
            </w:r>
          </w:p>
        </w:tc>
      </w:tr>
      <w:tr w:rsidR="003E19A2" w:rsidRPr="00A81CB8" w14:paraId="50445C8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9F0A5C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w:t>
            </w:r>
          </w:p>
        </w:tc>
        <w:tc>
          <w:tcPr>
            <w:tcW w:w="3969" w:type="dxa"/>
            <w:tcBorders>
              <w:top w:val="nil"/>
              <w:left w:val="nil"/>
              <w:bottom w:val="single" w:sz="4" w:space="0" w:color="auto"/>
              <w:right w:val="single" w:sz="4" w:space="0" w:color="auto"/>
            </w:tcBorders>
            <w:shd w:val="clear" w:color="auto" w:fill="auto"/>
            <w:noWrap/>
            <w:vAlign w:val="center"/>
            <w:hideMark/>
          </w:tcPr>
          <w:p w14:paraId="0014C22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Ancoa 220-&gt;Ancoa 500</w:t>
            </w:r>
          </w:p>
        </w:tc>
        <w:tc>
          <w:tcPr>
            <w:tcW w:w="2552" w:type="dxa"/>
            <w:tcBorders>
              <w:top w:val="nil"/>
              <w:left w:val="nil"/>
              <w:bottom w:val="single" w:sz="4" w:space="0" w:color="auto"/>
              <w:right w:val="single" w:sz="4" w:space="0" w:color="auto"/>
            </w:tcBorders>
            <w:shd w:val="clear" w:color="auto" w:fill="auto"/>
            <w:noWrap/>
            <w:hideMark/>
          </w:tcPr>
          <w:p w14:paraId="3768F32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8.521.102</w:t>
            </w:r>
          </w:p>
        </w:tc>
      </w:tr>
      <w:tr w:rsidR="003E19A2" w:rsidRPr="00A81CB8" w14:paraId="0277D1C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99FAF11"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w:t>
            </w:r>
          </w:p>
        </w:tc>
        <w:tc>
          <w:tcPr>
            <w:tcW w:w="3969" w:type="dxa"/>
            <w:tcBorders>
              <w:top w:val="nil"/>
              <w:left w:val="nil"/>
              <w:bottom w:val="single" w:sz="4" w:space="0" w:color="auto"/>
              <w:right w:val="single" w:sz="4" w:space="0" w:color="auto"/>
            </w:tcBorders>
            <w:shd w:val="clear" w:color="auto" w:fill="auto"/>
            <w:noWrap/>
            <w:vAlign w:val="center"/>
            <w:hideMark/>
          </w:tcPr>
          <w:p w14:paraId="2E0C063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Ancoa 220-&gt;Colbun 220</w:t>
            </w:r>
          </w:p>
        </w:tc>
        <w:tc>
          <w:tcPr>
            <w:tcW w:w="2552" w:type="dxa"/>
            <w:tcBorders>
              <w:top w:val="nil"/>
              <w:left w:val="nil"/>
              <w:bottom w:val="single" w:sz="4" w:space="0" w:color="auto"/>
              <w:right w:val="single" w:sz="4" w:space="0" w:color="auto"/>
            </w:tcBorders>
            <w:shd w:val="clear" w:color="auto" w:fill="auto"/>
            <w:noWrap/>
            <w:hideMark/>
          </w:tcPr>
          <w:p w14:paraId="1E56C95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299.801</w:t>
            </w:r>
          </w:p>
        </w:tc>
      </w:tr>
      <w:tr w:rsidR="003E19A2" w:rsidRPr="00A81CB8" w14:paraId="161C2D1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9B75C5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w:t>
            </w:r>
          </w:p>
        </w:tc>
        <w:tc>
          <w:tcPr>
            <w:tcW w:w="3969" w:type="dxa"/>
            <w:tcBorders>
              <w:top w:val="nil"/>
              <w:left w:val="nil"/>
              <w:bottom w:val="single" w:sz="4" w:space="0" w:color="auto"/>
              <w:right w:val="single" w:sz="4" w:space="0" w:color="auto"/>
            </w:tcBorders>
            <w:shd w:val="clear" w:color="auto" w:fill="auto"/>
            <w:noWrap/>
            <w:vAlign w:val="center"/>
            <w:hideMark/>
          </w:tcPr>
          <w:p w14:paraId="1A5F47E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Ancoa 220-&gt;Itahue 220</w:t>
            </w:r>
          </w:p>
        </w:tc>
        <w:tc>
          <w:tcPr>
            <w:tcW w:w="2552" w:type="dxa"/>
            <w:tcBorders>
              <w:top w:val="nil"/>
              <w:left w:val="nil"/>
              <w:bottom w:val="single" w:sz="4" w:space="0" w:color="auto"/>
              <w:right w:val="single" w:sz="4" w:space="0" w:color="auto"/>
            </w:tcBorders>
            <w:shd w:val="clear" w:color="auto" w:fill="auto"/>
            <w:noWrap/>
            <w:hideMark/>
          </w:tcPr>
          <w:p w14:paraId="5456843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13.843.007</w:t>
            </w:r>
          </w:p>
        </w:tc>
      </w:tr>
      <w:tr w:rsidR="003E19A2" w:rsidRPr="00A81CB8" w14:paraId="193AA6D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1FBB5A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w:t>
            </w:r>
          </w:p>
        </w:tc>
        <w:tc>
          <w:tcPr>
            <w:tcW w:w="3969" w:type="dxa"/>
            <w:tcBorders>
              <w:top w:val="nil"/>
              <w:left w:val="nil"/>
              <w:bottom w:val="single" w:sz="4" w:space="0" w:color="auto"/>
              <w:right w:val="single" w:sz="4" w:space="0" w:color="auto"/>
            </w:tcBorders>
            <w:shd w:val="clear" w:color="auto" w:fill="auto"/>
            <w:noWrap/>
            <w:vAlign w:val="center"/>
            <w:hideMark/>
          </w:tcPr>
          <w:p w14:paraId="4073EA9B" w14:textId="77777777" w:rsidR="003E19A2" w:rsidRPr="00A81CB8" w:rsidRDefault="003E19A2" w:rsidP="00725CE1">
            <w:pPr>
              <w:spacing w:before="20" w:after="20" w:line="240" w:lineRule="auto"/>
              <w:jc w:val="left"/>
              <w:rPr>
                <w:rFonts w:eastAsia="Times New Roman" w:cs="Calibri"/>
                <w:color w:val="000000"/>
                <w:sz w:val="20"/>
                <w:szCs w:val="20"/>
                <w:lang w:val="en-US" w:eastAsia="es-CL"/>
              </w:rPr>
            </w:pPr>
            <w:r w:rsidRPr="00A81CB8">
              <w:rPr>
                <w:rFonts w:eastAsia="Times New Roman" w:cs="Calibri"/>
                <w:color w:val="000000"/>
                <w:sz w:val="20"/>
                <w:szCs w:val="20"/>
                <w:lang w:val="en-US" w:eastAsia="es-CL"/>
              </w:rPr>
              <w:t>Ancoa 220-&gt;Tap Off Santa Isabel 220</w:t>
            </w:r>
          </w:p>
        </w:tc>
        <w:tc>
          <w:tcPr>
            <w:tcW w:w="2552" w:type="dxa"/>
            <w:tcBorders>
              <w:top w:val="nil"/>
              <w:left w:val="nil"/>
              <w:bottom w:val="single" w:sz="4" w:space="0" w:color="auto"/>
              <w:right w:val="single" w:sz="4" w:space="0" w:color="auto"/>
            </w:tcBorders>
            <w:shd w:val="clear" w:color="auto" w:fill="auto"/>
            <w:noWrap/>
            <w:hideMark/>
          </w:tcPr>
          <w:p w14:paraId="39FC259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5.906.607</w:t>
            </w:r>
          </w:p>
        </w:tc>
      </w:tr>
      <w:tr w:rsidR="003E19A2" w:rsidRPr="00A81CB8" w14:paraId="2223F4A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A1F342F"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w:t>
            </w:r>
          </w:p>
        </w:tc>
        <w:tc>
          <w:tcPr>
            <w:tcW w:w="3969" w:type="dxa"/>
            <w:tcBorders>
              <w:top w:val="nil"/>
              <w:left w:val="nil"/>
              <w:bottom w:val="single" w:sz="4" w:space="0" w:color="auto"/>
              <w:right w:val="single" w:sz="4" w:space="0" w:color="auto"/>
            </w:tcBorders>
            <w:shd w:val="clear" w:color="auto" w:fill="auto"/>
            <w:noWrap/>
            <w:vAlign w:val="center"/>
            <w:hideMark/>
          </w:tcPr>
          <w:p w14:paraId="1A21E41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Ancoa 500-&gt;Charrua 500</w:t>
            </w:r>
          </w:p>
        </w:tc>
        <w:tc>
          <w:tcPr>
            <w:tcW w:w="2552" w:type="dxa"/>
            <w:tcBorders>
              <w:top w:val="nil"/>
              <w:left w:val="nil"/>
              <w:bottom w:val="single" w:sz="4" w:space="0" w:color="auto"/>
              <w:right w:val="single" w:sz="4" w:space="0" w:color="auto"/>
            </w:tcBorders>
            <w:shd w:val="clear" w:color="auto" w:fill="auto"/>
            <w:noWrap/>
            <w:hideMark/>
          </w:tcPr>
          <w:p w14:paraId="2138FBE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1D28C50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86D858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w:t>
            </w:r>
          </w:p>
        </w:tc>
        <w:tc>
          <w:tcPr>
            <w:tcW w:w="3969" w:type="dxa"/>
            <w:tcBorders>
              <w:top w:val="nil"/>
              <w:left w:val="nil"/>
              <w:bottom w:val="single" w:sz="4" w:space="0" w:color="auto"/>
              <w:right w:val="single" w:sz="4" w:space="0" w:color="auto"/>
            </w:tcBorders>
            <w:shd w:val="clear" w:color="auto" w:fill="auto"/>
            <w:noWrap/>
            <w:vAlign w:val="center"/>
            <w:hideMark/>
          </w:tcPr>
          <w:p w14:paraId="7CA97F1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Ancoa 500-&gt;Nueva Charrua 500</w:t>
            </w:r>
          </w:p>
        </w:tc>
        <w:tc>
          <w:tcPr>
            <w:tcW w:w="2552" w:type="dxa"/>
            <w:tcBorders>
              <w:top w:val="nil"/>
              <w:left w:val="nil"/>
              <w:bottom w:val="single" w:sz="4" w:space="0" w:color="auto"/>
              <w:right w:val="single" w:sz="4" w:space="0" w:color="auto"/>
            </w:tcBorders>
            <w:shd w:val="clear" w:color="auto" w:fill="auto"/>
            <w:noWrap/>
            <w:hideMark/>
          </w:tcPr>
          <w:p w14:paraId="0D7D5B6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142.871.375</w:t>
            </w:r>
          </w:p>
        </w:tc>
      </w:tr>
      <w:tr w:rsidR="003E19A2" w:rsidRPr="00A81CB8" w14:paraId="1B4C765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01C71D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N_14</w:t>
            </w:r>
          </w:p>
        </w:tc>
        <w:tc>
          <w:tcPr>
            <w:tcW w:w="3969" w:type="dxa"/>
            <w:tcBorders>
              <w:top w:val="nil"/>
              <w:left w:val="nil"/>
              <w:bottom w:val="single" w:sz="4" w:space="0" w:color="auto"/>
              <w:right w:val="single" w:sz="4" w:space="0" w:color="auto"/>
            </w:tcBorders>
            <w:shd w:val="clear" w:color="auto" w:fill="auto"/>
            <w:noWrap/>
            <w:vAlign w:val="center"/>
            <w:hideMark/>
          </w:tcPr>
          <w:p w14:paraId="1E492BF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Atacama 220-&gt;Tap Enlace 220</w:t>
            </w:r>
          </w:p>
        </w:tc>
        <w:tc>
          <w:tcPr>
            <w:tcW w:w="2552" w:type="dxa"/>
            <w:tcBorders>
              <w:top w:val="nil"/>
              <w:left w:val="nil"/>
              <w:bottom w:val="single" w:sz="4" w:space="0" w:color="auto"/>
              <w:right w:val="single" w:sz="4" w:space="0" w:color="auto"/>
            </w:tcBorders>
            <w:shd w:val="clear" w:color="auto" w:fill="auto"/>
            <w:noWrap/>
            <w:hideMark/>
          </w:tcPr>
          <w:p w14:paraId="78276B4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25.929.714</w:t>
            </w:r>
          </w:p>
        </w:tc>
      </w:tr>
      <w:tr w:rsidR="003E19A2" w:rsidRPr="00A81CB8" w14:paraId="2E07A89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F659E5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N_15</w:t>
            </w:r>
          </w:p>
        </w:tc>
        <w:tc>
          <w:tcPr>
            <w:tcW w:w="3969" w:type="dxa"/>
            <w:tcBorders>
              <w:top w:val="nil"/>
              <w:left w:val="nil"/>
              <w:bottom w:val="single" w:sz="4" w:space="0" w:color="auto"/>
              <w:right w:val="single" w:sz="4" w:space="0" w:color="auto"/>
            </w:tcBorders>
            <w:shd w:val="clear" w:color="auto" w:fill="auto"/>
            <w:noWrap/>
            <w:vAlign w:val="center"/>
            <w:hideMark/>
          </w:tcPr>
          <w:p w14:paraId="587806D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Bureo 220-&gt;Los Peumos 220</w:t>
            </w:r>
          </w:p>
        </w:tc>
        <w:tc>
          <w:tcPr>
            <w:tcW w:w="2552" w:type="dxa"/>
            <w:tcBorders>
              <w:top w:val="nil"/>
              <w:left w:val="nil"/>
              <w:bottom w:val="single" w:sz="4" w:space="0" w:color="auto"/>
              <w:right w:val="single" w:sz="4" w:space="0" w:color="auto"/>
            </w:tcBorders>
            <w:shd w:val="clear" w:color="auto" w:fill="auto"/>
            <w:noWrap/>
            <w:hideMark/>
          </w:tcPr>
          <w:p w14:paraId="0FAAFF0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14.626.415</w:t>
            </w:r>
          </w:p>
        </w:tc>
      </w:tr>
      <w:tr w:rsidR="003E19A2" w:rsidRPr="00A81CB8" w14:paraId="206F4AC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DB369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N_16</w:t>
            </w:r>
          </w:p>
        </w:tc>
        <w:tc>
          <w:tcPr>
            <w:tcW w:w="3969" w:type="dxa"/>
            <w:tcBorders>
              <w:top w:val="nil"/>
              <w:left w:val="nil"/>
              <w:bottom w:val="single" w:sz="4" w:space="0" w:color="auto"/>
              <w:right w:val="single" w:sz="4" w:space="0" w:color="auto"/>
            </w:tcBorders>
            <w:shd w:val="clear" w:color="auto" w:fill="auto"/>
            <w:noWrap/>
            <w:vAlign w:val="center"/>
            <w:hideMark/>
          </w:tcPr>
          <w:p w14:paraId="52C93BB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Candelaria 220-&gt;Maipo 220</w:t>
            </w:r>
          </w:p>
        </w:tc>
        <w:tc>
          <w:tcPr>
            <w:tcW w:w="2552" w:type="dxa"/>
            <w:tcBorders>
              <w:top w:val="nil"/>
              <w:left w:val="nil"/>
              <w:bottom w:val="single" w:sz="4" w:space="0" w:color="auto"/>
              <w:right w:val="single" w:sz="4" w:space="0" w:color="auto"/>
            </w:tcBorders>
            <w:shd w:val="clear" w:color="auto" w:fill="auto"/>
            <w:noWrap/>
            <w:hideMark/>
          </w:tcPr>
          <w:p w14:paraId="0D0553D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28.121.365</w:t>
            </w:r>
          </w:p>
        </w:tc>
      </w:tr>
      <w:tr w:rsidR="003E19A2" w:rsidRPr="00A81CB8" w14:paraId="5CDD0FF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895B4E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N_17</w:t>
            </w:r>
          </w:p>
        </w:tc>
        <w:tc>
          <w:tcPr>
            <w:tcW w:w="3969" w:type="dxa"/>
            <w:tcBorders>
              <w:top w:val="nil"/>
              <w:left w:val="nil"/>
              <w:bottom w:val="single" w:sz="4" w:space="0" w:color="auto"/>
              <w:right w:val="single" w:sz="4" w:space="0" w:color="auto"/>
            </w:tcBorders>
            <w:shd w:val="clear" w:color="auto" w:fill="auto"/>
            <w:noWrap/>
            <w:vAlign w:val="center"/>
            <w:hideMark/>
          </w:tcPr>
          <w:p w14:paraId="5249C34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Candelaria 220-&gt;Puente Negro 220</w:t>
            </w:r>
          </w:p>
        </w:tc>
        <w:tc>
          <w:tcPr>
            <w:tcW w:w="2552" w:type="dxa"/>
            <w:tcBorders>
              <w:top w:val="nil"/>
              <w:left w:val="nil"/>
              <w:bottom w:val="single" w:sz="4" w:space="0" w:color="auto"/>
              <w:right w:val="single" w:sz="4" w:space="0" w:color="auto"/>
            </w:tcBorders>
            <w:shd w:val="clear" w:color="auto" w:fill="auto"/>
            <w:noWrap/>
            <w:hideMark/>
          </w:tcPr>
          <w:p w14:paraId="72D47D6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55.020.303</w:t>
            </w:r>
          </w:p>
        </w:tc>
      </w:tr>
      <w:tr w:rsidR="003E19A2" w:rsidRPr="00A81CB8" w14:paraId="4A784C1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7B9A43C"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N_19</w:t>
            </w:r>
          </w:p>
        </w:tc>
        <w:tc>
          <w:tcPr>
            <w:tcW w:w="3969" w:type="dxa"/>
            <w:tcBorders>
              <w:top w:val="nil"/>
              <w:left w:val="nil"/>
              <w:bottom w:val="single" w:sz="4" w:space="0" w:color="auto"/>
              <w:right w:val="single" w:sz="4" w:space="0" w:color="auto"/>
            </w:tcBorders>
            <w:shd w:val="clear" w:color="auto" w:fill="auto"/>
            <w:noWrap/>
            <w:vAlign w:val="center"/>
            <w:hideMark/>
          </w:tcPr>
          <w:p w14:paraId="17DE6C2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Cardones 220 -&gt;Nueva Cardones 220</w:t>
            </w:r>
          </w:p>
        </w:tc>
        <w:tc>
          <w:tcPr>
            <w:tcW w:w="2552" w:type="dxa"/>
            <w:tcBorders>
              <w:top w:val="nil"/>
              <w:left w:val="nil"/>
              <w:bottom w:val="single" w:sz="4" w:space="0" w:color="auto"/>
              <w:right w:val="single" w:sz="4" w:space="0" w:color="auto"/>
            </w:tcBorders>
            <w:shd w:val="clear" w:color="auto" w:fill="auto"/>
            <w:noWrap/>
            <w:hideMark/>
          </w:tcPr>
          <w:p w14:paraId="4AE83CF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65403C3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40BDF3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N_18</w:t>
            </w:r>
          </w:p>
        </w:tc>
        <w:tc>
          <w:tcPr>
            <w:tcW w:w="3969" w:type="dxa"/>
            <w:tcBorders>
              <w:top w:val="nil"/>
              <w:left w:val="nil"/>
              <w:bottom w:val="single" w:sz="4" w:space="0" w:color="auto"/>
              <w:right w:val="single" w:sz="4" w:space="0" w:color="auto"/>
            </w:tcBorders>
            <w:shd w:val="clear" w:color="auto" w:fill="auto"/>
            <w:noWrap/>
            <w:vAlign w:val="center"/>
            <w:hideMark/>
          </w:tcPr>
          <w:p w14:paraId="567EA75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Cardones 220-&gt;Algarrobal 220</w:t>
            </w:r>
          </w:p>
        </w:tc>
        <w:tc>
          <w:tcPr>
            <w:tcW w:w="2552" w:type="dxa"/>
            <w:tcBorders>
              <w:top w:val="nil"/>
              <w:left w:val="nil"/>
              <w:bottom w:val="single" w:sz="4" w:space="0" w:color="auto"/>
              <w:right w:val="single" w:sz="4" w:space="0" w:color="auto"/>
            </w:tcBorders>
            <w:shd w:val="clear" w:color="auto" w:fill="auto"/>
            <w:noWrap/>
            <w:hideMark/>
          </w:tcPr>
          <w:p w14:paraId="53E7234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38.200.059</w:t>
            </w:r>
          </w:p>
        </w:tc>
      </w:tr>
      <w:tr w:rsidR="003E19A2" w:rsidRPr="00A81CB8" w14:paraId="473E588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C54093C"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N_20</w:t>
            </w:r>
          </w:p>
        </w:tc>
        <w:tc>
          <w:tcPr>
            <w:tcW w:w="3969" w:type="dxa"/>
            <w:tcBorders>
              <w:top w:val="nil"/>
              <w:left w:val="nil"/>
              <w:bottom w:val="single" w:sz="4" w:space="0" w:color="auto"/>
              <w:right w:val="single" w:sz="4" w:space="0" w:color="auto"/>
            </w:tcBorders>
            <w:shd w:val="clear" w:color="auto" w:fill="auto"/>
            <w:noWrap/>
            <w:vAlign w:val="center"/>
            <w:hideMark/>
          </w:tcPr>
          <w:p w14:paraId="6EF3468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Carrera Pinto 220-&gt;Nueva Diego de Almagro 220</w:t>
            </w:r>
          </w:p>
        </w:tc>
        <w:tc>
          <w:tcPr>
            <w:tcW w:w="2552" w:type="dxa"/>
            <w:tcBorders>
              <w:top w:val="nil"/>
              <w:left w:val="nil"/>
              <w:bottom w:val="single" w:sz="4" w:space="0" w:color="auto"/>
              <w:right w:val="single" w:sz="4" w:space="0" w:color="auto"/>
            </w:tcBorders>
            <w:shd w:val="clear" w:color="auto" w:fill="auto"/>
            <w:noWrap/>
            <w:hideMark/>
          </w:tcPr>
          <w:p w14:paraId="05E542B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11.198.562</w:t>
            </w:r>
          </w:p>
        </w:tc>
      </w:tr>
      <w:tr w:rsidR="003E19A2" w:rsidRPr="00A81CB8" w14:paraId="274137B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DD7F7C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N_21</w:t>
            </w:r>
          </w:p>
        </w:tc>
        <w:tc>
          <w:tcPr>
            <w:tcW w:w="3969" w:type="dxa"/>
            <w:tcBorders>
              <w:top w:val="nil"/>
              <w:left w:val="nil"/>
              <w:bottom w:val="single" w:sz="4" w:space="0" w:color="auto"/>
              <w:right w:val="single" w:sz="4" w:space="0" w:color="auto"/>
            </w:tcBorders>
            <w:shd w:val="clear" w:color="auto" w:fill="auto"/>
            <w:noWrap/>
            <w:vAlign w:val="center"/>
            <w:hideMark/>
          </w:tcPr>
          <w:p w14:paraId="2149965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Carrera Pinto 220-&gt;S. San Andres 220</w:t>
            </w:r>
          </w:p>
        </w:tc>
        <w:tc>
          <w:tcPr>
            <w:tcW w:w="2552" w:type="dxa"/>
            <w:tcBorders>
              <w:top w:val="nil"/>
              <w:left w:val="nil"/>
              <w:bottom w:val="single" w:sz="4" w:space="0" w:color="auto"/>
              <w:right w:val="single" w:sz="4" w:space="0" w:color="auto"/>
            </w:tcBorders>
            <w:shd w:val="clear" w:color="auto" w:fill="auto"/>
            <w:noWrap/>
            <w:hideMark/>
          </w:tcPr>
          <w:p w14:paraId="1F19438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10.334.144</w:t>
            </w:r>
          </w:p>
        </w:tc>
      </w:tr>
      <w:tr w:rsidR="003E19A2" w:rsidRPr="00A81CB8" w14:paraId="21849BE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C022F0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N_22</w:t>
            </w:r>
          </w:p>
        </w:tc>
        <w:tc>
          <w:tcPr>
            <w:tcW w:w="3969" w:type="dxa"/>
            <w:tcBorders>
              <w:top w:val="nil"/>
              <w:left w:val="nil"/>
              <w:bottom w:val="single" w:sz="4" w:space="0" w:color="auto"/>
              <w:right w:val="single" w:sz="4" w:space="0" w:color="auto"/>
            </w:tcBorders>
            <w:shd w:val="clear" w:color="auto" w:fill="auto"/>
            <w:noWrap/>
            <w:vAlign w:val="center"/>
            <w:hideMark/>
          </w:tcPr>
          <w:p w14:paraId="4AD231E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Cautin 220-&gt;Metrenco 220</w:t>
            </w:r>
          </w:p>
        </w:tc>
        <w:tc>
          <w:tcPr>
            <w:tcW w:w="2552" w:type="dxa"/>
            <w:tcBorders>
              <w:top w:val="nil"/>
              <w:left w:val="nil"/>
              <w:bottom w:val="single" w:sz="4" w:space="0" w:color="auto"/>
              <w:right w:val="single" w:sz="4" w:space="0" w:color="auto"/>
            </w:tcBorders>
            <w:shd w:val="clear" w:color="auto" w:fill="auto"/>
            <w:noWrap/>
            <w:hideMark/>
          </w:tcPr>
          <w:p w14:paraId="7CD20E8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6.097.510</w:t>
            </w:r>
          </w:p>
        </w:tc>
      </w:tr>
      <w:tr w:rsidR="003E19A2" w:rsidRPr="00A81CB8" w14:paraId="3682F79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75CAED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N_23</w:t>
            </w:r>
          </w:p>
        </w:tc>
        <w:tc>
          <w:tcPr>
            <w:tcW w:w="3969" w:type="dxa"/>
            <w:tcBorders>
              <w:top w:val="nil"/>
              <w:left w:val="nil"/>
              <w:bottom w:val="single" w:sz="4" w:space="0" w:color="auto"/>
              <w:right w:val="single" w:sz="4" w:space="0" w:color="auto"/>
            </w:tcBorders>
            <w:shd w:val="clear" w:color="auto" w:fill="auto"/>
            <w:noWrap/>
            <w:vAlign w:val="center"/>
            <w:hideMark/>
          </w:tcPr>
          <w:p w14:paraId="39ABB55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Cerro Navia 220-&gt;Cerro Navia Desf 220</w:t>
            </w:r>
          </w:p>
        </w:tc>
        <w:tc>
          <w:tcPr>
            <w:tcW w:w="2552" w:type="dxa"/>
            <w:tcBorders>
              <w:top w:val="nil"/>
              <w:left w:val="nil"/>
              <w:bottom w:val="single" w:sz="4" w:space="0" w:color="auto"/>
              <w:right w:val="single" w:sz="4" w:space="0" w:color="auto"/>
            </w:tcBorders>
            <w:shd w:val="clear" w:color="auto" w:fill="auto"/>
            <w:noWrap/>
            <w:hideMark/>
          </w:tcPr>
          <w:p w14:paraId="0B577DD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19.023.108</w:t>
            </w:r>
          </w:p>
        </w:tc>
      </w:tr>
      <w:tr w:rsidR="003E19A2" w:rsidRPr="00A81CB8" w14:paraId="2C00466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9616A4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N_24</w:t>
            </w:r>
          </w:p>
        </w:tc>
        <w:tc>
          <w:tcPr>
            <w:tcW w:w="3969" w:type="dxa"/>
            <w:tcBorders>
              <w:top w:val="nil"/>
              <w:left w:val="nil"/>
              <w:bottom w:val="single" w:sz="4" w:space="0" w:color="auto"/>
              <w:right w:val="single" w:sz="4" w:space="0" w:color="auto"/>
            </w:tcBorders>
            <w:shd w:val="clear" w:color="auto" w:fill="auto"/>
            <w:noWrap/>
            <w:vAlign w:val="center"/>
            <w:hideMark/>
          </w:tcPr>
          <w:p w14:paraId="0937A48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Cerro Navia 220-&gt;Chena 220</w:t>
            </w:r>
          </w:p>
        </w:tc>
        <w:tc>
          <w:tcPr>
            <w:tcW w:w="2552" w:type="dxa"/>
            <w:tcBorders>
              <w:top w:val="nil"/>
              <w:left w:val="nil"/>
              <w:bottom w:val="single" w:sz="4" w:space="0" w:color="auto"/>
              <w:right w:val="single" w:sz="4" w:space="0" w:color="auto"/>
            </w:tcBorders>
            <w:shd w:val="clear" w:color="auto" w:fill="auto"/>
            <w:noWrap/>
            <w:hideMark/>
          </w:tcPr>
          <w:p w14:paraId="36B07EE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3.414.453</w:t>
            </w:r>
          </w:p>
        </w:tc>
      </w:tr>
      <w:tr w:rsidR="003E19A2" w:rsidRPr="00A81CB8" w14:paraId="5E77B30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19A580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N_25</w:t>
            </w:r>
          </w:p>
        </w:tc>
        <w:tc>
          <w:tcPr>
            <w:tcW w:w="3969" w:type="dxa"/>
            <w:tcBorders>
              <w:top w:val="nil"/>
              <w:left w:val="nil"/>
              <w:bottom w:val="single" w:sz="4" w:space="0" w:color="auto"/>
              <w:right w:val="single" w:sz="4" w:space="0" w:color="auto"/>
            </w:tcBorders>
            <w:shd w:val="clear" w:color="auto" w:fill="auto"/>
            <w:noWrap/>
            <w:vAlign w:val="center"/>
            <w:hideMark/>
          </w:tcPr>
          <w:p w14:paraId="3930DB1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Cerro Navia 220-&gt;Neptuno 220</w:t>
            </w:r>
          </w:p>
        </w:tc>
        <w:tc>
          <w:tcPr>
            <w:tcW w:w="2552" w:type="dxa"/>
            <w:tcBorders>
              <w:top w:val="nil"/>
              <w:left w:val="nil"/>
              <w:bottom w:val="single" w:sz="4" w:space="0" w:color="auto"/>
              <w:right w:val="single" w:sz="4" w:space="0" w:color="auto"/>
            </w:tcBorders>
            <w:shd w:val="clear" w:color="auto" w:fill="auto"/>
            <w:noWrap/>
            <w:hideMark/>
          </w:tcPr>
          <w:p w14:paraId="2252D30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2.173.450</w:t>
            </w:r>
          </w:p>
        </w:tc>
      </w:tr>
      <w:tr w:rsidR="003E19A2" w:rsidRPr="00A81CB8" w14:paraId="778128C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11BDF7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N_26</w:t>
            </w:r>
          </w:p>
        </w:tc>
        <w:tc>
          <w:tcPr>
            <w:tcW w:w="3969" w:type="dxa"/>
            <w:tcBorders>
              <w:top w:val="nil"/>
              <w:left w:val="nil"/>
              <w:bottom w:val="single" w:sz="4" w:space="0" w:color="auto"/>
              <w:right w:val="single" w:sz="4" w:space="0" w:color="auto"/>
            </w:tcBorders>
            <w:shd w:val="clear" w:color="auto" w:fill="auto"/>
            <w:noWrap/>
            <w:vAlign w:val="center"/>
            <w:hideMark/>
          </w:tcPr>
          <w:p w14:paraId="1557F25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Cerros de Huichahue 220-&gt;Nueva Pichirropulli 220</w:t>
            </w:r>
          </w:p>
        </w:tc>
        <w:tc>
          <w:tcPr>
            <w:tcW w:w="2552" w:type="dxa"/>
            <w:tcBorders>
              <w:top w:val="nil"/>
              <w:left w:val="nil"/>
              <w:bottom w:val="single" w:sz="4" w:space="0" w:color="auto"/>
              <w:right w:val="single" w:sz="4" w:space="0" w:color="auto"/>
            </w:tcBorders>
            <w:shd w:val="clear" w:color="auto" w:fill="auto"/>
            <w:noWrap/>
            <w:hideMark/>
          </w:tcPr>
          <w:p w14:paraId="69F8592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2.264.221</w:t>
            </w:r>
          </w:p>
        </w:tc>
      </w:tr>
      <w:tr w:rsidR="003E19A2" w:rsidRPr="00A81CB8" w14:paraId="475EAAA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1070F1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N_27</w:t>
            </w:r>
          </w:p>
        </w:tc>
        <w:tc>
          <w:tcPr>
            <w:tcW w:w="3969" w:type="dxa"/>
            <w:tcBorders>
              <w:top w:val="nil"/>
              <w:left w:val="nil"/>
              <w:bottom w:val="single" w:sz="4" w:space="0" w:color="auto"/>
              <w:right w:val="single" w:sz="4" w:space="0" w:color="auto"/>
            </w:tcBorders>
            <w:shd w:val="clear" w:color="auto" w:fill="auto"/>
            <w:noWrap/>
            <w:vAlign w:val="center"/>
            <w:hideMark/>
          </w:tcPr>
          <w:p w14:paraId="76DA143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220-&gt;Charrua 500</w:t>
            </w:r>
          </w:p>
        </w:tc>
        <w:tc>
          <w:tcPr>
            <w:tcW w:w="2552" w:type="dxa"/>
            <w:tcBorders>
              <w:top w:val="nil"/>
              <w:left w:val="nil"/>
              <w:bottom w:val="single" w:sz="4" w:space="0" w:color="auto"/>
              <w:right w:val="single" w:sz="4" w:space="0" w:color="auto"/>
            </w:tcBorders>
            <w:shd w:val="clear" w:color="auto" w:fill="auto"/>
            <w:noWrap/>
            <w:hideMark/>
          </w:tcPr>
          <w:p w14:paraId="274619F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26.280.211</w:t>
            </w:r>
          </w:p>
        </w:tc>
      </w:tr>
      <w:tr w:rsidR="003E19A2" w:rsidRPr="00A81CB8" w14:paraId="088973A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5C518D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N_28</w:t>
            </w:r>
          </w:p>
        </w:tc>
        <w:tc>
          <w:tcPr>
            <w:tcW w:w="3969" w:type="dxa"/>
            <w:tcBorders>
              <w:top w:val="nil"/>
              <w:left w:val="nil"/>
              <w:bottom w:val="single" w:sz="4" w:space="0" w:color="auto"/>
              <w:right w:val="single" w:sz="4" w:space="0" w:color="auto"/>
            </w:tcBorders>
            <w:shd w:val="clear" w:color="auto" w:fill="auto"/>
            <w:noWrap/>
            <w:vAlign w:val="center"/>
            <w:hideMark/>
          </w:tcPr>
          <w:p w14:paraId="4557B47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220-&gt;Concepcion 220</w:t>
            </w:r>
          </w:p>
        </w:tc>
        <w:tc>
          <w:tcPr>
            <w:tcW w:w="2552" w:type="dxa"/>
            <w:tcBorders>
              <w:top w:val="nil"/>
              <w:left w:val="nil"/>
              <w:bottom w:val="single" w:sz="4" w:space="0" w:color="auto"/>
              <w:right w:val="single" w:sz="4" w:space="0" w:color="auto"/>
            </w:tcBorders>
            <w:shd w:val="clear" w:color="auto" w:fill="auto"/>
            <w:noWrap/>
            <w:hideMark/>
          </w:tcPr>
          <w:p w14:paraId="50B345C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18.229.261</w:t>
            </w:r>
          </w:p>
        </w:tc>
      </w:tr>
      <w:tr w:rsidR="003E19A2" w:rsidRPr="00A81CB8" w14:paraId="13D0C45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C26D7F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N_29</w:t>
            </w:r>
          </w:p>
        </w:tc>
        <w:tc>
          <w:tcPr>
            <w:tcW w:w="3969" w:type="dxa"/>
            <w:tcBorders>
              <w:top w:val="nil"/>
              <w:left w:val="nil"/>
              <w:bottom w:val="single" w:sz="4" w:space="0" w:color="auto"/>
              <w:right w:val="single" w:sz="4" w:space="0" w:color="auto"/>
            </w:tcBorders>
            <w:shd w:val="clear" w:color="auto" w:fill="auto"/>
            <w:noWrap/>
            <w:vAlign w:val="center"/>
            <w:hideMark/>
          </w:tcPr>
          <w:p w14:paraId="1938C43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220-&gt;El Rosal 220</w:t>
            </w:r>
          </w:p>
        </w:tc>
        <w:tc>
          <w:tcPr>
            <w:tcW w:w="2552" w:type="dxa"/>
            <w:tcBorders>
              <w:top w:val="nil"/>
              <w:left w:val="nil"/>
              <w:bottom w:val="single" w:sz="4" w:space="0" w:color="auto"/>
              <w:right w:val="single" w:sz="4" w:space="0" w:color="auto"/>
            </w:tcBorders>
            <w:shd w:val="clear" w:color="auto" w:fill="auto"/>
            <w:noWrap/>
            <w:hideMark/>
          </w:tcPr>
          <w:p w14:paraId="31CCAB3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4.849.492</w:t>
            </w:r>
          </w:p>
        </w:tc>
      </w:tr>
      <w:tr w:rsidR="003E19A2" w:rsidRPr="00A81CB8" w14:paraId="5E6B125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B08AD9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N_30</w:t>
            </w:r>
          </w:p>
        </w:tc>
        <w:tc>
          <w:tcPr>
            <w:tcW w:w="3969" w:type="dxa"/>
            <w:tcBorders>
              <w:top w:val="nil"/>
              <w:left w:val="nil"/>
              <w:bottom w:val="single" w:sz="4" w:space="0" w:color="auto"/>
              <w:right w:val="single" w:sz="4" w:space="0" w:color="auto"/>
            </w:tcBorders>
            <w:shd w:val="clear" w:color="auto" w:fill="auto"/>
            <w:noWrap/>
            <w:vAlign w:val="center"/>
            <w:hideMark/>
          </w:tcPr>
          <w:p w14:paraId="26F798D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220-&gt;Lagunillas 220</w:t>
            </w:r>
          </w:p>
        </w:tc>
        <w:tc>
          <w:tcPr>
            <w:tcW w:w="2552" w:type="dxa"/>
            <w:tcBorders>
              <w:top w:val="nil"/>
              <w:left w:val="nil"/>
              <w:bottom w:val="single" w:sz="4" w:space="0" w:color="auto"/>
              <w:right w:val="single" w:sz="4" w:space="0" w:color="auto"/>
            </w:tcBorders>
            <w:shd w:val="clear" w:color="auto" w:fill="auto"/>
            <w:noWrap/>
            <w:hideMark/>
          </w:tcPr>
          <w:p w14:paraId="03AEA7E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26.516.411</w:t>
            </w:r>
          </w:p>
        </w:tc>
      </w:tr>
      <w:tr w:rsidR="003E19A2" w:rsidRPr="00A81CB8" w14:paraId="7D65D36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CAA946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N_31</w:t>
            </w:r>
          </w:p>
        </w:tc>
        <w:tc>
          <w:tcPr>
            <w:tcW w:w="3969" w:type="dxa"/>
            <w:tcBorders>
              <w:top w:val="nil"/>
              <w:left w:val="nil"/>
              <w:bottom w:val="single" w:sz="4" w:space="0" w:color="auto"/>
              <w:right w:val="single" w:sz="4" w:space="0" w:color="auto"/>
            </w:tcBorders>
            <w:shd w:val="clear" w:color="auto" w:fill="auto"/>
            <w:noWrap/>
            <w:vAlign w:val="center"/>
            <w:hideMark/>
          </w:tcPr>
          <w:p w14:paraId="470B16B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220-&gt;Mulchen 220</w:t>
            </w:r>
          </w:p>
        </w:tc>
        <w:tc>
          <w:tcPr>
            <w:tcW w:w="2552" w:type="dxa"/>
            <w:tcBorders>
              <w:top w:val="nil"/>
              <w:left w:val="nil"/>
              <w:bottom w:val="single" w:sz="4" w:space="0" w:color="auto"/>
              <w:right w:val="single" w:sz="4" w:space="0" w:color="auto"/>
            </w:tcBorders>
            <w:shd w:val="clear" w:color="auto" w:fill="auto"/>
            <w:noWrap/>
            <w:hideMark/>
          </w:tcPr>
          <w:p w14:paraId="0F74582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722.372</w:t>
            </w:r>
          </w:p>
        </w:tc>
      </w:tr>
      <w:tr w:rsidR="003E19A2" w:rsidRPr="00A81CB8" w14:paraId="75EF4B4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66C52C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N_32</w:t>
            </w:r>
          </w:p>
        </w:tc>
        <w:tc>
          <w:tcPr>
            <w:tcW w:w="3969" w:type="dxa"/>
            <w:tcBorders>
              <w:top w:val="nil"/>
              <w:left w:val="nil"/>
              <w:bottom w:val="single" w:sz="4" w:space="0" w:color="auto"/>
              <w:right w:val="single" w:sz="4" w:space="0" w:color="auto"/>
            </w:tcBorders>
            <w:shd w:val="clear" w:color="auto" w:fill="auto"/>
            <w:noWrap/>
            <w:vAlign w:val="center"/>
            <w:hideMark/>
          </w:tcPr>
          <w:p w14:paraId="44B0DBB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220-&gt;Trebol 220</w:t>
            </w:r>
          </w:p>
        </w:tc>
        <w:tc>
          <w:tcPr>
            <w:tcW w:w="2552" w:type="dxa"/>
            <w:tcBorders>
              <w:top w:val="nil"/>
              <w:left w:val="nil"/>
              <w:bottom w:val="single" w:sz="4" w:space="0" w:color="auto"/>
              <w:right w:val="single" w:sz="4" w:space="0" w:color="auto"/>
            </w:tcBorders>
            <w:shd w:val="clear" w:color="auto" w:fill="auto"/>
            <w:noWrap/>
            <w:hideMark/>
          </w:tcPr>
          <w:p w14:paraId="4FEA98A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23.102.687</w:t>
            </w:r>
          </w:p>
        </w:tc>
      </w:tr>
      <w:tr w:rsidR="003E19A2" w:rsidRPr="00A81CB8" w14:paraId="2AA0E2E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828ED3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N_33</w:t>
            </w:r>
          </w:p>
        </w:tc>
        <w:tc>
          <w:tcPr>
            <w:tcW w:w="3969" w:type="dxa"/>
            <w:tcBorders>
              <w:top w:val="nil"/>
              <w:left w:val="nil"/>
              <w:bottom w:val="single" w:sz="4" w:space="0" w:color="auto"/>
              <w:right w:val="single" w:sz="4" w:space="0" w:color="auto"/>
            </w:tcBorders>
            <w:shd w:val="clear" w:color="auto" w:fill="auto"/>
            <w:noWrap/>
            <w:vAlign w:val="center"/>
            <w:hideMark/>
          </w:tcPr>
          <w:p w14:paraId="552136D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Charrua 500-&gt;Nueva Charrua 500</w:t>
            </w:r>
          </w:p>
        </w:tc>
        <w:tc>
          <w:tcPr>
            <w:tcW w:w="2552" w:type="dxa"/>
            <w:tcBorders>
              <w:top w:val="nil"/>
              <w:left w:val="nil"/>
              <w:bottom w:val="single" w:sz="4" w:space="0" w:color="auto"/>
              <w:right w:val="single" w:sz="4" w:space="0" w:color="auto"/>
            </w:tcBorders>
            <w:shd w:val="clear" w:color="auto" w:fill="auto"/>
            <w:noWrap/>
            <w:hideMark/>
          </w:tcPr>
          <w:p w14:paraId="7640AFB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31.209.399</w:t>
            </w:r>
          </w:p>
        </w:tc>
      </w:tr>
      <w:tr w:rsidR="003E19A2" w:rsidRPr="00A81CB8" w14:paraId="6E561C2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2CB9F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N_34</w:t>
            </w:r>
          </w:p>
        </w:tc>
        <w:tc>
          <w:tcPr>
            <w:tcW w:w="3969" w:type="dxa"/>
            <w:tcBorders>
              <w:top w:val="nil"/>
              <w:left w:val="nil"/>
              <w:bottom w:val="single" w:sz="4" w:space="0" w:color="auto"/>
              <w:right w:val="single" w:sz="4" w:space="0" w:color="auto"/>
            </w:tcBorders>
            <w:shd w:val="clear" w:color="auto" w:fill="auto"/>
            <w:noWrap/>
            <w:vAlign w:val="center"/>
            <w:hideMark/>
          </w:tcPr>
          <w:p w14:paraId="43E7059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Chena 220-&gt;Neptuno 220</w:t>
            </w:r>
          </w:p>
        </w:tc>
        <w:tc>
          <w:tcPr>
            <w:tcW w:w="2552" w:type="dxa"/>
            <w:tcBorders>
              <w:top w:val="nil"/>
              <w:left w:val="nil"/>
              <w:bottom w:val="single" w:sz="4" w:space="0" w:color="auto"/>
              <w:right w:val="single" w:sz="4" w:space="0" w:color="auto"/>
            </w:tcBorders>
            <w:shd w:val="clear" w:color="auto" w:fill="auto"/>
            <w:noWrap/>
            <w:hideMark/>
          </w:tcPr>
          <w:p w14:paraId="10CEF33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2.845.305</w:t>
            </w:r>
          </w:p>
        </w:tc>
      </w:tr>
      <w:tr w:rsidR="003E19A2" w:rsidRPr="00A81CB8" w14:paraId="5C646D5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883492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N_35</w:t>
            </w:r>
          </w:p>
        </w:tc>
        <w:tc>
          <w:tcPr>
            <w:tcW w:w="3969" w:type="dxa"/>
            <w:tcBorders>
              <w:top w:val="nil"/>
              <w:left w:val="nil"/>
              <w:bottom w:val="single" w:sz="4" w:space="0" w:color="auto"/>
              <w:right w:val="single" w:sz="4" w:space="0" w:color="auto"/>
            </w:tcBorders>
            <w:shd w:val="clear" w:color="auto" w:fill="auto"/>
            <w:noWrap/>
            <w:vAlign w:val="center"/>
            <w:hideMark/>
          </w:tcPr>
          <w:p w14:paraId="5F9A4B8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Chena 220-&gt;Tap Central Santa Marta 220</w:t>
            </w:r>
          </w:p>
        </w:tc>
        <w:tc>
          <w:tcPr>
            <w:tcW w:w="2552" w:type="dxa"/>
            <w:tcBorders>
              <w:top w:val="nil"/>
              <w:left w:val="nil"/>
              <w:bottom w:val="single" w:sz="4" w:space="0" w:color="auto"/>
              <w:right w:val="single" w:sz="4" w:space="0" w:color="auto"/>
            </w:tcBorders>
            <w:shd w:val="clear" w:color="auto" w:fill="auto"/>
            <w:noWrap/>
            <w:hideMark/>
          </w:tcPr>
          <w:p w14:paraId="3D50B60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7.688.901</w:t>
            </w:r>
          </w:p>
        </w:tc>
      </w:tr>
      <w:tr w:rsidR="003E19A2" w:rsidRPr="00A81CB8" w14:paraId="7F39F4A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3C4201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N_36</w:t>
            </w:r>
          </w:p>
        </w:tc>
        <w:tc>
          <w:tcPr>
            <w:tcW w:w="3969" w:type="dxa"/>
            <w:tcBorders>
              <w:top w:val="nil"/>
              <w:left w:val="nil"/>
              <w:bottom w:val="single" w:sz="4" w:space="0" w:color="auto"/>
              <w:right w:val="single" w:sz="4" w:space="0" w:color="auto"/>
            </w:tcBorders>
            <w:shd w:val="clear" w:color="auto" w:fill="auto"/>
            <w:noWrap/>
            <w:vAlign w:val="center"/>
            <w:hideMark/>
          </w:tcPr>
          <w:p w14:paraId="660FD8A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Chiloe 220-&gt;Nueva Ancud 220</w:t>
            </w:r>
          </w:p>
        </w:tc>
        <w:tc>
          <w:tcPr>
            <w:tcW w:w="2552" w:type="dxa"/>
            <w:tcBorders>
              <w:top w:val="nil"/>
              <w:left w:val="nil"/>
              <w:bottom w:val="single" w:sz="4" w:space="0" w:color="auto"/>
              <w:right w:val="single" w:sz="4" w:space="0" w:color="auto"/>
            </w:tcBorders>
            <w:shd w:val="clear" w:color="auto" w:fill="auto"/>
            <w:noWrap/>
            <w:hideMark/>
          </w:tcPr>
          <w:p w14:paraId="08F6CD9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3.458.213</w:t>
            </w:r>
          </w:p>
        </w:tc>
      </w:tr>
      <w:tr w:rsidR="003E19A2" w:rsidRPr="00A81CB8" w14:paraId="13651A9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D6C23A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N_37</w:t>
            </w:r>
          </w:p>
        </w:tc>
        <w:tc>
          <w:tcPr>
            <w:tcW w:w="3969" w:type="dxa"/>
            <w:tcBorders>
              <w:top w:val="nil"/>
              <w:left w:val="nil"/>
              <w:bottom w:val="single" w:sz="4" w:space="0" w:color="auto"/>
              <w:right w:val="single" w:sz="4" w:space="0" w:color="auto"/>
            </w:tcBorders>
            <w:shd w:val="clear" w:color="auto" w:fill="auto"/>
            <w:noWrap/>
            <w:vAlign w:val="center"/>
            <w:hideMark/>
          </w:tcPr>
          <w:p w14:paraId="68A0AE4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Chuquicamata 220-&gt;Nueva Chuquicamata 220</w:t>
            </w:r>
          </w:p>
        </w:tc>
        <w:tc>
          <w:tcPr>
            <w:tcW w:w="2552" w:type="dxa"/>
            <w:tcBorders>
              <w:top w:val="nil"/>
              <w:left w:val="nil"/>
              <w:bottom w:val="single" w:sz="4" w:space="0" w:color="auto"/>
              <w:right w:val="single" w:sz="4" w:space="0" w:color="auto"/>
            </w:tcBorders>
            <w:shd w:val="clear" w:color="auto" w:fill="auto"/>
            <w:noWrap/>
            <w:hideMark/>
          </w:tcPr>
          <w:p w14:paraId="774B00A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10.297.316</w:t>
            </w:r>
          </w:p>
        </w:tc>
      </w:tr>
      <w:tr w:rsidR="003E19A2" w:rsidRPr="00A81CB8" w14:paraId="24C8864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8B968D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N_38</w:t>
            </w:r>
          </w:p>
        </w:tc>
        <w:tc>
          <w:tcPr>
            <w:tcW w:w="3969" w:type="dxa"/>
            <w:tcBorders>
              <w:top w:val="nil"/>
              <w:left w:val="nil"/>
              <w:bottom w:val="single" w:sz="4" w:space="0" w:color="auto"/>
              <w:right w:val="single" w:sz="4" w:space="0" w:color="auto"/>
            </w:tcBorders>
            <w:shd w:val="clear" w:color="auto" w:fill="auto"/>
            <w:noWrap/>
            <w:vAlign w:val="center"/>
            <w:hideMark/>
          </w:tcPr>
          <w:p w14:paraId="6BF71DF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Ciruelos 220-&gt;Cerros de Huichahue 220</w:t>
            </w:r>
          </w:p>
        </w:tc>
        <w:tc>
          <w:tcPr>
            <w:tcW w:w="2552" w:type="dxa"/>
            <w:tcBorders>
              <w:top w:val="nil"/>
              <w:left w:val="nil"/>
              <w:bottom w:val="single" w:sz="4" w:space="0" w:color="auto"/>
              <w:right w:val="single" w:sz="4" w:space="0" w:color="auto"/>
            </w:tcBorders>
            <w:shd w:val="clear" w:color="auto" w:fill="auto"/>
            <w:noWrap/>
            <w:hideMark/>
          </w:tcPr>
          <w:p w14:paraId="0244CF1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3.648.865</w:t>
            </w:r>
          </w:p>
        </w:tc>
      </w:tr>
      <w:tr w:rsidR="003E19A2" w:rsidRPr="00A81CB8" w14:paraId="2588812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BD4607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N_39</w:t>
            </w:r>
          </w:p>
        </w:tc>
        <w:tc>
          <w:tcPr>
            <w:tcW w:w="3969" w:type="dxa"/>
            <w:tcBorders>
              <w:top w:val="nil"/>
              <w:left w:val="nil"/>
              <w:bottom w:val="single" w:sz="4" w:space="0" w:color="auto"/>
              <w:right w:val="single" w:sz="4" w:space="0" w:color="auto"/>
            </w:tcBorders>
            <w:shd w:val="clear" w:color="auto" w:fill="auto"/>
            <w:noWrap/>
            <w:vAlign w:val="center"/>
            <w:hideMark/>
          </w:tcPr>
          <w:p w14:paraId="5D85535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Ciruelos 220-&gt;Lastarria 220</w:t>
            </w:r>
          </w:p>
        </w:tc>
        <w:tc>
          <w:tcPr>
            <w:tcW w:w="2552" w:type="dxa"/>
            <w:tcBorders>
              <w:top w:val="nil"/>
              <w:left w:val="nil"/>
              <w:bottom w:val="single" w:sz="4" w:space="0" w:color="auto"/>
              <w:right w:val="single" w:sz="4" w:space="0" w:color="auto"/>
            </w:tcBorders>
            <w:shd w:val="clear" w:color="auto" w:fill="auto"/>
            <w:noWrap/>
            <w:hideMark/>
          </w:tcPr>
          <w:p w14:paraId="5EDB7E4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10.163.785</w:t>
            </w:r>
          </w:p>
        </w:tc>
      </w:tr>
      <w:tr w:rsidR="003E19A2" w:rsidRPr="00A81CB8" w14:paraId="4EDC716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CF655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N_40</w:t>
            </w:r>
          </w:p>
        </w:tc>
        <w:tc>
          <w:tcPr>
            <w:tcW w:w="3969" w:type="dxa"/>
            <w:tcBorders>
              <w:top w:val="nil"/>
              <w:left w:val="nil"/>
              <w:bottom w:val="single" w:sz="4" w:space="0" w:color="auto"/>
              <w:right w:val="single" w:sz="4" w:space="0" w:color="auto"/>
            </w:tcBorders>
            <w:shd w:val="clear" w:color="auto" w:fill="auto"/>
            <w:noWrap/>
            <w:vAlign w:val="center"/>
            <w:hideMark/>
          </w:tcPr>
          <w:p w14:paraId="2F6FD94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Ciruelos 220-&gt;Valdivia 220</w:t>
            </w:r>
          </w:p>
        </w:tc>
        <w:tc>
          <w:tcPr>
            <w:tcW w:w="2552" w:type="dxa"/>
            <w:tcBorders>
              <w:top w:val="nil"/>
              <w:left w:val="nil"/>
              <w:bottom w:val="single" w:sz="4" w:space="0" w:color="auto"/>
              <w:right w:val="single" w:sz="4" w:space="0" w:color="auto"/>
            </w:tcBorders>
            <w:shd w:val="clear" w:color="auto" w:fill="auto"/>
            <w:noWrap/>
            <w:hideMark/>
          </w:tcPr>
          <w:p w14:paraId="70F0543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12.522.039</w:t>
            </w:r>
          </w:p>
        </w:tc>
      </w:tr>
      <w:tr w:rsidR="003E19A2" w:rsidRPr="00A81CB8" w14:paraId="002A005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F7585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N_41</w:t>
            </w:r>
          </w:p>
        </w:tc>
        <w:tc>
          <w:tcPr>
            <w:tcW w:w="3969" w:type="dxa"/>
            <w:tcBorders>
              <w:top w:val="nil"/>
              <w:left w:val="nil"/>
              <w:bottom w:val="single" w:sz="4" w:space="0" w:color="auto"/>
              <w:right w:val="single" w:sz="4" w:space="0" w:color="auto"/>
            </w:tcBorders>
            <w:shd w:val="clear" w:color="auto" w:fill="auto"/>
            <w:noWrap/>
            <w:vAlign w:val="center"/>
            <w:hideMark/>
          </w:tcPr>
          <w:p w14:paraId="2105700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Condores 220-&gt;Parinacota 220</w:t>
            </w:r>
          </w:p>
        </w:tc>
        <w:tc>
          <w:tcPr>
            <w:tcW w:w="2552" w:type="dxa"/>
            <w:tcBorders>
              <w:top w:val="nil"/>
              <w:left w:val="nil"/>
              <w:bottom w:val="single" w:sz="4" w:space="0" w:color="auto"/>
              <w:right w:val="single" w:sz="4" w:space="0" w:color="auto"/>
            </w:tcBorders>
            <w:shd w:val="clear" w:color="auto" w:fill="auto"/>
            <w:noWrap/>
            <w:hideMark/>
          </w:tcPr>
          <w:p w14:paraId="68A795C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34.655.860</w:t>
            </w:r>
          </w:p>
        </w:tc>
      </w:tr>
      <w:tr w:rsidR="003E19A2" w:rsidRPr="00A81CB8" w14:paraId="2A83F5A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65AAAB1"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N_42</w:t>
            </w:r>
          </w:p>
        </w:tc>
        <w:tc>
          <w:tcPr>
            <w:tcW w:w="3969" w:type="dxa"/>
            <w:tcBorders>
              <w:top w:val="nil"/>
              <w:left w:val="nil"/>
              <w:bottom w:val="single" w:sz="4" w:space="0" w:color="auto"/>
              <w:right w:val="single" w:sz="4" w:space="0" w:color="auto"/>
            </w:tcBorders>
            <w:shd w:val="clear" w:color="auto" w:fill="auto"/>
            <w:noWrap/>
            <w:vAlign w:val="center"/>
            <w:hideMark/>
          </w:tcPr>
          <w:p w14:paraId="3F5339E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Crucero 220-&gt;Kimal 220</w:t>
            </w:r>
          </w:p>
        </w:tc>
        <w:tc>
          <w:tcPr>
            <w:tcW w:w="2552" w:type="dxa"/>
            <w:tcBorders>
              <w:top w:val="nil"/>
              <w:left w:val="nil"/>
              <w:bottom w:val="single" w:sz="4" w:space="0" w:color="auto"/>
              <w:right w:val="single" w:sz="4" w:space="0" w:color="auto"/>
            </w:tcBorders>
            <w:shd w:val="clear" w:color="auto" w:fill="auto"/>
            <w:noWrap/>
            <w:hideMark/>
          </w:tcPr>
          <w:p w14:paraId="76E0D62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1.472.462</w:t>
            </w:r>
          </w:p>
        </w:tc>
      </w:tr>
      <w:tr w:rsidR="003E19A2" w:rsidRPr="00A81CB8" w14:paraId="0F5F5D2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73C1B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N_43</w:t>
            </w:r>
          </w:p>
        </w:tc>
        <w:tc>
          <w:tcPr>
            <w:tcW w:w="3969" w:type="dxa"/>
            <w:tcBorders>
              <w:top w:val="nil"/>
              <w:left w:val="nil"/>
              <w:bottom w:val="single" w:sz="4" w:space="0" w:color="auto"/>
              <w:right w:val="single" w:sz="4" w:space="0" w:color="auto"/>
            </w:tcBorders>
            <w:shd w:val="clear" w:color="auto" w:fill="auto"/>
            <w:noWrap/>
            <w:vAlign w:val="center"/>
            <w:hideMark/>
          </w:tcPr>
          <w:p w14:paraId="2ADC40B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Cumbre 500-&gt;Nueva Cardones 500</w:t>
            </w:r>
          </w:p>
        </w:tc>
        <w:tc>
          <w:tcPr>
            <w:tcW w:w="2552" w:type="dxa"/>
            <w:tcBorders>
              <w:top w:val="nil"/>
              <w:left w:val="nil"/>
              <w:bottom w:val="single" w:sz="4" w:space="0" w:color="auto"/>
              <w:right w:val="single" w:sz="4" w:space="0" w:color="auto"/>
            </w:tcBorders>
            <w:shd w:val="clear" w:color="auto" w:fill="auto"/>
            <w:noWrap/>
            <w:hideMark/>
          </w:tcPr>
          <w:p w14:paraId="5EAC344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203.125.552</w:t>
            </w:r>
          </w:p>
        </w:tc>
      </w:tr>
      <w:tr w:rsidR="003E19A2" w:rsidRPr="00A81CB8" w14:paraId="461263A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886036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N_44</w:t>
            </w:r>
          </w:p>
        </w:tc>
        <w:tc>
          <w:tcPr>
            <w:tcW w:w="3969" w:type="dxa"/>
            <w:tcBorders>
              <w:top w:val="nil"/>
              <w:left w:val="nil"/>
              <w:bottom w:val="single" w:sz="4" w:space="0" w:color="auto"/>
              <w:right w:val="single" w:sz="4" w:space="0" w:color="auto"/>
            </w:tcBorders>
            <w:shd w:val="clear" w:color="auto" w:fill="auto"/>
            <w:noWrap/>
            <w:vAlign w:val="center"/>
            <w:hideMark/>
          </w:tcPr>
          <w:p w14:paraId="283C620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Don Goyo 220-&gt;La Cebada 220</w:t>
            </w:r>
          </w:p>
        </w:tc>
        <w:tc>
          <w:tcPr>
            <w:tcW w:w="2552" w:type="dxa"/>
            <w:tcBorders>
              <w:top w:val="nil"/>
              <w:left w:val="nil"/>
              <w:bottom w:val="single" w:sz="4" w:space="0" w:color="auto"/>
              <w:right w:val="single" w:sz="4" w:space="0" w:color="auto"/>
            </w:tcBorders>
            <w:shd w:val="clear" w:color="auto" w:fill="auto"/>
            <w:noWrap/>
            <w:hideMark/>
          </w:tcPr>
          <w:p w14:paraId="2F896C7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14.061.837</w:t>
            </w:r>
          </w:p>
        </w:tc>
      </w:tr>
      <w:tr w:rsidR="003E19A2" w:rsidRPr="00A81CB8" w14:paraId="444A429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A86ACE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N_45</w:t>
            </w:r>
          </w:p>
        </w:tc>
        <w:tc>
          <w:tcPr>
            <w:tcW w:w="3969" w:type="dxa"/>
            <w:tcBorders>
              <w:top w:val="nil"/>
              <w:left w:val="nil"/>
              <w:bottom w:val="single" w:sz="4" w:space="0" w:color="auto"/>
              <w:right w:val="single" w:sz="4" w:space="0" w:color="auto"/>
            </w:tcBorders>
            <w:shd w:val="clear" w:color="auto" w:fill="auto"/>
            <w:noWrap/>
            <w:vAlign w:val="center"/>
            <w:hideMark/>
          </w:tcPr>
          <w:p w14:paraId="2BA3F79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Don Hector 220-&gt;Punta Colorada 220</w:t>
            </w:r>
          </w:p>
        </w:tc>
        <w:tc>
          <w:tcPr>
            <w:tcW w:w="2552" w:type="dxa"/>
            <w:tcBorders>
              <w:top w:val="nil"/>
              <w:left w:val="nil"/>
              <w:bottom w:val="single" w:sz="4" w:space="0" w:color="auto"/>
              <w:right w:val="single" w:sz="4" w:space="0" w:color="auto"/>
            </w:tcBorders>
            <w:shd w:val="clear" w:color="auto" w:fill="auto"/>
            <w:noWrap/>
            <w:hideMark/>
          </w:tcPr>
          <w:p w14:paraId="4C5DC48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17.361.510</w:t>
            </w:r>
          </w:p>
        </w:tc>
      </w:tr>
      <w:tr w:rsidR="003E19A2" w:rsidRPr="00A81CB8" w14:paraId="65D57DC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FEA88B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N_46</w:t>
            </w:r>
          </w:p>
        </w:tc>
        <w:tc>
          <w:tcPr>
            <w:tcW w:w="3969" w:type="dxa"/>
            <w:tcBorders>
              <w:top w:val="nil"/>
              <w:left w:val="nil"/>
              <w:bottom w:val="single" w:sz="4" w:space="0" w:color="auto"/>
              <w:right w:val="single" w:sz="4" w:space="0" w:color="auto"/>
            </w:tcBorders>
            <w:shd w:val="clear" w:color="auto" w:fill="auto"/>
            <w:noWrap/>
            <w:vAlign w:val="center"/>
            <w:hideMark/>
          </w:tcPr>
          <w:p w14:paraId="138C45E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Duqueco 220-&gt;Bureo 220</w:t>
            </w:r>
          </w:p>
        </w:tc>
        <w:tc>
          <w:tcPr>
            <w:tcW w:w="2552" w:type="dxa"/>
            <w:tcBorders>
              <w:top w:val="nil"/>
              <w:left w:val="nil"/>
              <w:bottom w:val="single" w:sz="4" w:space="0" w:color="auto"/>
              <w:right w:val="single" w:sz="4" w:space="0" w:color="auto"/>
            </w:tcBorders>
            <w:shd w:val="clear" w:color="auto" w:fill="auto"/>
            <w:noWrap/>
            <w:hideMark/>
          </w:tcPr>
          <w:p w14:paraId="07626BF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7.746.607</w:t>
            </w:r>
          </w:p>
        </w:tc>
      </w:tr>
      <w:tr w:rsidR="003E19A2" w:rsidRPr="00A81CB8" w14:paraId="2C7AAC8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A48512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N_47</w:t>
            </w:r>
          </w:p>
        </w:tc>
        <w:tc>
          <w:tcPr>
            <w:tcW w:w="3969" w:type="dxa"/>
            <w:tcBorders>
              <w:top w:val="nil"/>
              <w:left w:val="nil"/>
              <w:bottom w:val="single" w:sz="4" w:space="0" w:color="auto"/>
              <w:right w:val="single" w:sz="4" w:space="0" w:color="auto"/>
            </w:tcBorders>
            <w:shd w:val="clear" w:color="auto" w:fill="auto"/>
            <w:noWrap/>
            <w:vAlign w:val="center"/>
            <w:hideMark/>
          </w:tcPr>
          <w:p w14:paraId="535F298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Duqueco 220-&gt;Los Varones 220</w:t>
            </w:r>
          </w:p>
        </w:tc>
        <w:tc>
          <w:tcPr>
            <w:tcW w:w="2552" w:type="dxa"/>
            <w:tcBorders>
              <w:top w:val="nil"/>
              <w:left w:val="nil"/>
              <w:bottom w:val="single" w:sz="4" w:space="0" w:color="auto"/>
              <w:right w:val="single" w:sz="4" w:space="0" w:color="auto"/>
            </w:tcBorders>
            <w:shd w:val="clear" w:color="auto" w:fill="auto"/>
            <w:noWrap/>
            <w:hideMark/>
          </w:tcPr>
          <w:p w14:paraId="04C8F56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2.998.534</w:t>
            </w:r>
          </w:p>
        </w:tc>
      </w:tr>
      <w:tr w:rsidR="003E19A2" w:rsidRPr="00A81CB8" w14:paraId="249194D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39C7E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N_48</w:t>
            </w:r>
          </w:p>
        </w:tc>
        <w:tc>
          <w:tcPr>
            <w:tcW w:w="3969" w:type="dxa"/>
            <w:tcBorders>
              <w:top w:val="nil"/>
              <w:left w:val="nil"/>
              <w:bottom w:val="single" w:sz="4" w:space="0" w:color="auto"/>
              <w:right w:val="single" w:sz="4" w:space="0" w:color="auto"/>
            </w:tcBorders>
            <w:shd w:val="clear" w:color="auto" w:fill="auto"/>
            <w:noWrap/>
            <w:vAlign w:val="center"/>
            <w:hideMark/>
          </w:tcPr>
          <w:p w14:paraId="38B5E0D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El Cobre 220-&gt;Esperanza SING 220</w:t>
            </w:r>
          </w:p>
        </w:tc>
        <w:tc>
          <w:tcPr>
            <w:tcW w:w="2552" w:type="dxa"/>
            <w:tcBorders>
              <w:top w:val="nil"/>
              <w:left w:val="nil"/>
              <w:bottom w:val="single" w:sz="4" w:space="0" w:color="auto"/>
              <w:right w:val="single" w:sz="4" w:space="0" w:color="auto"/>
            </w:tcBorders>
            <w:shd w:val="clear" w:color="auto" w:fill="auto"/>
            <w:noWrap/>
            <w:hideMark/>
          </w:tcPr>
          <w:p w14:paraId="347FC41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19.085.258</w:t>
            </w:r>
          </w:p>
        </w:tc>
      </w:tr>
      <w:tr w:rsidR="003E19A2" w:rsidRPr="00A81CB8" w14:paraId="6950A92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08060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N_49</w:t>
            </w:r>
          </w:p>
        </w:tc>
        <w:tc>
          <w:tcPr>
            <w:tcW w:w="3969" w:type="dxa"/>
            <w:tcBorders>
              <w:top w:val="nil"/>
              <w:left w:val="nil"/>
              <w:bottom w:val="single" w:sz="4" w:space="0" w:color="auto"/>
              <w:right w:val="single" w:sz="4" w:space="0" w:color="auto"/>
            </w:tcBorders>
            <w:shd w:val="clear" w:color="auto" w:fill="auto"/>
            <w:noWrap/>
            <w:vAlign w:val="center"/>
            <w:hideMark/>
          </w:tcPr>
          <w:p w14:paraId="4EDCE38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El Rosal 220-&gt;Los Varones 220</w:t>
            </w:r>
          </w:p>
        </w:tc>
        <w:tc>
          <w:tcPr>
            <w:tcW w:w="2552" w:type="dxa"/>
            <w:tcBorders>
              <w:top w:val="nil"/>
              <w:left w:val="nil"/>
              <w:bottom w:val="single" w:sz="4" w:space="0" w:color="auto"/>
              <w:right w:val="single" w:sz="4" w:space="0" w:color="auto"/>
            </w:tcBorders>
            <w:shd w:val="clear" w:color="auto" w:fill="auto"/>
            <w:noWrap/>
            <w:hideMark/>
          </w:tcPr>
          <w:p w14:paraId="0B12BFB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5.213.950</w:t>
            </w:r>
          </w:p>
        </w:tc>
      </w:tr>
      <w:tr w:rsidR="003E19A2" w:rsidRPr="00A81CB8" w14:paraId="74432E1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6759AA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N_50</w:t>
            </w:r>
          </w:p>
        </w:tc>
        <w:tc>
          <w:tcPr>
            <w:tcW w:w="3969" w:type="dxa"/>
            <w:tcBorders>
              <w:top w:val="nil"/>
              <w:left w:val="nil"/>
              <w:bottom w:val="single" w:sz="4" w:space="0" w:color="auto"/>
              <w:right w:val="single" w:sz="4" w:space="0" w:color="auto"/>
            </w:tcBorders>
            <w:shd w:val="clear" w:color="auto" w:fill="auto"/>
            <w:noWrap/>
            <w:vAlign w:val="center"/>
            <w:hideMark/>
          </w:tcPr>
          <w:p w14:paraId="78B9D01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El Salto 220-&gt;Tap Chicureo 220</w:t>
            </w:r>
          </w:p>
        </w:tc>
        <w:tc>
          <w:tcPr>
            <w:tcW w:w="2552" w:type="dxa"/>
            <w:tcBorders>
              <w:top w:val="nil"/>
              <w:left w:val="nil"/>
              <w:bottom w:val="single" w:sz="4" w:space="0" w:color="auto"/>
              <w:right w:val="single" w:sz="4" w:space="0" w:color="auto"/>
            </w:tcBorders>
            <w:shd w:val="clear" w:color="auto" w:fill="auto"/>
            <w:noWrap/>
            <w:hideMark/>
          </w:tcPr>
          <w:p w14:paraId="0B7074F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6.590.380</w:t>
            </w:r>
          </w:p>
        </w:tc>
      </w:tr>
      <w:tr w:rsidR="003E19A2" w:rsidRPr="00A81CB8" w14:paraId="02B5399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04D3CA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N_51</w:t>
            </w:r>
          </w:p>
        </w:tc>
        <w:tc>
          <w:tcPr>
            <w:tcW w:w="3969" w:type="dxa"/>
            <w:tcBorders>
              <w:top w:val="nil"/>
              <w:left w:val="nil"/>
              <w:bottom w:val="single" w:sz="4" w:space="0" w:color="auto"/>
              <w:right w:val="single" w:sz="4" w:space="0" w:color="auto"/>
            </w:tcBorders>
            <w:shd w:val="clear" w:color="auto" w:fill="auto"/>
            <w:noWrap/>
            <w:vAlign w:val="center"/>
            <w:hideMark/>
          </w:tcPr>
          <w:p w14:paraId="3E1D4B0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Encuentro 220-&gt;Kimal 220</w:t>
            </w:r>
          </w:p>
        </w:tc>
        <w:tc>
          <w:tcPr>
            <w:tcW w:w="2552" w:type="dxa"/>
            <w:tcBorders>
              <w:top w:val="nil"/>
              <w:left w:val="nil"/>
              <w:bottom w:val="single" w:sz="4" w:space="0" w:color="auto"/>
              <w:right w:val="single" w:sz="4" w:space="0" w:color="auto"/>
            </w:tcBorders>
            <w:shd w:val="clear" w:color="auto" w:fill="auto"/>
            <w:noWrap/>
            <w:hideMark/>
          </w:tcPr>
          <w:p w14:paraId="04D5374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1.124.725</w:t>
            </w:r>
          </w:p>
        </w:tc>
      </w:tr>
      <w:tr w:rsidR="003E19A2" w:rsidRPr="00A81CB8" w14:paraId="1B4A401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D6F1731"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N_52</w:t>
            </w:r>
          </w:p>
        </w:tc>
        <w:tc>
          <w:tcPr>
            <w:tcW w:w="3969" w:type="dxa"/>
            <w:tcBorders>
              <w:top w:val="nil"/>
              <w:left w:val="nil"/>
              <w:bottom w:val="single" w:sz="4" w:space="0" w:color="auto"/>
              <w:right w:val="single" w:sz="4" w:space="0" w:color="auto"/>
            </w:tcBorders>
            <w:shd w:val="clear" w:color="auto" w:fill="auto"/>
            <w:noWrap/>
            <w:vAlign w:val="center"/>
            <w:hideMark/>
          </w:tcPr>
          <w:p w14:paraId="29D99BA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Encuentro 220-&gt;Miraje 220</w:t>
            </w:r>
          </w:p>
        </w:tc>
        <w:tc>
          <w:tcPr>
            <w:tcW w:w="2552" w:type="dxa"/>
            <w:tcBorders>
              <w:top w:val="nil"/>
              <w:left w:val="nil"/>
              <w:bottom w:val="single" w:sz="4" w:space="0" w:color="auto"/>
              <w:right w:val="single" w:sz="4" w:space="0" w:color="auto"/>
            </w:tcBorders>
            <w:shd w:val="clear" w:color="auto" w:fill="auto"/>
            <w:noWrap/>
            <w:hideMark/>
          </w:tcPr>
          <w:p w14:paraId="1C343E6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9.340.476</w:t>
            </w:r>
          </w:p>
        </w:tc>
      </w:tr>
      <w:tr w:rsidR="003E19A2" w:rsidRPr="00A81CB8" w14:paraId="40635F6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A88BFC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N_53</w:t>
            </w:r>
          </w:p>
        </w:tc>
        <w:tc>
          <w:tcPr>
            <w:tcW w:w="3969" w:type="dxa"/>
            <w:tcBorders>
              <w:top w:val="nil"/>
              <w:left w:val="nil"/>
              <w:bottom w:val="single" w:sz="4" w:space="0" w:color="auto"/>
              <w:right w:val="single" w:sz="4" w:space="0" w:color="auto"/>
            </w:tcBorders>
            <w:shd w:val="clear" w:color="auto" w:fill="auto"/>
            <w:noWrap/>
            <w:vAlign w:val="center"/>
            <w:hideMark/>
          </w:tcPr>
          <w:p w14:paraId="3B328CA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Encuentro 220-&gt;Tap off Sierra Gorda Eolico 220</w:t>
            </w:r>
          </w:p>
        </w:tc>
        <w:tc>
          <w:tcPr>
            <w:tcW w:w="2552" w:type="dxa"/>
            <w:tcBorders>
              <w:top w:val="nil"/>
              <w:left w:val="nil"/>
              <w:bottom w:val="single" w:sz="4" w:space="0" w:color="auto"/>
              <w:right w:val="single" w:sz="4" w:space="0" w:color="auto"/>
            </w:tcBorders>
            <w:shd w:val="clear" w:color="auto" w:fill="auto"/>
            <w:noWrap/>
            <w:hideMark/>
          </w:tcPr>
          <w:p w14:paraId="1D4A246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11.307.708</w:t>
            </w:r>
          </w:p>
        </w:tc>
      </w:tr>
      <w:tr w:rsidR="003E19A2" w:rsidRPr="00A81CB8" w14:paraId="6571654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F50DAE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N_54</w:t>
            </w:r>
          </w:p>
        </w:tc>
        <w:tc>
          <w:tcPr>
            <w:tcW w:w="3969" w:type="dxa"/>
            <w:tcBorders>
              <w:top w:val="nil"/>
              <w:left w:val="nil"/>
              <w:bottom w:val="single" w:sz="4" w:space="0" w:color="auto"/>
              <w:right w:val="single" w:sz="4" w:space="0" w:color="auto"/>
            </w:tcBorders>
            <w:shd w:val="clear" w:color="auto" w:fill="auto"/>
            <w:noWrap/>
            <w:vAlign w:val="center"/>
            <w:hideMark/>
          </w:tcPr>
          <w:p w14:paraId="1BEA7E8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Esperanza SING 220-&gt;Centinela 220</w:t>
            </w:r>
          </w:p>
        </w:tc>
        <w:tc>
          <w:tcPr>
            <w:tcW w:w="2552" w:type="dxa"/>
            <w:tcBorders>
              <w:top w:val="nil"/>
              <w:left w:val="nil"/>
              <w:bottom w:val="single" w:sz="4" w:space="0" w:color="auto"/>
              <w:right w:val="single" w:sz="4" w:space="0" w:color="auto"/>
            </w:tcBorders>
            <w:shd w:val="clear" w:color="auto" w:fill="auto"/>
            <w:noWrap/>
            <w:hideMark/>
          </w:tcPr>
          <w:p w14:paraId="0E04B3C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2.220.627</w:t>
            </w:r>
          </w:p>
        </w:tc>
      </w:tr>
      <w:tr w:rsidR="003E19A2" w:rsidRPr="00A81CB8" w14:paraId="6FB0231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A47576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N_55</w:t>
            </w:r>
          </w:p>
        </w:tc>
        <w:tc>
          <w:tcPr>
            <w:tcW w:w="3969" w:type="dxa"/>
            <w:tcBorders>
              <w:top w:val="nil"/>
              <w:left w:val="nil"/>
              <w:bottom w:val="single" w:sz="4" w:space="0" w:color="auto"/>
              <w:right w:val="single" w:sz="4" w:space="0" w:color="auto"/>
            </w:tcBorders>
            <w:shd w:val="clear" w:color="auto" w:fill="auto"/>
            <w:noWrap/>
            <w:vAlign w:val="center"/>
            <w:hideMark/>
          </w:tcPr>
          <w:p w14:paraId="2DF0882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Hualpen 220-&gt;Guindo 220</w:t>
            </w:r>
          </w:p>
        </w:tc>
        <w:tc>
          <w:tcPr>
            <w:tcW w:w="2552" w:type="dxa"/>
            <w:tcBorders>
              <w:top w:val="nil"/>
              <w:left w:val="nil"/>
              <w:bottom w:val="single" w:sz="4" w:space="0" w:color="auto"/>
              <w:right w:val="single" w:sz="4" w:space="0" w:color="auto"/>
            </w:tcBorders>
            <w:shd w:val="clear" w:color="auto" w:fill="auto"/>
            <w:noWrap/>
            <w:hideMark/>
          </w:tcPr>
          <w:p w14:paraId="7FA4C89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3.162.767</w:t>
            </w:r>
          </w:p>
        </w:tc>
      </w:tr>
      <w:tr w:rsidR="003E19A2" w:rsidRPr="00A81CB8" w14:paraId="1BC0DEC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33E37B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N_56</w:t>
            </w:r>
          </w:p>
        </w:tc>
        <w:tc>
          <w:tcPr>
            <w:tcW w:w="3969" w:type="dxa"/>
            <w:tcBorders>
              <w:top w:val="nil"/>
              <w:left w:val="nil"/>
              <w:bottom w:val="single" w:sz="4" w:space="0" w:color="auto"/>
              <w:right w:val="single" w:sz="4" w:space="0" w:color="auto"/>
            </w:tcBorders>
            <w:shd w:val="clear" w:color="auto" w:fill="auto"/>
            <w:noWrap/>
            <w:vAlign w:val="center"/>
            <w:hideMark/>
          </w:tcPr>
          <w:p w14:paraId="14EB462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Hualpen 220-&gt;Trebol 220</w:t>
            </w:r>
          </w:p>
        </w:tc>
        <w:tc>
          <w:tcPr>
            <w:tcW w:w="2552" w:type="dxa"/>
            <w:tcBorders>
              <w:top w:val="nil"/>
              <w:left w:val="nil"/>
              <w:bottom w:val="single" w:sz="4" w:space="0" w:color="auto"/>
              <w:right w:val="single" w:sz="4" w:space="0" w:color="auto"/>
            </w:tcBorders>
            <w:shd w:val="clear" w:color="auto" w:fill="auto"/>
            <w:noWrap/>
            <w:hideMark/>
          </w:tcPr>
          <w:p w14:paraId="20EF69F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3.723.907</w:t>
            </w:r>
          </w:p>
        </w:tc>
      </w:tr>
      <w:tr w:rsidR="003E19A2" w:rsidRPr="00A81CB8" w14:paraId="5BDE03A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12E6A8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N_57</w:t>
            </w:r>
          </w:p>
        </w:tc>
        <w:tc>
          <w:tcPr>
            <w:tcW w:w="3969" w:type="dxa"/>
            <w:tcBorders>
              <w:top w:val="nil"/>
              <w:left w:val="nil"/>
              <w:bottom w:val="single" w:sz="4" w:space="0" w:color="auto"/>
              <w:right w:val="single" w:sz="4" w:space="0" w:color="auto"/>
            </w:tcBorders>
            <w:shd w:val="clear" w:color="auto" w:fill="auto"/>
            <w:noWrap/>
            <w:vAlign w:val="center"/>
            <w:hideMark/>
          </w:tcPr>
          <w:p w14:paraId="7CB9A3C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Kapatur 220-&gt;Los Changos 220</w:t>
            </w:r>
          </w:p>
        </w:tc>
        <w:tc>
          <w:tcPr>
            <w:tcW w:w="2552" w:type="dxa"/>
            <w:tcBorders>
              <w:top w:val="nil"/>
              <w:left w:val="nil"/>
              <w:bottom w:val="single" w:sz="4" w:space="0" w:color="auto"/>
              <w:right w:val="single" w:sz="4" w:space="0" w:color="auto"/>
            </w:tcBorders>
            <w:shd w:val="clear" w:color="auto" w:fill="auto"/>
            <w:noWrap/>
            <w:hideMark/>
          </w:tcPr>
          <w:p w14:paraId="78CC978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62793DA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F3F60B4"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N_58</w:t>
            </w:r>
          </w:p>
        </w:tc>
        <w:tc>
          <w:tcPr>
            <w:tcW w:w="3969" w:type="dxa"/>
            <w:tcBorders>
              <w:top w:val="nil"/>
              <w:left w:val="nil"/>
              <w:bottom w:val="single" w:sz="4" w:space="0" w:color="auto"/>
              <w:right w:val="single" w:sz="4" w:space="0" w:color="auto"/>
            </w:tcBorders>
            <w:shd w:val="clear" w:color="auto" w:fill="auto"/>
            <w:noWrap/>
            <w:vAlign w:val="center"/>
            <w:hideMark/>
          </w:tcPr>
          <w:p w14:paraId="6D6DD25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Kimal 220-&gt;Nueva Chuquicamata 220</w:t>
            </w:r>
          </w:p>
        </w:tc>
        <w:tc>
          <w:tcPr>
            <w:tcW w:w="2552" w:type="dxa"/>
            <w:tcBorders>
              <w:top w:val="nil"/>
              <w:left w:val="nil"/>
              <w:bottom w:val="single" w:sz="4" w:space="0" w:color="auto"/>
              <w:right w:val="single" w:sz="4" w:space="0" w:color="auto"/>
            </w:tcBorders>
            <w:shd w:val="clear" w:color="auto" w:fill="auto"/>
            <w:noWrap/>
            <w:hideMark/>
          </w:tcPr>
          <w:p w14:paraId="292A9A9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26.741.369</w:t>
            </w:r>
          </w:p>
        </w:tc>
      </w:tr>
      <w:tr w:rsidR="003E19A2" w:rsidRPr="00A81CB8" w14:paraId="3CE1564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3E8B8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N_59</w:t>
            </w:r>
          </w:p>
        </w:tc>
        <w:tc>
          <w:tcPr>
            <w:tcW w:w="3969" w:type="dxa"/>
            <w:tcBorders>
              <w:top w:val="nil"/>
              <w:left w:val="nil"/>
              <w:bottom w:val="single" w:sz="4" w:space="0" w:color="auto"/>
              <w:right w:val="single" w:sz="4" w:space="0" w:color="auto"/>
            </w:tcBorders>
            <w:shd w:val="clear" w:color="auto" w:fill="auto"/>
            <w:noWrap/>
            <w:vAlign w:val="center"/>
            <w:hideMark/>
          </w:tcPr>
          <w:p w14:paraId="5A7C8B4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Laberinto 220-&gt;El Cobre 220</w:t>
            </w:r>
          </w:p>
        </w:tc>
        <w:tc>
          <w:tcPr>
            <w:tcW w:w="2552" w:type="dxa"/>
            <w:tcBorders>
              <w:top w:val="nil"/>
              <w:left w:val="nil"/>
              <w:bottom w:val="single" w:sz="4" w:space="0" w:color="auto"/>
              <w:right w:val="single" w:sz="4" w:space="0" w:color="auto"/>
            </w:tcBorders>
            <w:shd w:val="clear" w:color="auto" w:fill="auto"/>
            <w:noWrap/>
            <w:hideMark/>
          </w:tcPr>
          <w:p w14:paraId="76F8ABB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1.402.976</w:t>
            </w:r>
          </w:p>
        </w:tc>
      </w:tr>
      <w:tr w:rsidR="003E19A2" w:rsidRPr="00A81CB8" w14:paraId="6768E78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BB82CA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N_60</w:t>
            </w:r>
          </w:p>
        </w:tc>
        <w:tc>
          <w:tcPr>
            <w:tcW w:w="3969" w:type="dxa"/>
            <w:tcBorders>
              <w:top w:val="nil"/>
              <w:left w:val="nil"/>
              <w:bottom w:val="single" w:sz="4" w:space="0" w:color="auto"/>
              <w:right w:val="single" w:sz="4" w:space="0" w:color="auto"/>
            </w:tcBorders>
            <w:shd w:val="clear" w:color="auto" w:fill="auto"/>
            <w:noWrap/>
            <w:vAlign w:val="center"/>
            <w:hideMark/>
          </w:tcPr>
          <w:p w14:paraId="5394C48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Laberinto 220-&gt;Kapatur 220</w:t>
            </w:r>
          </w:p>
        </w:tc>
        <w:tc>
          <w:tcPr>
            <w:tcW w:w="2552" w:type="dxa"/>
            <w:tcBorders>
              <w:top w:val="nil"/>
              <w:left w:val="nil"/>
              <w:bottom w:val="single" w:sz="4" w:space="0" w:color="auto"/>
              <w:right w:val="single" w:sz="4" w:space="0" w:color="auto"/>
            </w:tcBorders>
            <w:shd w:val="clear" w:color="auto" w:fill="auto"/>
            <w:noWrap/>
            <w:hideMark/>
          </w:tcPr>
          <w:p w14:paraId="0D433C3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53.686.697</w:t>
            </w:r>
          </w:p>
        </w:tc>
      </w:tr>
      <w:tr w:rsidR="003E19A2" w:rsidRPr="00A81CB8" w14:paraId="0E402FB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E87546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N_61</w:t>
            </w:r>
          </w:p>
        </w:tc>
        <w:tc>
          <w:tcPr>
            <w:tcW w:w="3969" w:type="dxa"/>
            <w:tcBorders>
              <w:top w:val="nil"/>
              <w:left w:val="nil"/>
              <w:bottom w:val="single" w:sz="4" w:space="0" w:color="auto"/>
              <w:right w:val="single" w:sz="4" w:space="0" w:color="auto"/>
            </w:tcBorders>
            <w:shd w:val="clear" w:color="auto" w:fill="auto"/>
            <w:noWrap/>
            <w:vAlign w:val="center"/>
            <w:hideMark/>
          </w:tcPr>
          <w:p w14:paraId="68BDC0E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Laberinto 220-&gt;Kimal 220</w:t>
            </w:r>
          </w:p>
        </w:tc>
        <w:tc>
          <w:tcPr>
            <w:tcW w:w="2552" w:type="dxa"/>
            <w:tcBorders>
              <w:top w:val="nil"/>
              <w:left w:val="nil"/>
              <w:bottom w:val="single" w:sz="4" w:space="0" w:color="auto"/>
              <w:right w:val="single" w:sz="4" w:space="0" w:color="auto"/>
            </w:tcBorders>
            <w:shd w:val="clear" w:color="auto" w:fill="auto"/>
            <w:noWrap/>
            <w:hideMark/>
          </w:tcPr>
          <w:p w14:paraId="529DE3F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36.808.299</w:t>
            </w:r>
          </w:p>
        </w:tc>
      </w:tr>
      <w:tr w:rsidR="003E19A2" w:rsidRPr="00A81CB8" w14:paraId="040BDA3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F741C6F"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N_62</w:t>
            </w:r>
          </w:p>
        </w:tc>
        <w:tc>
          <w:tcPr>
            <w:tcW w:w="3969" w:type="dxa"/>
            <w:tcBorders>
              <w:top w:val="nil"/>
              <w:left w:val="nil"/>
              <w:bottom w:val="single" w:sz="4" w:space="0" w:color="auto"/>
              <w:right w:val="single" w:sz="4" w:space="0" w:color="auto"/>
            </w:tcBorders>
            <w:shd w:val="clear" w:color="auto" w:fill="auto"/>
            <w:noWrap/>
            <w:vAlign w:val="center"/>
            <w:hideMark/>
          </w:tcPr>
          <w:p w14:paraId="34739FB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Laberinto 220-&gt;Nueva Zaldivar 220</w:t>
            </w:r>
          </w:p>
        </w:tc>
        <w:tc>
          <w:tcPr>
            <w:tcW w:w="2552" w:type="dxa"/>
            <w:tcBorders>
              <w:top w:val="nil"/>
              <w:left w:val="nil"/>
              <w:bottom w:val="single" w:sz="4" w:space="0" w:color="auto"/>
              <w:right w:val="single" w:sz="4" w:space="0" w:color="auto"/>
            </w:tcBorders>
            <w:shd w:val="clear" w:color="auto" w:fill="auto"/>
            <w:noWrap/>
            <w:hideMark/>
          </w:tcPr>
          <w:p w14:paraId="52C2538B"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25.754.526</w:t>
            </w:r>
          </w:p>
        </w:tc>
      </w:tr>
      <w:tr w:rsidR="003E19A2" w:rsidRPr="00A81CB8" w14:paraId="4569C2E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5BEED8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N_63</w:t>
            </w:r>
          </w:p>
        </w:tc>
        <w:tc>
          <w:tcPr>
            <w:tcW w:w="3969" w:type="dxa"/>
            <w:tcBorders>
              <w:top w:val="nil"/>
              <w:left w:val="nil"/>
              <w:bottom w:val="single" w:sz="4" w:space="0" w:color="auto"/>
              <w:right w:val="single" w:sz="4" w:space="0" w:color="auto"/>
            </w:tcBorders>
            <w:shd w:val="clear" w:color="auto" w:fill="auto"/>
            <w:noWrap/>
            <w:vAlign w:val="center"/>
            <w:hideMark/>
          </w:tcPr>
          <w:p w14:paraId="18AA6E4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Lagunas 220-&gt;Encuentro 220</w:t>
            </w:r>
          </w:p>
        </w:tc>
        <w:tc>
          <w:tcPr>
            <w:tcW w:w="2552" w:type="dxa"/>
            <w:tcBorders>
              <w:top w:val="nil"/>
              <w:left w:val="nil"/>
              <w:bottom w:val="single" w:sz="4" w:space="0" w:color="auto"/>
              <w:right w:val="single" w:sz="4" w:space="0" w:color="auto"/>
            </w:tcBorders>
            <w:shd w:val="clear" w:color="auto" w:fill="auto"/>
            <w:noWrap/>
            <w:hideMark/>
          </w:tcPr>
          <w:p w14:paraId="5D55F37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15.221.847</w:t>
            </w:r>
          </w:p>
        </w:tc>
      </w:tr>
      <w:tr w:rsidR="003E19A2" w:rsidRPr="00A81CB8" w14:paraId="39F8D85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5669A8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N_64</w:t>
            </w:r>
          </w:p>
        </w:tc>
        <w:tc>
          <w:tcPr>
            <w:tcW w:w="3969" w:type="dxa"/>
            <w:tcBorders>
              <w:top w:val="nil"/>
              <w:left w:val="nil"/>
              <w:bottom w:val="single" w:sz="4" w:space="0" w:color="auto"/>
              <w:right w:val="single" w:sz="4" w:space="0" w:color="auto"/>
            </w:tcBorders>
            <w:shd w:val="clear" w:color="auto" w:fill="auto"/>
            <w:noWrap/>
            <w:vAlign w:val="center"/>
            <w:hideMark/>
          </w:tcPr>
          <w:p w14:paraId="4C4387A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Lagunas 220-&gt;Nueva Pozo Almonte 220</w:t>
            </w:r>
          </w:p>
        </w:tc>
        <w:tc>
          <w:tcPr>
            <w:tcW w:w="2552" w:type="dxa"/>
            <w:tcBorders>
              <w:top w:val="nil"/>
              <w:left w:val="nil"/>
              <w:bottom w:val="single" w:sz="4" w:space="0" w:color="auto"/>
              <w:right w:val="single" w:sz="4" w:space="0" w:color="auto"/>
            </w:tcBorders>
            <w:shd w:val="clear" w:color="auto" w:fill="auto"/>
            <w:noWrap/>
            <w:hideMark/>
          </w:tcPr>
          <w:p w14:paraId="55B91F7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12.126.520</w:t>
            </w:r>
          </w:p>
        </w:tc>
      </w:tr>
      <w:tr w:rsidR="003E19A2" w:rsidRPr="00A81CB8" w14:paraId="37B69DD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A917A9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N_65</w:t>
            </w:r>
          </w:p>
        </w:tc>
        <w:tc>
          <w:tcPr>
            <w:tcW w:w="3969" w:type="dxa"/>
            <w:tcBorders>
              <w:top w:val="nil"/>
              <w:left w:val="nil"/>
              <w:bottom w:val="single" w:sz="4" w:space="0" w:color="auto"/>
              <w:right w:val="single" w:sz="4" w:space="0" w:color="auto"/>
            </w:tcBorders>
            <w:shd w:val="clear" w:color="auto" w:fill="auto"/>
            <w:noWrap/>
            <w:vAlign w:val="center"/>
            <w:hideMark/>
          </w:tcPr>
          <w:p w14:paraId="5A18068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Lagunas 220-&gt;Nueva Victoria 220</w:t>
            </w:r>
          </w:p>
        </w:tc>
        <w:tc>
          <w:tcPr>
            <w:tcW w:w="2552" w:type="dxa"/>
            <w:tcBorders>
              <w:top w:val="nil"/>
              <w:left w:val="nil"/>
              <w:bottom w:val="single" w:sz="4" w:space="0" w:color="auto"/>
              <w:right w:val="single" w:sz="4" w:space="0" w:color="auto"/>
            </w:tcBorders>
            <w:shd w:val="clear" w:color="auto" w:fill="auto"/>
            <w:noWrap/>
            <w:hideMark/>
          </w:tcPr>
          <w:p w14:paraId="66BE906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3.135.645</w:t>
            </w:r>
          </w:p>
        </w:tc>
      </w:tr>
      <w:tr w:rsidR="003E19A2" w:rsidRPr="00A81CB8" w14:paraId="21AA0CD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3D1A2C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N_66</w:t>
            </w:r>
          </w:p>
        </w:tc>
        <w:tc>
          <w:tcPr>
            <w:tcW w:w="3969" w:type="dxa"/>
            <w:tcBorders>
              <w:top w:val="nil"/>
              <w:left w:val="nil"/>
              <w:bottom w:val="single" w:sz="4" w:space="0" w:color="auto"/>
              <w:right w:val="single" w:sz="4" w:space="0" w:color="auto"/>
            </w:tcBorders>
            <w:shd w:val="clear" w:color="auto" w:fill="auto"/>
            <w:noWrap/>
            <w:vAlign w:val="center"/>
            <w:hideMark/>
          </w:tcPr>
          <w:p w14:paraId="4C5DD70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Lagunas 220-&gt;San Simon 220</w:t>
            </w:r>
          </w:p>
        </w:tc>
        <w:tc>
          <w:tcPr>
            <w:tcW w:w="2552" w:type="dxa"/>
            <w:tcBorders>
              <w:top w:val="nil"/>
              <w:left w:val="nil"/>
              <w:bottom w:val="single" w:sz="4" w:space="0" w:color="auto"/>
              <w:right w:val="single" w:sz="4" w:space="0" w:color="auto"/>
            </w:tcBorders>
            <w:shd w:val="clear" w:color="auto" w:fill="auto"/>
            <w:noWrap/>
            <w:hideMark/>
          </w:tcPr>
          <w:p w14:paraId="470EE66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7.188.274</w:t>
            </w:r>
          </w:p>
        </w:tc>
      </w:tr>
      <w:tr w:rsidR="003E19A2" w:rsidRPr="00A81CB8" w14:paraId="2E121E6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3BB142F"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N_67</w:t>
            </w:r>
          </w:p>
        </w:tc>
        <w:tc>
          <w:tcPr>
            <w:tcW w:w="3969" w:type="dxa"/>
            <w:tcBorders>
              <w:top w:val="nil"/>
              <w:left w:val="nil"/>
              <w:bottom w:val="single" w:sz="4" w:space="0" w:color="auto"/>
              <w:right w:val="single" w:sz="4" w:space="0" w:color="auto"/>
            </w:tcBorders>
            <w:shd w:val="clear" w:color="auto" w:fill="auto"/>
            <w:noWrap/>
            <w:vAlign w:val="center"/>
            <w:hideMark/>
          </w:tcPr>
          <w:p w14:paraId="0B02098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Lagunillas 220-&gt;Guindo 220</w:t>
            </w:r>
          </w:p>
        </w:tc>
        <w:tc>
          <w:tcPr>
            <w:tcW w:w="2552" w:type="dxa"/>
            <w:tcBorders>
              <w:top w:val="nil"/>
              <w:left w:val="nil"/>
              <w:bottom w:val="single" w:sz="4" w:space="0" w:color="auto"/>
              <w:right w:val="single" w:sz="4" w:space="0" w:color="auto"/>
            </w:tcBorders>
            <w:shd w:val="clear" w:color="auto" w:fill="auto"/>
            <w:noWrap/>
            <w:hideMark/>
          </w:tcPr>
          <w:p w14:paraId="683400D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4.048.762</w:t>
            </w:r>
          </w:p>
        </w:tc>
      </w:tr>
      <w:tr w:rsidR="003E19A2" w:rsidRPr="00A81CB8" w14:paraId="46E2A66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825933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N_68</w:t>
            </w:r>
          </w:p>
        </w:tc>
        <w:tc>
          <w:tcPr>
            <w:tcW w:w="3969" w:type="dxa"/>
            <w:tcBorders>
              <w:top w:val="nil"/>
              <w:left w:val="nil"/>
              <w:bottom w:val="single" w:sz="4" w:space="0" w:color="auto"/>
              <w:right w:val="single" w:sz="4" w:space="0" w:color="auto"/>
            </w:tcBorders>
            <w:shd w:val="clear" w:color="auto" w:fill="auto"/>
            <w:noWrap/>
            <w:vAlign w:val="center"/>
            <w:hideMark/>
          </w:tcPr>
          <w:p w14:paraId="248D5C2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 Aguirre 220-&gt;Cerro Navia 220</w:t>
            </w:r>
          </w:p>
        </w:tc>
        <w:tc>
          <w:tcPr>
            <w:tcW w:w="2552" w:type="dxa"/>
            <w:tcBorders>
              <w:top w:val="nil"/>
              <w:left w:val="nil"/>
              <w:bottom w:val="single" w:sz="4" w:space="0" w:color="auto"/>
              <w:right w:val="single" w:sz="4" w:space="0" w:color="auto"/>
            </w:tcBorders>
            <w:shd w:val="clear" w:color="auto" w:fill="auto"/>
            <w:noWrap/>
            <w:hideMark/>
          </w:tcPr>
          <w:p w14:paraId="5E142BD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554190E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15B7D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N_69</w:t>
            </w:r>
          </w:p>
        </w:tc>
        <w:tc>
          <w:tcPr>
            <w:tcW w:w="3969" w:type="dxa"/>
            <w:tcBorders>
              <w:top w:val="nil"/>
              <w:left w:val="nil"/>
              <w:bottom w:val="single" w:sz="4" w:space="0" w:color="auto"/>
              <w:right w:val="single" w:sz="4" w:space="0" w:color="auto"/>
            </w:tcBorders>
            <w:shd w:val="clear" w:color="auto" w:fill="auto"/>
            <w:noWrap/>
            <w:vAlign w:val="center"/>
            <w:hideMark/>
          </w:tcPr>
          <w:p w14:paraId="5C39D24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 Aguirre 220-&gt;Nueva Alto Melipilla 220</w:t>
            </w:r>
          </w:p>
        </w:tc>
        <w:tc>
          <w:tcPr>
            <w:tcW w:w="2552" w:type="dxa"/>
            <w:tcBorders>
              <w:top w:val="nil"/>
              <w:left w:val="nil"/>
              <w:bottom w:val="single" w:sz="4" w:space="0" w:color="auto"/>
              <w:right w:val="single" w:sz="4" w:space="0" w:color="auto"/>
            </w:tcBorders>
            <w:shd w:val="clear" w:color="auto" w:fill="auto"/>
            <w:noWrap/>
            <w:hideMark/>
          </w:tcPr>
          <w:p w14:paraId="314593B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13.242.797</w:t>
            </w:r>
          </w:p>
        </w:tc>
      </w:tr>
      <w:tr w:rsidR="003E19A2" w:rsidRPr="00A81CB8" w14:paraId="6538C84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F5FCBB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N_70</w:t>
            </w:r>
          </w:p>
        </w:tc>
        <w:tc>
          <w:tcPr>
            <w:tcW w:w="3969" w:type="dxa"/>
            <w:tcBorders>
              <w:top w:val="nil"/>
              <w:left w:val="nil"/>
              <w:bottom w:val="single" w:sz="4" w:space="0" w:color="auto"/>
              <w:right w:val="single" w:sz="4" w:space="0" w:color="auto"/>
            </w:tcBorders>
            <w:shd w:val="clear" w:color="auto" w:fill="auto"/>
            <w:noWrap/>
            <w:vAlign w:val="center"/>
            <w:hideMark/>
          </w:tcPr>
          <w:p w14:paraId="2916623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 Aguirre 500-&gt;Alto Jahuel 500</w:t>
            </w:r>
          </w:p>
        </w:tc>
        <w:tc>
          <w:tcPr>
            <w:tcW w:w="2552" w:type="dxa"/>
            <w:tcBorders>
              <w:top w:val="nil"/>
              <w:left w:val="nil"/>
              <w:bottom w:val="single" w:sz="4" w:space="0" w:color="auto"/>
              <w:right w:val="single" w:sz="4" w:space="0" w:color="auto"/>
            </w:tcBorders>
            <w:shd w:val="clear" w:color="auto" w:fill="auto"/>
            <w:noWrap/>
            <w:hideMark/>
          </w:tcPr>
          <w:p w14:paraId="5AC2260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44.370.497</w:t>
            </w:r>
          </w:p>
        </w:tc>
      </w:tr>
      <w:tr w:rsidR="003E19A2" w:rsidRPr="00A81CB8" w14:paraId="53891D0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685CC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N_71</w:t>
            </w:r>
          </w:p>
        </w:tc>
        <w:tc>
          <w:tcPr>
            <w:tcW w:w="3969" w:type="dxa"/>
            <w:tcBorders>
              <w:top w:val="nil"/>
              <w:left w:val="nil"/>
              <w:bottom w:val="single" w:sz="4" w:space="0" w:color="auto"/>
              <w:right w:val="single" w:sz="4" w:space="0" w:color="auto"/>
            </w:tcBorders>
            <w:shd w:val="clear" w:color="auto" w:fill="auto"/>
            <w:noWrap/>
            <w:vAlign w:val="center"/>
            <w:hideMark/>
          </w:tcPr>
          <w:p w14:paraId="14BC2A5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 Aguirre 500-&gt;Lo Aguirre 220</w:t>
            </w:r>
          </w:p>
        </w:tc>
        <w:tc>
          <w:tcPr>
            <w:tcW w:w="2552" w:type="dxa"/>
            <w:tcBorders>
              <w:top w:val="nil"/>
              <w:left w:val="nil"/>
              <w:bottom w:val="single" w:sz="4" w:space="0" w:color="auto"/>
              <w:right w:val="single" w:sz="4" w:space="0" w:color="auto"/>
            </w:tcBorders>
            <w:shd w:val="clear" w:color="auto" w:fill="auto"/>
            <w:noWrap/>
            <w:hideMark/>
          </w:tcPr>
          <w:p w14:paraId="11B1229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7C29691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2A6589"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N_72</w:t>
            </w:r>
          </w:p>
        </w:tc>
        <w:tc>
          <w:tcPr>
            <w:tcW w:w="3969" w:type="dxa"/>
            <w:tcBorders>
              <w:top w:val="nil"/>
              <w:left w:val="nil"/>
              <w:bottom w:val="single" w:sz="4" w:space="0" w:color="auto"/>
              <w:right w:val="single" w:sz="4" w:space="0" w:color="auto"/>
            </w:tcBorders>
            <w:shd w:val="clear" w:color="auto" w:fill="auto"/>
            <w:noWrap/>
            <w:vAlign w:val="center"/>
            <w:hideMark/>
          </w:tcPr>
          <w:p w14:paraId="4B861F1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Changos 500-&gt;Cumbre 500</w:t>
            </w:r>
          </w:p>
        </w:tc>
        <w:tc>
          <w:tcPr>
            <w:tcW w:w="2552" w:type="dxa"/>
            <w:tcBorders>
              <w:top w:val="nil"/>
              <w:left w:val="nil"/>
              <w:bottom w:val="single" w:sz="4" w:space="0" w:color="auto"/>
              <w:right w:val="single" w:sz="4" w:space="0" w:color="auto"/>
            </w:tcBorders>
            <w:shd w:val="clear" w:color="auto" w:fill="auto"/>
            <w:noWrap/>
            <w:hideMark/>
          </w:tcPr>
          <w:p w14:paraId="7364C6B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371.067.447</w:t>
            </w:r>
          </w:p>
        </w:tc>
      </w:tr>
      <w:tr w:rsidR="003E19A2" w:rsidRPr="00A81CB8" w14:paraId="2EE55D2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BB1CA8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N_73</w:t>
            </w:r>
          </w:p>
        </w:tc>
        <w:tc>
          <w:tcPr>
            <w:tcW w:w="3969" w:type="dxa"/>
            <w:tcBorders>
              <w:top w:val="nil"/>
              <w:left w:val="nil"/>
              <w:bottom w:val="single" w:sz="4" w:space="0" w:color="auto"/>
              <w:right w:val="single" w:sz="4" w:space="0" w:color="auto"/>
            </w:tcBorders>
            <w:shd w:val="clear" w:color="auto" w:fill="auto"/>
            <w:noWrap/>
            <w:vAlign w:val="center"/>
            <w:hideMark/>
          </w:tcPr>
          <w:p w14:paraId="4EB2C2C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Changos 500-&gt;Los Changos 220</w:t>
            </w:r>
          </w:p>
        </w:tc>
        <w:tc>
          <w:tcPr>
            <w:tcW w:w="2552" w:type="dxa"/>
            <w:tcBorders>
              <w:top w:val="nil"/>
              <w:left w:val="nil"/>
              <w:bottom w:val="single" w:sz="4" w:space="0" w:color="auto"/>
              <w:right w:val="single" w:sz="4" w:space="0" w:color="auto"/>
            </w:tcBorders>
            <w:shd w:val="clear" w:color="auto" w:fill="auto"/>
            <w:noWrap/>
            <w:hideMark/>
          </w:tcPr>
          <w:p w14:paraId="3AE644A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17.548.479</w:t>
            </w:r>
          </w:p>
        </w:tc>
      </w:tr>
      <w:tr w:rsidR="003E19A2" w:rsidRPr="00A81CB8" w14:paraId="387ED10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033F691"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N_74</w:t>
            </w:r>
          </w:p>
        </w:tc>
        <w:tc>
          <w:tcPr>
            <w:tcW w:w="3969" w:type="dxa"/>
            <w:tcBorders>
              <w:top w:val="nil"/>
              <w:left w:val="nil"/>
              <w:bottom w:val="single" w:sz="4" w:space="0" w:color="auto"/>
              <w:right w:val="single" w:sz="4" w:space="0" w:color="auto"/>
            </w:tcBorders>
            <w:shd w:val="clear" w:color="auto" w:fill="auto"/>
            <w:noWrap/>
            <w:vAlign w:val="center"/>
            <w:hideMark/>
          </w:tcPr>
          <w:p w14:paraId="5486D82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Maquis 220-&gt;Quilapilun 220</w:t>
            </w:r>
          </w:p>
        </w:tc>
        <w:tc>
          <w:tcPr>
            <w:tcW w:w="2552" w:type="dxa"/>
            <w:tcBorders>
              <w:top w:val="nil"/>
              <w:left w:val="nil"/>
              <w:bottom w:val="single" w:sz="4" w:space="0" w:color="auto"/>
              <w:right w:val="single" w:sz="4" w:space="0" w:color="auto"/>
            </w:tcBorders>
            <w:shd w:val="clear" w:color="auto" w:fill="auto"/>
            <w:noWrap/>
            <w:hideMark/>
          </w:tcPr>
          <w:p w14:paraId="541EB12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31.496.353</w:t>
            </w:r>
          </w:p>
        </w:tc>
      </w:tr>
      <w:tr w:rsidR="003E19A2" w:rsidRPr="00A81CB8" w14:paraId="041AA0A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424D0C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N_75</w:t>
            </w:r>
          </w:p>
        </w:tc>
        <w:tc>
          <w:tcPr>
            <w:tcW w:w="3969" w:type="dxa"/>
            <w:tcBorders>
              <w:top w:val="nil"/>
              <w:left w:val="nil"/>
              <w:bottom w:val="single" w:sz="4" w:space="0" w:color="auto"/>
              <w:right w:val="single" w:sz="4" w:space="0" w:color="auto"/>
            </w:tcBorders>
            <w:shd w:val="clear" w:color="auto" w:fill="auto"/>
            <w:noWrap/>
            <w:vAlign w:val="center"/>
            <w:hideMark/>
          </w:tcPr>
          <w:p w14:paraId="436B469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Vilos 220-&gt;Las Palmas 220</w:t>
            </w:r>
          </w:p>
        </w:tc>
        <w:tc>
          <w:tcPr>
            <w:tcW w:w="2552" w:type="dxa"/>
            <w:tcBorders>
              <w:top w:val="nil"/>
              <w:left w:val="nil"/>
              <w:bottom w:val="single" w:sz="4" w:space="0" w:color="auto"/>
              <w:right w:val="single" w:sz="4" w:space="0" w:color="auto"/>
            </w:tcBorders>
            <w:shd w:val="clear" w:color="auto" w:fill="auto"/>
            <w:noWrap/>
            <w:hideMark/>
          </w:tcPr>
          <w:p w14:paraId="057F6A3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21.141.023</w:t>
            </w:r>
          </w:p>
        </w:tc>
      </w:tr>
      <w:tr w:rsidR="003E19A2" w:rsidRPr="00A81CB8" w14:paraId="5C5BEFB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C91733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N_76</w:t>
            </w:r>
          </w:p>
        </w:tc>
        <w:tc>
          <w:tcPr>
            <w:tcW w:w="3969" w:type="dxa"/>
            <w:tcBorders>
              <w:top w:val="nil"/>
              <w:left w:val="nil"/>
              <w:bottom w:val="single" w:sz="4" w:space="0" w:color="auto"/>
              <w:right w:val="single" w:sz="4" w:space="0" w:color="auto"/>
            </w:tcBorders>
            <w:shd w:val="clear" w:color="auto" w:fill="auto"/>
            <w:noWrap/>
            <w:vAlign w:val="center"/>
            <w:hideMark/>
          </w:tcPr>
          <w:p w14:paraId="42FD00C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Vilos 220-&gt;Nogales 220</w:t>
            </w:r>
          </w:p>
        </w:tc>
        <w:tc>
          <w:tcPr>
            <w:tcW w:w="2552" w:type="dxa"/>
            <w:tcBorders>
              <w:top w:val="nil"/>
              <w:left w:val="nil"/>
              <w:bottom w:val="single" w:sz="4" w:space="0" w:color="auto"/>
              <w:right w:val="single" w:sz="4" w:space="0" w:color="auto"/>
            </w:tcBorders>
            <w:shd w:val="clear" w:color="auto" w:fill="auto"/>
            <w:noWrap/>
            <w:hideMark/>
          </w:tcPr>
          <w:p w14:paraId="7F14CF2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13.891.560</w:t>
            </w:r>
          </w:p>
        </w:tc>
      </w:tr>
      <w:tr w:rsidR="003E19A2" w:rsidRPr="00A81CB8" w14:paraId="0C2F018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085D0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N_77</w:t>
            </w:r>
          </w:p>
        </w:tc>
        <w:tc>
          <w:tcPr>
            <w:tcW w:w="3969" w:type="dxa"/>
            <w:tcBorders>
              <w:top w:val="nil"/>
              <w:left w:val="nil"/>
              <w:bottom w:val="single" w:sz="4" w:space="0" w:color="auto"/>
              <w:right w:val="single" w:sz="4" w:space="0" w:color="auto"/>
            </w:tcBorders>
            <w:shd w:val="clear" w:color="auto" w:fill="auto"/>
            <w:noWrap/>
            <w:vAlign w:val="center"/>
            <w:hideMark/>
          </w:tcPr>
          <w:p w14:paraId="31E6BB8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Los Vilos 220-&gt;Tap Doña Carmen 220</w:t>
            </w:r>
          </w:p>
        </w:tc>
        <w:tc>
          <w:tcPr>
            <w:tcW w:w="2552" w:type="dxa"/>
            <w:tcBorders>
              <w:top w:val="nil"/>
              <w:left w:val="nil"/>
              <w:bottom w:val="single" w:sz="4" w:space="0" w:color="auto"/>
              <w:right w:val="single" w:sz="4" w:space="0" w:color="auto"/>
            </w:tcBorders>
            <w:shd w:val="clear" w:color="auto" w:fill="auto"/>
            <w:noWrap/>
            <w:hideMark/>
          </w:tcPr>
          <w:p w14:paraId="7BB5E56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9.293.621</w:t>
            </w:r>
          </w:p>
        </w:tc>
      </w:tr>
      <w:tr w:rsidR="003E19A2" w:rsidRPr="00A81CB8" w14:paraId="1AC548A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2597E3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N_78</w:t>
            </w:r>
          </w:p>
        </w:tc>
        <w:tc>
          <w:tcPr>
            <w:tcW w:w="3969" w:type="dxa"/>
            <w:tcBorders>
              <w:top w:val="nil"/>
              <w:left w:val="nil"/>
              <w:bottom w:val="single" w:sz="4" w:space="0" w:color="auto"/>
              <w:right w:val="single" w:sz="4" w:space="0" w:color="auto"/>
            </w:tcBorders>
            <w:shd w:val="clear" w:color="auto" w:fill="auto"/>
            <w:noWrap/>
            <w:vAlign w:val="center"/>
            <w:hideMark/>
          </w:tcPr>
          <w:p w14:paraId="3E4BE15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Maitencillo 220-&gt;Algarrobal 220</w:t>
            </w:r>
          </w:p>
        </w:tc>
        <w:tc>
          <w:tcPr>
            <w:tcW w:w="2552" w:type="dxa"/>
            <w:tcBorders>
              <w:top w:val="nil"/>
              <w:left w:val="nil"/>
              <w:bottom w:val="single" w:sz="4" w:space="0" w:color="auto"/>
              <w:right w:val="single" w:sz="4" w:space="0" w:color="auto"/>
            </w:tcBorders>
            <w:shd w:val="clear" w:color="auto" w:fill="auto"/>
            <w:noWrap/>
            <w:hideMark/>
          </w:tcPr>
          <w:p w14:paraId="0010ACE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28.011.190</w:t>
            </w:r>
          </w:p>
        </w:tc>
      </w:tr>
      <w:tr w:rsidR="003E19A2" w:rsidRPr="00A81CB8" w14:paraId="6D51276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D7FD28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N_79</w:t>
            </w:r>
          </w:p>
        </w:tc>
        <w:tc>
          <w:tcPr>
            <w:tcW w:w="3969" w:type="dxa"/>
            <w:tcBorders>
              <w:top w:val="nil"/>
              <w:left w:val="nil"/>
              <w:bottom w:val="single" w:sz="4" w:space="0" w:color="auto"/>
              <w:right w:val="single" w:sz="4" w:space="0" w:color="auto"/>
            </w:tcBorders>
            <w:shd w:val="clear" w:color="auto" w:fill="auto"/>
            <w:noWrap/>
            <w:vAlign w:val="center"/>
            <w:hideMark/>
          </w:tcPr>
          <w:p w14:paraId="4BBC798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Maitencillo 220-&gt;Don Hector 220</w:t>
            </w:r>
          </w:p>
        </w:tc>
        <w:tc>
          <w:tcPr>
            <w:tcW w:w="2552" w:type="dxa"/>
            <w:tcBorders>
              <w:top w:val="nil"/>
              <w:left w:val="nil"/>
              <w:bottom w:val="single" w:sz="4" w:space="0" w:color="auto"/>
              <w:right w:val="single" w:sz="4" w:space="0" w:color="auto"/>
            </w:tcBorders>
            <w:shd w:val="clear" w:color="auto" w:fill="auto"/>
            <w:noWrap/>
            <w:hideMark/>
          </w:tcPr>
          <w:p w14:paraId="189027B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8.914.631</w:t>
            </w:r>
          </w:p>
        </w:tc>
      </w:tr>
      <w:tr w:rsidR="003E19A2" w:rsidRPr="00A81CB8" w14:paraId="2A95237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D612E3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N_80</w:t>
            </w:r>
          </w:p>
        </w:tc>
        <w:tc>
          <w:tcPr>
            <w:tcW w:w="3969" w:type="dxa"/>
            <w:tcBorders>
              <w:top w:val="nil"/>
              <w:left w:val="nil"/>
              <w:bottom w:val="single" w:sz="4" w:space="0" w:color="auto"/>
              <w:right w:val="single" w:sz="4" w:space="0" w:color="auto"/>
            </w:tcBorders>
            <w:shd w:val="clear" w:color="auto" w:fill="auto"/>
            <w:noWrap/>
            <w:vAlign w:val="center"/>
            <w:hideMark/>
          </w:tcPr>
          <w:p w14:paraId="7436329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Maitencillo 220-&gt;Tap El Romero 220</w:t>
            </w:r>
          </w:p>
        </w:tc>
        <w:tc>
          <w:tcPr>
            <w:tcW w:w="2552" w:type="dxa"/>
            <w:tcBorders>
              <w:top w:val="nil"/>
              <w:left w:val="nil"/>
              <w:bottom w:val="single" w:sz="4" w:space="0" w:color="auto"/>
              <w:right w:val="single" w:sz="4" w:space="0" w:color="auto"/>
            </w:tcBorders>
            <w:shd w:val="clear" w:color="auto" w:fill="auto"/>
            <w:noWrap/>
            <w:hideMark/>
          </w:tcPr>
          <w:p w14:paraId="5E3ECEE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8.189.813</w:t>
            </w:r>
          </w:p>
        </w:tc>
      </w:tr>
      <w:tr w:rsidR="003E19A2" w:rsidRPr="00A81CB8" w14:paraId="2FD0307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67DEC5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N_81</w:t>
            </w:r>
          </w:p>
        </w:tc>
        <w:tc>
          <w:tcPr>
            <w:tcW w:w="3969" w:type="dxa"/>
            <w:tcBorders>
              <w:top w:val="nil"/>
              <w:left w:val="nil"/>
              <w:bottom w:val="single" w:sz="4" w:space="0" w:color="auto"/>
              <w:right w:val="single" w:sz="4" w:space="0" w:color="auto"/>
            </w:tcBorders>
            <w:shd w:val="clear" w:color="auto" w:fill="auto"/>
            <w:noWrap/>
            <w:vAlign w:val="center"/>
            <w:hideMark/>
          </w:tcPr>
          <w:p w14:paraId="17DF845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Maria Elena 220-&gt;Kimal 220</w:t>
            </w:r>
          </w:p>
        </w:tc>
        <w:tc>
          <w:tcPr>
            <w:tcW w:w="2552" w:type="dxa"/>
            <w:tcBorders>
              <w:top w:val="nil"/>
              <w:left w:val="nil"/>
              <w:bottom w:val="single" w:sz="4" w:space="0" w:color="auto"/>
              <w:right w:val="single" w:sz="4" w:space="0" w:color="auto"/>
            </w:tcBorders>
            <w:shd w:val="clear" w:color="auto" w:fill="auto"/>
            <w:noWrap/>
            <w:hideMark/>
          </w:tcPr>
          <w:p w14:paraId="74E5D2A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3.087.783</w:t>
            </w:r>
          </w:p>
        </w:tc>
      </w:tr>
      <w:tr w:rsidR="003E19A2" w:rsidRPr="00A81CB8" w14:paraId="4B99C30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DFCAD9"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N_82</w:t>
            </w:r>
          </w:p>
        </w:tc>
        <w:tc>
          <w:tcPr>
            <w:tcW w:w="3969" w:type="dxa"/>
            <w:tcBorders>
              <w:top w:val="nil"/>
              <w:left w:val="nil"/>
              <w:bottom w:val="single" w:sz="4" w:space="0" w:color="auto"/>
              <w:right w:val="single" w:sz="4" w:space="0" w:color="auto"/>
            </w:tcBorders>
            <w:shd w:val="clear" w:color="auto" w:fill="auto"/>
            <w:noWrap/>
            <w:vAlign w:val="center"/>
            <w:hideMark/>
          </w:tcPr>
          <w:p w14:paraId="0475D89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Maria Elena 220-&gt;Quillagua 220</w:t>
            </w:r>
          </w:p>
        </w:tc>
        <w:tc>
          <w:tcPr>
            <w:tcW w:w="2552" w:type="dxa"/>
            <w:tcBorders>
              <w:top w:val="nil"/>
              <w:left w:val="nil"/>
              <w:bottom w:val="single" w:sz="4" w:space="0" w:color="auto"/>
              <w:right w:val="single" w:sz="4" w:space="0" w:color="auto"/>
            </w:tcBorders>
            <w:shd w:val="clear" w:color="auto" w:fill="auto"/>
            <w:noWrap/>
            <w:hideMark/>
          </w:tcPr>
          <w:p w14:paraId="38024EE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18.506.890</w:t>
            </w:r>
          </w:p>
        </w:tc>
      </w:tr>
      <w:tr w:rsidR="003E19A2" w:rsidRPr="00A81CB8" w14:paraId="50160A6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4DC4FA4"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N_83</w:t>
            </w:r>
          </w:p>
        </w:tc>
        <w:tc>
          <w:tcPr>
            <w:tcW w:w="3969" w:type="dxa"/>
            <w:tcBorders>
              <w:top w:val="nil"/>
              <w:left w:val="nil"/>
              <w:bottom w:val="single" w:sz="4" w:space="0" w:color="auto"/>
              <w:right w:val="single" w:sz="4" w:space="0" w:color="auto"/>
            </w:tcBorders>
            <w:shd w:val="clear" w:color="auto" w:fill="auto"/>
            <w:noWrap/>
            <w:vAlign w:val="center"/>
            <w:hideMark/>
          </w:tcPr>
          <w:p w14:paraId="72E82DD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Melipulli 220-&gt;Pargua 220</w:t>
            </w:r>
          </w:p>
        </w:tc>
        <w:tc>
          <w:tcPr>
            <w:tcW w:w="2552" w:type="dxa"/>
            <w:tcBorders>
              <w:top w:val="nil"/>
              <w:left w:val="nil"/>
              <w:bottom w:val="single" w:sz="4" w:space="0" w:color="auto"/>
              <w:right w:val="single" w:sz="4" w:space="0" w:color="auto"/>
            </w:tcBorders>
            <w:shd w:val="clear" w:color="auto" w:fill="auto"/>
            <w:noWrap/>
            <w:hideMark/>
          </w:tcPr>
          <w:p w14:paraId="5033036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16.779.486</w:t>
            </w:r>
          </w:p>
        </w:tc>
      </w:tr>
      <w:tr w:rsidR="003E19A2" w:rsidRPr="00A81CB8" w14:paraId="3092359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89969D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N_84</w:t>
            </w:r>
          </w:p>
        </w:tc>
        <w:tc>
          <w:tcPr>
            <w:tcW w:w="3969" w:type="dxa"/>
            <w:tcBorders>
              <w:top w:val="nil"/>
              <w:left w:val="nil"/>
              <w:bottom w:val="single" w:sz="4" w:space="0" w:color="auto"/>
              <w:right w:val="single" w:sz="4" w:space="0" w:color="auto"/>
            </w:tcBorders>
            <w:shd w:val="clear" w:color="auto" w:fill="auto"/>
            <w:noWrap/>
            <w:vAlign w:val="center"/>
            <w:hideMark/>
          </w:tcPr>
          <w:p w14:paraId="307ED3F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Melipulli 220-&gt;Puerto Montt 220</w:t>
            </w:r>
          </w:p>
        </w:tc>
        <w:tc>
          <w:tcPr>
            <w:tcW w:w="2552" w:type="dxa"/>
            <w:tcBorders>
              <w:top w:val="nil"/>
              <w:left w:val="nil"/>
              <w:bottom w:val="single" w:sz="4" w:space="0" w:color="auto"/>
              <w:right w:val="single" w:sz="4" w:space="0" w:color="auto"/>
            </w:tcBorders>
            <w:shd w:val="clear" w:color="auto" w:fill="auto"/>
            <w:noWrap/>
            <w:hideMark/>
          </w:tcPr>
          <w:p w14:paraId="0C97A49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145.537</w:t>
            </w:r>
          </w:p>
        </w:tc>
      </w:tr>
      <w:tr w:rsidR="003E19A2" w:rsidRPr="00A81CB8" w14:paraId="5AD08C8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41E713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N_85</w:t>
            </w:r>
          </w:p>
        </w:tc>
        <w:tc>
          <w:tcPr>
            <w:tcW w:w="3969" w:type="dxa"/>
            <w:tcBorders>
              <w:top w:val="nil"/>
              <w:left w:val="nil"/>
              <w:bottom w:val="single" w:sz="4" w:space="0" w:color="auto"/>
              <w:right w:val="single" w:sz="4" w:space="0" w:color="auto"/>
            </w:tcBorders>
            <w:shd w:val="clear" w:color="auto" w:fill="auto"/>
            <w:noWrap/>
            <w:vAlign w:val="center"/>
            <w:hideMark/>
          </w:tcPr>
          <w:p w14:paraId="4EEA2DE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Miraje 220-&gt;Atacama 220</w:t>
            </w:r>
          </w:p>
        </w:tc>
        <w:tc>
          <w:tcPr>
            <w:tcW w:w="2552" w:type="dxa"/>
            <w:tcBorders>
              <w:top w:val="nil"/>
              <w:left w:val="nil"/>
              <w:bottom w:val="single" w:sz="4" w:space="0" w:color="auto"/>
              <w:right w:val="single" w:sz="4" w:space="0" w:color="auto"/>
            </w:tcBorders>
            <w:shd w:val="clear" w:color="auto" w:fill="auto"/>
            <w:noWrap/>
            <w:hideMark/>
          </w:tcPr>
          <w:p w14:paraId="08EF2E5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32.710.235</w:t>
            </w:r>
          </w:p>
        </w:tc>
      </w:tr>
      <w:tr w:rsidR="003E19A2" w:rsidRPr="00A81CB8" w14:paraId="4484137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DABEC3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N_86</w:t>
            </w:r>
          </w:p>
        </w:tc>
        <w:tc>
          <w:tcPr>
            <w:tcW w:w="3969" w:type="dxa"/>
            <w:tcBorders>
              <w:top w:val="nil"/>
              <w:left w:val="nil"/>
              <w:bottom w:val="single" w:sz="4" w:space="0" w:color="auto"/>
              <w:right w:val="single" w:sz="4" w:space="0" w:color="auto"/>
            </w:tcBorders>
            <w:shd w:val="clear" w:color="auto" w:fill="auto"/>
            <w:noWrap/>
            <w:vAlign w:val="center"/>
            <w:hideMark/>
          </w:tcPr>
          <w:p w14:paraId="1792A7CB"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Miraje 220-&gt;Tap Enlace 220</w:t>
            </w:r>
          </w:p>
        </w:tc>
        <w:tc>
          <w:tcPr>
            <w:tcW w:w="2552" w:type="dxa"/>
            <w:tcBorders>
              <w:top w:val="nil"/>
              <w:left w:val="nil"/>
              <w:bottom w:val="single" w:sz="4" w:space="0" w:color="auto"/>
              <w:right w:val="single" w:sz="4" w:space="0" w:color="auto"/>
            </w:tcBorders>
            <w:shd w:val="clear" w:color="auto" w:fill="auto"/>
            <w:noWrap/>
            <w:hideMark/>
          </w:tcPr>
          <w:p w14:paraId="703BE31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9.234.421</w:t>
            </w:r>
          </w:p>
        </w:tc>
      </w:tr>
      <w:tr w:rsidR="003E19A2" w:rsidRPr="00A81CB8" w14:paraId="042D6D1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9EABC7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N_87</w:t>
            </w:r>
          </w:p>
        </w:tc>
        <w:tc>
          <w:tcPr>
            <w:tcW w:w="3969" w:type="dxa"/>
            <w:tcBorders>
              <w:top w:val="nil"/>
              <w:left w:val="nil"/>
              <w:bottom w:val="single" w:sz="4" w:space="0" w:color="auto"/>
              <w:right w:val="single" w:sz="4" w:space="0" w:color="auto"/>
            </w:tcBorders>
            <w:shd w:val="clear" w:color="auto" w:fill="auto"/>
            <w:noWrap/>
            <w:vAlign w:val="center"/>
            <w:hideMark/>
          </w:tcPr>
          <w:p w14:paraId="5D4D79C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Mulchen 220-&gt;Rio Malleco 220</w:t>
            </w:r>
          </w:p>
        </w:tc>
        <w:tc>
          <w:tcPr>
            <w:tcW w:w="2552" w:type="dxa"/>
            <w:tcBorders>
              <w:top w:val="nil"/>
              <w:left w:val="nil"/>
              <w:bottom w:val="single" w:sz="4" w:space="0" w:color="auto"/>
              <w:right w:val="single" w:sz="4" w:space="0" w:color="auto"/>
            </w:tcBorders>
            <w:shd w:val="clear" w:color="auto" w:fill="auto"/>
            <w:noWrap/>
            <w:hideMark/>
          </w:tcPr>
          <w:p w14:paraId="0045788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709.107</w:t>
            </w:r>
          </w:p>
        </w:tc>
      </w:tr>
      <w:tr w:rsidR="003E19A2" w:rsidRPr="00A81CB8" w14:paraId="3EE4EB4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DBFF9D4"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N_88</w:t>
            </w:r>
          </w:p>
        </w:tc>
        <w:tc>
          <w:tcPr>
            <w:tcW w:w="3969" w:type="dxa"/>
            <w:tcBorders>
              <w:top w:val="nil"/>
              <w:left w:val="nil"/>
              <w:bottom w:val="single" w:sz="4" w:space="0" w:color="auto"/>
              <w:right w:val="single" w:sz="4" w:space="0" w:color="auto"/>
            </w:tcBorders>
            <w:shd w:val="clear" w:color="auto" w:fill="auto"/>
            <w:noWrap/>
            <w:vAlign w:val="center"/>
            <w:hideMark/>
          </w:tcPr>
          <w:p w14:paraId="28E031B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Nogales 220-&gt;Quillota 220</w:t>
            </w:r>
          </w:p>
        </w:tc>
        <w:tc>
          <w:tcPr>
            <w:tcW w:w="2552" w:type="dxa"/>
            <w:tcBorders>
              <w:top w:val="nil"/>
              <w:left w:val="nil"/>
              <w:bottom w:val="single" w:sz="4" w:space="0" w:color="auto"/>
              <w:right w:val="single" w:sz="4" w:space="0" w:color="auto"/>
            </w:tcBorders>
            <w:shd w:val="clear" w:color="auto" w:fill="auto"/>
            <w:noWrap/>
            <w:hideMark/>
          </w:tcPr>
          <w:p w14:paraId="3BE0ECB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9.429.461</w:t>
            </w:r>
          </w:p>
        </w:tc>
      </w:tr>
      <w:tr w:rsidR="003E19A2" w:rsidRPr="00A81CB8" w14:paraId="3C911F6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F233711"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N_89</w:t>
            </w:r>
          </w:p>
        </w:tc>
        <w:tc>
          <w:tcPr>
            <w:tcW w:w="3969" w:type="dxa"/>
            <w:tcBorders>
              <w:top w:val="nil"/>
              <w:left w:val="nil"/>
              <w:bottom w:val="single" w:sz="4" w:space="0" w:color="auto"/>
              <w:right w:val="single" w:sz="4" w:space="0" w:color="auto"/>
            </w:tcBorders>
            <w:shd w:val="clear" w:color="auto" w:fill="auto"/>
            <w:noWrap/>
            <w:vAlign w:val="center"/>
            <w:hideMark/>
          </w:tcPr>
          <w:p w14:paraId="3504886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Nogales 220-&gt;Rio Aconcagua 220</w:t>
            </w:r>
          </w:p>
        </w:tc>
        <w:tc>
          <w:tcPr>
            <w:tcW w:w="2552" w:type="dxa"/>
            <w:tcBorders>
              <w:top w:val="nil"/>
              <w:left w:val="nil"/>
              <w:bottom w:val="single" w:sz="4" w:space="0" w:color="auto"/>
              <w:right w:val="single" w:sz="4" w:space="0" w:color="auto"/>
            </w:tcBorders>
            <w:shd w:val="clear" w:color="auto" w:fill="auto"/>
            <w:noWrap/>
            <w:hideMark/>
          </w:tcPr>
          <w:p w14:paraId="09F2A42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2C30D5C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66D753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N_90</w:t>
            </w:r>
          </w:p>
        </w:tc>
        <w:tc>
          <w:tcPr>
            <w:tcW w:w="3969" w:type="dxa"/>
            <w:tcBorders>
              <w:top w:val="nil"/>
              <w:left w:val="nil"/>
              <w:bottom w:val="single" w:sz="4" w:space="0" w:color="auto"/>
              <w:right w:val="single" w:sz="4" w:space="0" w:color="auto"/>
            </w:tcBorders>
            <w:shd w:val="clear" w:color="auto" w:fill="auto"/>
            <w:noWrap/>
            <w:vAlign w:val="center"/>
            <w:hideMark/>
          </w:tcPr>
          <w:p w14:paraId="5036F34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Nogales 220-&gt;Tap Doña Carmen 220</w:t>
            </w:r>
          </w:p>
        </w:tc>
        <w:tc>
          <w:tcPr>
            <w:tcW w:w="2552" w:type="dxa"/>
            <w:tcBorders>
              <w:top w:val="nil"/>
              <w:left w:val="nil"/>
              <w:bottom w:val="single" w:sz="4" w:space="0" w:color="auto"/>
              <w:right w:val="single" w:sz="4" w:space="0" w:color="auto"/>
            </w:tcBorders>
            <w:shd w:val="clear" w:color="auto" w:fill="auto"/>
            <w:noWrap/>
            <w:hideMark/>
          </w:tcPr>
          <w:p w14:paraId="671F05D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4.716.612</w:t>
            </w:r>
          </w:p>
        </w:tc>
      </w:tr>
      <w:tr w:rsidR="003E19A2" w:rsidRPr="00A81CB8" w14:paraId="69428F2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8866C7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N_91</w:t>
            </w:r>
          </w:p>
        </w:tc>
        <w:tc>
          <w:tcPr>
            <w:tcW w:w="3969" w:type="dxa"/>
            <w:tcBorders>
              <w:top w:val="nil"/>
              <w:left w:val="nil"/>
              <w:bottom w:val="single" w:sz="4" w:space="0" w:color="auto"/>
              <w:right w:val="single" w:sz="4" w:space="0" w:color="auto"/>
            </w:tcBorders>
            <w:shd w:val="clear" w:color="auto" w:fill="auto"/>
            <w:noWrap/>
            <w:vAlign w:val="center"/>
            <w:hideMark/>
          </w:tcPr>
          <w:p w14:paraId="07FAFE8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Alto Melipilla 220-&gt;Alto Melipilla 220</w:t>
            </w:r>
          </w:p>
        </w:tc>
        <w:tc>
          <w:tcPr>
            <w:tcW w:w="2552" w:type="dxa"/>
            <w:tcBorders>
              <w:top w:val="nil"/>
              <w:left w:val="nil"/>
              <w:bottom w:val="single" w:sz="4" w:space="0" w:color="auto"/>
              <w:right w:val="single" w:sz="4" w:space="0" w:color="auto"/>
            </w:tcBorders>
            <w:shd w:val="clear" w:color="auto" w:fill="auto"/>
            <w:noWrap/>
            <w:hideMark/>
          </w:tcPr>
          <w:p w14:paraId="43031B7E"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1.132.750</w:t>
            </w:r>
          </w:p>
        </w:tc>
      </w:tr>
      <w:tr w:rsidR="003E19A2" w:rsidRPr="00A81CB8" w14:paraId="43DFF56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97BD2D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N_92</w:t>
            </w:r>
          </w:p>
        </w:tc>
        <w:tc>
          <w:tcPr>
            <w:tcW w:w="3969" w:type="dxa"/>
            <w:tcBorders>
              <w:top w:val="nil"/>
              <w:left w:val="nil"/>
              <w:bottom w:val="single" w:sz="4" w:space="0" w:color="auto"/>
              <w:right w:val="single" w:sz="4" w:space="0" w:color="auto"/>
            </w:tcBorders>
            <w:shd w:val="clear" w:color="auto" w:fill="auto"/>
            <w:noWrap/>
            <w:vAlign w:val="center"/>
            <w:hideMark/>
          </w:tcPr>
          <w:p w14:paraId="5E53867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Alto Melipilla 220-&gt;Rapel 220</w:t>
            </w:r>
          </w:p>
        </w:tc>
        <w:tc>
          <w:tcPr>
            <w:tcW w:w="2552" w:type="dxa"/>
            <w:tcBorders>
              <w:top w:val="nil"/>
              <w:left w:val="nil"/>
              <w:bottom w:val="single" w:sz="4" w:space="0" w:color="auto"/>
              <w:right w:val="single" w:sz="4" w:space="0" w:color="auto"/>
            </w:tcBorders>
            <w:shd w:val="clear" w:color="auto" w:fill="auto"/>
            <w:noWrap/>
            <w:hideMark/>
          </w:tcPr>
          <w:p w14:paraId="455AB50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15.916.696</w:t>
            </w:r>
          </w:p>
        </w:tc>
      </w:tr>
      <w:tr w:rsidR="003E19A2" w:rsidRPr="00A81CB8" w14:paraId="479041D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1D585A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N_93</w:t>
            </w:r>
          </w:p>
        </w:tc>
        <w:tc>
          <w:tcPr>
            <w:tcW w:w="3969" w:type="dxa"/>
            <w:tcBorders>
              <w:top w:val="nil"/>
              <w:left w:val="nil"/>
              <w:bottom w:val="single" w:sz="4" w:space="0" w:color="auto"/>
              <w:right w:val="single" w:sz="4" w:space="0" w:color="auto"/>
            </w:tcBorders>
            <w:shd w:val="clear" w:color="auto" w:fill="auto"/>
            <w:noWrap/>
            <w:vAlign w:val="center"/>
            <w:hideMark/>
          </w:tcPr>
          <w:p w14:paraId="7774EAF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Cardones 220-&gt;Nueva Cardones 500</w:t>
            </w:r>
          </w:p>
        </w:tc>
        <w:tc>
          <w:tcPr>
            <w:tcW w:w="2552" w:type="dxa"/>
            <w:tcBorders>
              <w:top w:val="nil"/>
              <w:left w:val="nil"/>
              <w:bottom w:val="single" w:sz="4" w:space="0" w:color="auto"/>
              <w:right w:val="single" w:sz="4" w:space="0" w:color="auto"/>
            </w:tcBorders>
            <w:shd w:val="clear" w:color="auto" w:fill="auto"/>
            <w:noWrap/>
            <w:hideMark/>
          </w:tcPr>
          <w:p w14:paraId="5B68339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66A472E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43A6CA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N_94</w:t>
            </w:r>
          </w:p>
        </w:tc>
        <w:tc>
          <w:tcPr>
            <w:tcW w:w="3969" w:type="dxa"/>
            <w:tcBorders>
              <w:top w:val="nil"/>
              <w:left w:val="nil"/>
              <w:bottom w:val="single" w:sz="4" w:space="0" w:color="auto"/>
              <w:right w:val="single" w:sz="4" w:space="0" w:color="auto"/>
            </w:tcBorders>
            <w:shd w:val="clear" w:color="auto" w:fill="auto"/>
            <w:noWrap/>
            <w:vAlign w:val="center"/>
            <w:hideMark/>
          </w:tcPr>
          <w:p w14:paraId="50665E0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Diego de Almagro 220-&gt;Diego de Almagro 220</w:t>
            </w:r>
          </w:p>
        </w:tc>
        <w:tc>
          <w:tcPr>
            <w:tcW w:w="2552" w:type="dxa"/>
            <w:tcBorders>
              <w:top w:val="nil"/>
              <w:left w:val="nil"/>
              <w:bottom w:val="single" w:sz="4" w:space="0" w:color="auto"/>
              <w:right w:val="single" w:sz="4" w:space="0" w:color="auto"/>
            </w:tcBorders>
            <w:shd w:val="clear" w:color="auto" w:fill="auto"/>
            <w:noWrap/>
            <w:hideMark/>
          </w:tcPr>
          <w:p w14:paraId="023281A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6.842.847</w:t>
            </w:r>
          </w:p>
        </w:tc>
      </w:tr>
      <w:tr w:rsidR="003E19A2" w:rsidRPr="00A81CB8" w14:paraId="4AFD64D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DD7F6B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N_95</w:t>
            </w:r>
          </w:p>
        </w:tc>
        <w:tc>
          <w:tcPr>
            <w:tcW w:w="3969" w:type="dxa"/>
            <w:tcBorders>
              <w:top w:val="nil"/>
              <w:left w:val="nil"/>
              <w:bottom w:val="single" w:sz="4" w:space="0" w:color="auto"/>
              <w:right w:val="single" w:sz="4" w:space="0" w:color="auto"/>
            </w:tcBorders>
            <w:shd w:val="clear" w:color="auto" w:fill="auto"/>
            <w:noWrap/>
            <w:vAlign w:val="center"/>
            <w:hideMark/>
          </w:tcPr>
          <w:p w14:paraId="71206DD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Lampa 220-&gt;Cerro Navia Desf 220</w:t>
            </w:r>
          </w:p>
        </w:tc>
        <w:tc>
          <w:tcPr>
            <w:tcW w:w="2552" w:type="dxa"/>
            <w:tcBorders>
              <w:top w:val="nil"/>
              <w:left w:val="nil"/>
              <w:bottom w:val="single" w:sz="4" w:space="0" w:color="auto"/>
              <w:right w:val="single" w:sz="4" w:space="0" w:color="auto"/>
            </w:tcBorders>
            <w:shd w:val="clear" w:color="auto" w:fill="auto"/>
            <w:noWrap/>
            <w:hideMark/>
          </w:tcPr>
          <w:p w14:paraId="0422ED7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4.908.057</w:t>
            </w:r>
          </w:p>
        </w:tc>
      </w:tr>
      <w:tr w:rsidR="003E19A2" w:rsidRPr="00A81CB8" w14:paraId="72D5BB3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119DA9"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N_96</w:t>
            </w:r>
          </w:p>
        </w:tc>
        <w:tc>
          <w:tcPr>
            <w:tcW w:w="3969" w:type="dxa"/>
            <w:tcBorders>
              <w:top w:val="nil"/>
              <w:left w:val="nil"/>
              <w:bottom w:val="single" w:sz="4" w:space="0" w:color="auto"/>
              <w:right w:val="single" w:sz="4" w:space="0" w:color="auto"/>
            </w:tcBorders>
            <w:shd w:val="clear" w:color="auto" w:fill="auto"/>
            <w:noWrap/>
            <w:vAlign w:val="center"/>
            <w:hideMark/>
          </w:tcPr>
          <w:p w14:paraId="1CDA404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Lampa 220-&gt;Polpaico 220</w:t>
            </w:r>
          </w:p>
        </w:tc>
        <w:tc>
          <w:tcPr>
            <w:tcW w:w="2552" w:type="dxa"/>
            <w:tcBorders>
              <w:top w:val="nil"/>
              <w:left w:val="nil"/>
              <w:bottom w:val="single" w:sz="4" w:space="0" w:color="auto"/>
              <w:right w:val="single" w:sz="4" w:space="0" w:color="auto"/>
            </w:tcBorders>
            <w:shd w:val="clear" w:color="auto" w:fill="auto"/>
            <w:noWrap/>
            <w:hideMark/>
          </w:tcPr>
          <w:p w14:paraId="7BE09C3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5.983.882</w:t>
            </w:r>
          </w:p>
        </w:tc>
      </w:tr>
      <w:tr w:rsidR="003E19A2" w:rsidRPr="00A81CB8" w14:paraId="69E855B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C7B8FD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N_97</w:t>
            </w:r>
          </w:p>
        </w:tc>
        <w:tc>
          <w:tcPr>
            <w:tcW w:w="3969" w:type="dxa"/>
            <w:tcBorders>
              <w:top w:val="nil"/>
              <w:left w:val="nil"/>
              <w:bottom w:val="single" w:sz="4" w:space="0" w:color="auto"/>
              <w:right w:val="single" w:sz="4" w:space="0" w:color="auto"/>
            </w:tcBorders>
            <w:shd w:val="clear" w:color="auto" w:fill="auto"/>
            <w:noWrap/>
            <w:vAlign w:val="center"/>
            <w:hideMark/>
          </w:tcPr>
          <w:p w14:paraId="7B49C56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Pan de Azucar 500-&gt;Polpaico 500</w:t>
            </w:r>
          </w:p>
        </w:tc>
        <w:tc>
          <w:tcPr>
            <w:tcW w:w="2552" w:type="dxa"/>
            <w:tcBorders>
              <w:top w:val="nil"/>
              <w:left w:val="nil"/>
              <w:bottom w:val="single" w:sz="4" w:space="0" w:color="auto"/>
              <w:right w:val="single" w:sz="4" w:space="0" w:color="auto"/>
            </w:tcBorders>
            <w:shd w:val="clear" w:color="auto" w:fill="auto"/>
            <w:noWrap/>
            <w:hideMark/>
          </w:tcPr>
          <w:p w14:paraId="5826F74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1C514FA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12E782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N_98</w:t>
            </w:r>
          </w:p>
        </w:tc>
        <w:tc>
          <w:tcPr>
            <w:tcW w:w="3969" w:type="dxa"/>
            <w:tcBorders>
              <w:top w:val="nil"/>
              <w:left w:val="nil"/>
              <w:bottom w:val="single" w:sz="4" w:space="0" w:color="auto"/>
              <w:right w:val="single" w:sz="4" w:space="0" w:color="auto"/>
            </w:tcBorders>
            <w:shd w:val="clear" w:color="auto" w:fill="auto"/>
            <w:noWrap/>
            <w:vAlign w:val="center"/>
            <w:hideMark/>
          </w:tcPr>
          <w:p w14:paraId="3EC3212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Pichirropulli 220-&gt;Nueva Valdivia 220</w:t>
            </w:r>
          </w:p>
        </w:tc>
        <w:tc>
          <w:tcPr>
            <w:tcW w:w="2552" w:type="dxa"/>
            <w:tcBorders>
              <w:top w:val="nil"/>
              <w:left w:val="nil"/>
              <w:bottom w:val="single" w:sz="4" w:space="0" w:color="auto"/>
              <w:right w:val="single" w:sz="4" w:space="0" w:color="auto"/>
            </w:tcBorders>
            <w:shd w:val="clear" w:color="auto" w:fill="auto"/>
            <w:noWrap/>
            <w:hideMark/>
          </w:tcPr>
          <w:p w14:paraId="5EDB40C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13.304.193</w:t>
            </w:r>
          </w:p>
        </w:tc>
      </w:tr>
      <w:tr w:rsidR="003E19A2" w:rsidRPr="00A81CB8" w14:paraId="7506DE5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68FA4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N_99</w:t>
            </w:r>
          </w:p>
        </w:tc>
        <w:tc>
          <w:tcPr>
            <w:tcW w:w="3969" w:type="dxa"/>
            <w:tcBorders>
              <w:top w:val="nil"/>
              <w:left w:val="nil"/>
              <w:bottom w:val="single" w:sz="4" w:space="0" w:color="auto"/>
              <w:right w:val="single" w:sz="4" w:space="0" w:color="auto"/>
            </w:tcBorders>
            <w:shd w:val="clear" w:color="auto" w:fill="auto"/>
            <w:noWrap/>
            <w:vAlign w:val="center"/>
            <w:hideMark/>
          </w:tcPr>
          <w:p w14:paraId="34565C5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Puerto Montt 220-&gt;Frutillar Norte 220</w:t>
            </w:r>
          </w:p>
        </w:tc>
        <w:tc>
          <w:tcPr>
            <w:tcW w:w="2552" w:type="dxa"/>
            <w:tcBorders>
              <w:top w:val="nil"/>
              <w:left w:val="nil"/>
              <w:bottom w:val="single" w:sz="4" w:space="0" w:color="auto"/>
              <w:right w:val="single" w:sz="4" w:space="0" w:color="auto"/>
            </w:tcBorders>
            <w:shd w:val="clear" w:color="auto" w:fill="auto"/>
            <w:noWrap/>
            <w:hideMark/>
          </w:tcPr>
          <w:p w14:paraId="7022759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5.889.878</w:t>
            </w:r>
          </w:p>
        </w:tc>
      </w:tr>
      <w:tr w:rsidR="003E19A2" w:rsidRPr="00A81CB8" w14:paraId="5292B64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8D0621"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N_100</w:t>
            </w:r>
          </w:p>
        </w:tc>
        <w:tc>
          <w:tcPr>
            <w:tcW w:w="3969" w:type="dxa"/>
            <w:tcBorders>
              <w:top w:val="nil"/>
              <w:left w:val="nil"/>
              <w:bottom w:val="single" w:sz="4" w:space="0" w:color="auto"/>
              <w:right w:val="single" w:sz="4" w:space="0" w:color="auto"/>
            </w:tcBorders>
            <w:shd w:val="clear" w:color="auto" w:fill="auto"/>
            <w:noWrap/>
            <w:vAlign w:val="center"/>
            <w:hideMark/>
          </w:tcPr>
          <w:p w14:paraId="7430D4F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Puerto Montt 220-&gt;Llanquihue 220</w:t>
            </w:r>
          </w:p>
        </w:tc>
        <w:tc>
          <w:tcPr>
            <w:tcW w:w="2552" w:type="dxa"/>
            <w:tcBorders>
              <w:top w:val="nil"/>
              <w:left w:val="nil"/>
              <w:bottom w:val="single" w:sz="4" w:space="0" w:color="auto"/>
              <w:right w:val="single" w:sz="4" w:space="0" w:color="auto"/>
            </w:tcBorders>
            <w:shd w:val="clear" w:color="auto" w:fill="auto"/>
            <w:noWrap/>
            <w:hideMark/>
          </w:tcPr>
          <w:p w14:paraId="1066CB5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54.770</w:t>
            </w:r>
          </w:p>
        </w:tc>
      </w:tr>
      <w:tr w:rsidR="003E19A2" w:rsidRPr="00A81CB8" w14:paraId="0C1C10B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16758B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N_101</w:t>
            </w:r>
          </w:p>
        </w:tc>
        <w:tc>
          <w:tcPr>
            <w:tcW w:w="3969" w:type="dxa"/>
            <w:tcBorders>
              <w:top w:val="nil"/>
              <w:left w:val="nil"/>
              <w:bottom w:val="single" w:sz="4" w:space="0" w:color="auto"/>
              <w:right w:val="single" w:sz="4" w:space="0" w:color="auto"/>
            </w:tcBorders>
            <w:shd w:val="clear" w:color="auto" w:fill="auto"/>
            <w:noWrap/>
            <w:vAlign w:val="center"/>
            <w:hideMark/>
          </w:tcPr>
          <w:p w14:paraId="54C37B0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Nueva Puerto Montt 220-&gt;Puerto Montt 220</w:t>
            </w:r>
          </w:p>
        </w:tc>
        <w:tc>
          <w:tcPr>
            <w:tcW w:w="2552" w:type="dxa"/>
            <w:tcBorders>
              <w:top w:val="nil"/>
              <w:left w:val="nil"/>
              <w:bottom w:val="single" w:sz="4" w:space="0" w:color="auto"/>
              <w:right w:val="single" w:sz="4" w:space="0" w:color="auto"/>
            </w:tcBorders>
            <w:shd w:val="clear" w:color="auto" w:fill="auto"/>
            <w:noWrap/>
            <w:hideMark/>
          </w:tcPr>
          <w:p w14:paraId="6A52F8B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4.773.653</w:t>
            </w:r>
          </w:p>
        </w:tc>
      </w:tr>
      <w:tr w:rsidR="003E19A2" w:rsidRPr="00A81CB8" w14:paraId="3DC8BB5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BB9477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N_102</w:t>
            </w:r>
          </w:p>
        </w:tc>
        <w:tc>
          <w:tcPr>
            <w:tcW w:w="3969" w:type="dxa"/>
            <w:tcBorders>
              <w:top w:val="nil"/>
              <w:left w:val="nil"/>
              <w:bottom w:val="single" w:sz="4" w:space="0" w:color="auto"/>
              <w:right w:val="single" w:sz="4" w:space="0" w:color="auto"/>
            </w:tcBorders>
            <w:shd w:val="clear" w:color="auto" w:fill="auto"/>
            <w:noWrap/>
            <w:vAlign w:val="center"/>
            <w:hideMark/>
          </w:tcPr>
          <w:p w14:paraId="7DF69E8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O Higgins 220-&gt;Atacama 220</w:t>
            </w:r>
          </w:p>
        </w:tc>
        <w:tc>
          <w:tcPr>
            <w:tcW w:w="2552" w:type="dxa"/>
            <w:tcBorders>
              <w:top w:val="nil"/>
              <w:left w:val="nil"/>
              <w:bottom w:val="single" w:sz="4" w:space="0" w:color="auto"/>
              <w:right w:val="single" w:sz="4" w:space="0" w:color="auto"/>
            </w:tcBorders>
            <w:shd w:val="clear" w:color="auto" w:fill="auto"/>
            <w:noWrap/>
            <w:hideMark/>
          </w:tcPr>
          <w:p w14:paraId="792C912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20.451.649</w:t>
            </w:r>
          </w:p>
        </w:tc>
      </w:tr>
      <w:tr w:rsidR="003E19A2" w:rsidRPr="00A81CB8" w14:paraId="1F539FA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8C8BBE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N_103</w:t>
            </w:r>
          </w:p>
        </w:tc>
        <w:tc>
          <w:tcPr>
            <w:tcW w:w="3969" w:type="dxa"/>
            <w:tcBorders>
              <w:top w:val="nil"/>
              <w:left w:val="nil"/>
              <w:bottom w:val="single" w:sz="4" w:space="0" w:color="auto"/>
              <w:right w:val="single" w:sz="4" w:space="0" w:color="auto"/>
            </w:tcBorders>
            <w:shd w:val="clear" w:color="auto" w:fill="auto"/>
            <w:noWrap/>
            <w:vAlign w:val="center"/>
            <w:hideMark/>
          </w:tcPr>
          <w:p w14:paraId="27DE1E1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O Higgins 220-&gt;Kapatur 220</w:t>
            </w:r>
          </w:p>
        </w:tc>
        <w:tc>
          <w:tcPr>
            <w:tcW w:w="2552" w:type="dxa"/>
            <w:tcBorders>
              <w:top w:val="nil"/>
              <w:left w:val="nil"/>
              <w:bottom w:val="single" w:sz="4" w:space="0" w:color="auto"/>
              <w:right w:val="single" w:sz="4" w:space="0" w:color="auto"/>
            </w:tcBorders>
            <w:shd w:val="clear" w:color="auto" w:fill="auto"/>
            <w:noWrap/>
            <w:hideMark/>
          </w:tcPr>
          <w:p w14:paraId="0F35D5B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34.325.093</w:t>
            </w:r>
          </w:p>
        </w:tc>
      </w:tr>
      <w:tr w:rsidR="003E19A2" w:rsidRPr="00A81CB8" w14:paraId="6A126B2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6206D8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N_104</w:t>
            </w:r>
          </w:p>
        </w:tc>
        <w:tc>
          <w:tcPr>
            <w:tcW w:w="3969" w:type="dxa"/>
            <w:tcBorders>
              <w:top w:val="nil"/>
              <w:left w:val="nil"/>
              <w:bottom w:val="single" w:sz="4" w:space="0" w:color="auto"/>
              <w:right w:val="single" w:sz="4" w:space="0" w:color="auto"/>
            </w:tcBorders>
            <w:shd w:val="clear" w:color="auto" w:fill="auto"/>
            <w:noWrap/>
            <w:vAlign w:val="center"/>
            <w:hideMark/>
          </w:tcPr>
          <w:p w14:paraId="0517E10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Pan de Azucar 220-&gt;Don Goyo 220</w:t>
            </w:r>
          </w:p>
        </w:tc>
        <w:tc>
          <w:tcPr>
            <w:tcW w:w="2552" w:type="dxa"/>
            <w:tcBorders>
              <w:top w:val="nil"/>
              <w:left w:val="nil"/>
              <w:bottom w:val="single" w:sz="4" w:space="0" w:color="auto"/>
              <w:right w:val="single" w:sz="4" w:space="0" w:color="auto"/>
            </w:tcBorders>
            <w:shd w:val="clear" w:color="auto" w:fill="auto"/>
            <w:noWrap/>
            <w:hideMark/>
          </w:tcPr>
          <w:p w14:paraId="002016A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19.278.004</w:t>
            </w:r>
          </w:p>
        </w:tc>
      </w:tr>
      <w:tr w:rsidR="003E19A2" w:rsidRPr="00A81CB8" w14:paraId="78CBC77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FA5602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N_105</w:t>
            </w:r>
          </w:p>
        </w:tc>
        <w:tc>
          <w:tcPr>
            <w:tcW w:w="3969" w:type="dxa"/>
            <w:tcBorders>
              <w:top w:val="nil"/>
              <w:left w:val="nil"/>
              <w:bottom w:val="single" w:sz="4" w:space="0" w:color="auto"/>
              <w:right w:val="single" w:sz="4" w:space="0" w:color="auto"/>
            </w:tcBorders>
            <w:shd w:val="clear" w:color="auto" w:fill="auto"/>
            <w:noWrap/>
            <w:vAlign w:val="center"/>
            <w:hideMark/>
          </w:tcPr>
          <w:p w14:paraId="6666AE1A"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Pan de Azucar 220-&gt;Punta Colorada 220</w:t>
            </w:r>
          </w:p>
        </w:tc>
        <w:tc>
          <w:tcPr>
            <w:tcW w:w="2552" w:type="dxa"/>
            <w:tcBorders>
              <w:top w:val="nil"/>
              <w:left w:val="nil"/>
              <w:bottom w:val="single" w:sz="4" w:space="0" w:color="auto"/>
              <w:right w:val="single" w:sz="4" w:space="0" w:color="auto"/>
            </w:tcBorders>
            <w:shd w:val="clear" w:color="auto" w:fill="auto"/>
            <w:noWrap/>
            <w:hideMark/>
          </w:tcPr>
          <w:p w14:paraId="0C3217E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26.203.611</w:t>
            </w:r>
          </w:p>
        </w:tc>
      </w:tr>
      <w:tr w:rsidR="003E19A2" w:rsidRPr="00A81CB8" w14:paraId="2F2ECE4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CAF21A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N_106</w:t>
            </w:r>
          </w:p>
        </w:tc>
        <w:tc>
          <w:tcPr>
            <w:tcW w:w="3969" w:type="dxa"/>
            <w:tcBorders>
              <w:top w:val="nil"/>
              <w:left w:val="nil"/>
              <w:bottom w:val="single" w:sz="4" w:space="0" w:color="auto"/>
              <w:right w:val="single" w:sz="4" w:space="0" w:color="auto"/>
            </w:tcBorders>
            <w:shd w:val="clear" w:color="auto" w:fill="auto"/>
            <w:noWrap/>
            <w:vAlign w:val="center"/>
            <w:hideMark/>
          </w:tcPr>
          <w:p w14:paraId="25ABCBC8"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Pargua 220-&gt;Nueva Ancud 220</w:t>
            </w:r>
          </w:p>
        </w:tc>
        <w:tc>
          <w:tcPr>
            <w:tcW w:w="2552" w:type="dxa"/>
            <w:tcBorders>
              <w:top w:val="nil"/>
              <w:left w:val="nil"/>
              <w:bottom w:val="single" w:sz="4" w:space="0" w:color="auto"/>
              <w:right w:val="single" w:sz="4" w:space="0" w:color="auto"/>
            </w:tcBorders>
            <w:shd w:val="clear" w:color="auto" w:fill="auto"/>
            <w:noWrap/>
            <w:hideMark/>
          </w:tcPr>
          <w:p w14:paraId="4AB57AA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10.204.296</w:t>
            </w:r>
          </w:p>
        </w:tc>
      </w:tr>
      <w:tr w:rsidR="003E19A2" w:rsidRPr="00A81CB8" w14:paraId="3FC9351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1AB63F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N_107</w:t>
            </w:r>
          </w:p>
        </w:tc>
        <w:tc>
          <w:tcPr>
            <w:tcW w:w="3969" w:type="dxa"/>
            <w:tcBorders>
              <w:top w:val="nil"/>
              <w:left w:val="nil"/>
              <w:bottom w:val="single" w:sz="4" w:space="0" w:color="auto"/>
              <w:right w:val="single" w:sz="4" w:space="0" w:color="auto"/>
            </w:tcBorders>
            <w:shd w:val="clear" w:color="auto" w:fill="auto"/>
            <w:noWrap/>
            <w:vAlign w:val="center"/>
            <w:hideMark/>
          </w:tcPr>
          <w:p w14:paraId="1725BD3D"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Polpaico 220-&gt;Quilapilun 220</w:t>
            </w:r>
          </w:p>
        </w:tc>
        <w:tc>
          <w:tcPr>
            <w:tcW w:w="2552" w:type="dxa"/>
            <w:tcBorders>
              <w:top w:val="nil"/>
              <w:left w:val="nil"/>
              <w:bottom w:val="single" w:sz="4" w:space="0" w:color="auto"/>
              <w:right w:val="single" w:sz="4" w:space="0" w:color="auto"/>
            </w:tcBorders>
            <w:shd w:val="clear" w:color="auto" w:fill="auto"/>
            <w:noWrap/>
            <w:hideMark/>
          </w:tcPr>
          <w:p w14:paraId="1DD998D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14.771.750</w:t>
            </w:r>
          </w:p>
        </w:tc>
      </w:tr>
      <w:tr w:rsidR="003E19A2" w:rsidRPr="00A81CB8" w14:paraId="65002AA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5077E8A"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N_108</w:t>
            </w:r>
          </w:p>
        </w:tc>
        <w:tc>
          <w:tcPr>
            <w:tcW w:w="3969" w:type="dxa"/>
            <w:tcBorders>
              <w:top w:val="nil"/>
              <w:left w:val="nil"/>
              <w:bottom w:val="single" w:sz="4" w:space="0" w:color="auto"/>
              <w:right w:val="single" w:sz="4" w:space="0" w:color="auto"/>
            </w:tcBorders>
            <w:shd w:val="clear" w:color="auto" w:fill="auto"/>
            <w:noWrap/>
            <w:vAlign w:val="center"/>
            <w:hideMark/>
          </w:tcPr>
          <w:p w14:paraId="2B8E484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Polpaico 220-&gt;Rio Aconcagua 220</w:t>
            </w:r>
          </w:p>
        </w:tc>
        <w:tc>
          <w:tcPr>
            <w:tcW w:w="2552" w:type="dxa"/>
            <w:tcBorders>
              <w:top w:val="nil"/>
              <w:left w:val="nil"/>
              <w:bottom w:val="single" w:sz="4" w:space="0" w:color="auto"/>
              <w:right w:val="single" w:sz="4" w:space="0" w:color="auto"/>
            </w:tcBorders>
            <w:shd w:val="clear" w:color="auto" w:fill="auto"/>
            <w:noWrap/>
            <w:hideMark/>
          </w:tcPr>
          <w:p w14:paraId="0C77A4F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 xml:space="preserve">                              -   </w:t>
            </w:r>
          </w:p>
        </w:tc>
      </w:tr>
      <w:tr w:rsidR="003E19A2" w:rsidRPr="00A81CB8" w14:paraId="7046E9D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2727A0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N_109</w:t>
            </w:r>
          </w:p>
        </w:tc>
        <w:tc>
          <w:tcPr>
            <w:tcW w:w="3969" w:type="dxa"/>
            <w:tcBorders>
              <w:top w:val="nil"/>
              <w:left w:val="nil"/>
              <w:bottom w:val="single" w:sz="4" w:space="0" w:color="auto"/>
              <w:right w:val="single" w:sz="4" w:space="0" w:color="auto"/>
            </w:tcBorders>
            <w:shd w:val="clear" w:color="auto" w:fill="auto"/>
            <w:noWrap/>
            <w:vAlign w:val="center"/>
            <w:hideMark/>
          </w:tcPr>
          <w:p w14:paraId="0CC135F1"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Polpaico 220-&gt;Tap El Manzano 220</w:t>
            </w:r>
          </w:p>
        </w:tc>
        <w:tc>
          <w:tcPr>
            <w:tcW w:w="2552" w:type="dxa"/>
            <w:tcBorders>
              <w:top w:val="nil"/>
              <w:left w:val="nil"/>
              <w:bottom w:val="single" w:sz="4" w:space="0" w:color="auto"/>
              <w:right w:val="single" w:sz="4" w:space="0" w:color="auto"/>
            </w:tcBorders>
            <w:shd w:val="clear" w:color="auto" w:fill="auto"/>
            <w:noWrap/>
            <w:hideMark/>
          </w:tcPr>
          <w:p w14:paraId="6B3F23A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8.358.194</w:t>
            </w:r>
          </w:p>
        </w:tc>
      </w:tr>
      <w:tr w:rsidR="003E19A2" w:rsidRPr="00A81CB8" w14:paraId="6733CE8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B8513C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N_110</w:t>
            </w:r>
          </w:p>
        </w:tc>
        <w:tc>
          <w:tcPr>
            <w:tcW w:w="3969" w:type="dxa"/>
            <w:tcBorders>
              <w:top w:val="nil"/>
              <w:left w:val="nil"/>
              <w:bottom w:val="single" w:sz="4" w:space="0" w:color="auto"/>
              <w:right w:val="single" w:sz="4" w:space="0" w:color="auto"/>
            </w:tcBorders>
            <w:shd w:val="clear" w:color="auto" w:fill="auto"/>
            <w:noWrap/>
            <w:vAlign w:val="center"/>
            <w:hideMark/>
          </w:tcPr>
          <w:p w14:paraId="6B538D5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Polpaico 500-&gt;Lo Aguirre 500</w:t>
            </w:r>
          </w:p>
        </w:tc>
        <w:tc>
          <w:tcPr>
            <w:tcW w:w="2552" w:type="dxa"/>
            <w:tcBorders>
              <w:top w:val="nil"/>
              <w:left w:val="nil"/>
              <w:bottom w:val="single" w:sz="4" w:space="0" w:color="auto"/>
              <w:right w:val="single" w:sz="4" w:space="0" w:color="auto"/>
            </w:tcBorders>
            <w:shd w:val="clear" w:color="auto" w:fill="auto"/>
            <w:noWrap/>
            <w:hideMark/>
          </w:tcPr>
          <w:p w14:paraId="7F61D4F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31.622.331</w:t>
            </w:r>
          </w:p>
        </w:tc>
      </w:tr>
      <w:tr w:rsidR="003E19A2" w:rsidRPr="00A81CB8" w14:paraId="5C67D55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98750A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N_111</w:t>
            </w:r>
          </w:p>
        </w:tc>
        <w:tc>
          <w:tcPr>
            <w:tcW w:w="3969" w:type="dxa"/>
            <w:tcBorders>
              <w:top w:val="nil"/>
              <w:left w:val="nil"/>
              <w:bottom w:val="single" w:sz="4" w:space="0" w:color="auto"/>
              <w:right w:val="single" w:sz="4" w:space="0" w:color="auto"/>
            </w:tcBorders>
            <w:shd w:val="clear" w:color="auto" w:fill="auto"/>
            <w:noWrap/>
            <w:vAlign w:val="center"/>
            <w:hideMark/>
          </w:tcPr>
          <w:p w14:paraId="672D422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Polpaico 500-&gt;Polpaico 220</w:t>
            </w:r>
          </w:p>
        </w:tc>
        <w:tc>
          <w:tcPr>
            <w:tcW w:w="2552" w:type="dxa"/>
            <w:tcBorders>
              <w:top w:val="nil"/>
              <w:left w:val="nil"/>
              <w:bottom w:val="single" w:sz="4" w:space="0" w:color="auto"/>
              <w:right w:val="single" w:sz="4" w:space="0" w:color="auto"/>
            </w:tcBorders>
            <w:shd w:val="clear" w:color="auto" w:fill="auto"/>
            <w:noWrap/>
            <w:hideMark/>
          </w:tcPr>
          <w:p w14:paraId="4E4F89D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16.658.592</w:t>
            </w:r>
          </w:p>
        </w:tc>
      </w:tr>
      <w:tr w:rsidR="003E19A2" w:rsidRPr="00A81CB8" w14:paraId="54A47D8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671764E"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N_112</w:t>
            </w:r>
          </w:p>
        </w:tc>
        <w:tc>
          <w:tcPr>
            <w:tcW w:w="3969" w:type="dxa"/>
            <w:tcBorders>
              <w:top w:val="nil"/>
              <w:left w:val="nil"/>
              <w:bottom w:val="single" w:sz="4" w:space="0" w:color="auto"/>
              <w:right w:val="single" w:sz="4" w:space="0" w:color="auto"/>
            </w:tcBorders>
            <w:shd w:val="clear" w:color="auto" w:fill="auto"/>
            <w:noWrap/>
            <w:vAlign w:val="center"/>
            <w:hideMark/>
          </w:tcPr>
          <w:p w14:paraId="19D44B2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Pozo Almonte 220-&gt;Nueva Pozo Almonte 220</w:t>
            </w:r>
          </w:p>
        </w:tc>
        <w:tc>
          <w:tcPr>
            <w:tcW w:w="2552" w:type="dxa"/>
            <w:tcBorders>
              <w:top w:val="nil"/>
              <w:left w:val="nil"/>
              <w:bottom w:val="single" w:sz="4" w:space="0" w:color="auto"/>
              <w:right w:val="single" w:sz="4" w:space="0" w:color="auto"/>
            </w:tcBorders>
            <w:shd w:val="clear" w:color="auto" w:fill="auto"/>
            <w:noWrap/>
            <w:hideMark/>
          </w:tcPr>
          <w:p w14:paraId="0054EA1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6.096.611</w:t>
            </w:r>
          </w:p>
        </w:tc>
      </w:tr>
      <w:tr w:rsidR="003E19A2" w:rsidRPr="00A81CB8" w14:paraId="6607B3F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5702E03"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N_113</w:t>
            </w:r>
          </w:p>
        </w:tc>
        <w:tc>
          <w:tcPr>
            <w:tcW w:w="3969" w:type="dxa"/>
            <w:tcBorders>
              <w:top w:val="nil"/>
              <w:left w:val="nil"/>
              <w:bottom w:val="single" w:sz="4" w:space="0" w:color="auto"/>
              <w:right w:val="single" w:sz="4" w:space="0" w:color="auto"/>
            </w:tcBorders>
            <w:shd w:val="clear" w:color="auto" w:fill="auto"/>
            <w:noWrap/>
            <w:vAlign w:val="center"/>
            <w:hideMark/>
          </w:tcPr>
          <w:p w14:paraId="7BA1F10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Puente Negro 220-&gt;Colbun 220</w:t>
            </w:r>
          </w:p>
        </w:tc>
        <w:tc>
          <w:tcPr>
            <w:tcW w:w="2552" w:type="dxa"/>
            <w:tcBorders>
              <w:top w:val="nil"/>
              <w:left w:val="nil"/>
              <w:bottom w:val="single" w:sz="4" w:space="0" w:color="auto"/>
              <w:right w:val="single" w:sz="4" w:space="0" w:color="auto"/>
            </w:tcBorders>
            <w:shd w:val="clear" w:color="auto" w:fill="auto"/>
            <w:noWrap/>
            <w:hideMark/>
          </w:tcPr>
          <w:p w14:paraId="0EA8350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75.374.698</w:t>
            </w:r>
          </w:p>
        </w:tc>
      </w:tr>
      <w:tr w:rsidR="003E19A2" w:rsidRPr="00A81CB8" w14:paraId="2CEE23F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08F39A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N_114</w:t>
            </w:r>
          </w:p>
        </w:tc>
        <w:tc>
          <w:tcPr>
            <w:tcW w:w="3969" w:type="dxa"/>
            <w:tcBorders>
              <w:top w:val="nil"/>
              <w:left w:val="nil"/>
              <w:bottom w:val="single" w:sz="4" w:space="0" w:color="auto"/>
              <w:right w:val="single" w:sz="4" w:space="0" w:color="auto"/>
            </w:tcBorders>
            <w:shd w:val="clear" w:color="auto" w:fill="auto"/>
            <w:noWrap/>
            <w:vAlign w:val="center"/>
            <w:hideMark/>
          </w:tcPr>
          <w:p w14:paraId="21A3CDB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Puente Negro 220-&gt;Tinguiririca 220</w:t>
            </w:r>
          </w:p>
        </w:tc>
        <w:tc>
          <w:tcPr>
            <w:tcW w:w="2552" w:type="dxa"/>
            <w:tcBorders>
              <w:top w:val="nil"/>
              <w:left w:val="nil"/>
              <w:bottom w:val="single" w:sz="4" w:space="0" w:color="auto"/>
              <w:right w:val="single" w:sz="4" w:space="0" w:color="auto"/>
            </w:tcBorders>
            <w:shd w:val="clear" w:color="auto" w:fill="auto"/>
            <w:noWrap/>
            <w:hideMark/>
          </w:tcPr>
          <w:p w14:paraId="24174CE8"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399B35C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6E5AF3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N_115</w:t>
            </w:r>
          </w:p>
        </w:tc>
        <w:tc>
          <w:tcPr>
            <w:tcW w:w="3969" w:type="dxa"/>
            <w:tcBorders>
              <w:top w:val="nil"/>
              <w:left w:val="nil"/>
              <w:bottom w:val="single" w:sz="4" w:space="0" w:color="auto"/>
              <w:right w:val="single" w:sz="4" w:space="0" w:color="auto"/>
            </w:tcBorders>
            <w:shd w:val="clear" w:color="auto" w:fill="auto"/>
            <w:noWrap/>
            <w:vAlign w:val="center"/>
            <w:hideMark/>
          </w:tcPr>
          <w:p w14:paraId="747FA29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Puerto Montt 220-&gt;Llanquihue 220</w:t>
            </w:r>
          </w:p>
        </w:tc>
        <w:tc>
          <w:tcPr>
            <w:tcW w:w="2552" w:type="dxa"/>
            <w:tcBorders>
              <w:top w:val="nil"/>
              <w:left w:val="nil"/>
              <w:bottom w:val="single" w:sz="4" w:space="0" w:color="auto"/>
              <w:right w:val="single" w:sz="4" w:space="0" w:color="auto"/>
            </w:tcBorders>
            <w:shd w:val="clear" w:color="auto" w:fill="auto"/>
            <w:noWrap/>
            <w:hideMark/>
          </w:tcPr>
          <w:p w14:paraId="5F8CDA2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3.912.567</w:t>
            </w:r>
          </w:p>
        </w:tc>
      </w:tr>
      <w:tr w:rsidR="003E19A2" w:rsidRPr="00A81CB8" w14:paraId="7B44C5C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26B2B6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N_116</w:t>
            </w:r>
          </w:p>
        </w:tc>
        <w:tc>
          <w:tcPr>
            <w:tcW w:w="3969" w:type="dxa"/>
            <w:tcBorders>
              <w:top w:val="nil"/>
              <w:left w:val="nil"/>
              <w:bottom w:val="single" w:sz="4" w:space="0" w:color="auto"/>
              <w:right w:val="single" w:sz="4" w:space="0" w:color="auto"/>
            </w:tcBorders>
            <w:shd w:val="clear" w:color="auto" w:fill="auto"/>
            <w:noWrap/>
            <w:vAlign w:val="center"/>
            <w:hideMark/>
          </w:tcPr>
          <w:p w14:paraId="346CB78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Punta Sierra 220-&gt;La Cebada 220</w:t>
            </w:r>
          </w:p>
        </w:tc>
        <w:tc>
          <w:tcPr>
            <w:tcW w:w="2552" w:type="dxa"/>
            <w:tcBorders>
              <w:top w:val="nil"/>
              <w:left w:val="nil"/>
              <w:bottom w:val="single" w:sz="4" w:space="0" w:color="auto"/>
              <w:right w:val="single" w:sz="4" w:space="0" w:color="auto"/>
            </w:tcBorders>
            <w:shd w:val="clear" w:color="auto" w:fill="auto"/>
            <w:noWrap/>
            <w:hideMark/>
          </w:tcPr>
          <w:p w14:paraId="49CA91B6"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3.615.138</w:t>
            </w:r>
          </w:p>
        </w:tc>
      </w:tr>
      <w:tr w:rsidR="003E19A2" w:rsidRPr="00A81CB8" w14:paraId="6352461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863B11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N_117</w:t>
            </w:r>
          </w:p>
        </w:tc>
        <w:tc>
          <w:tcPr>
            <w:tcW w:w="3969" w:type="dxa"/>
            <w:tcBorders>
              <w:top w:val="nil"/>
              <w:left w:val="nil"/>
              <w:bottom w:val="single" w:sz="4" w:space="0" w:color="auto"/>
              <w:right w:val="single" w:sz="4" w:space="0" w:color="auto"/>
            </w:tcBorders>
            <w:shd w:val="clear" w:color="auto" w:fill="auto"/>
            <w:noWrap/>
            <w:vAlign w:val="center"/>
            <w:hideMark/>
          </w:tcPr>
          <w:p w14:paraId="438DA4E2"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Punta Sierra 220-&gt;Las Palmas 220</w:t>
            </w:r>
          </w:p>
        </w:tc>
        <w:tc>
          <w:tcPr>
            <w:tcW w:w="2552" w:type="dxa"/>
            <w:tcBorders>
              <w:top w:val="nil"/>
              <w:left w:val="nil"/>
              <w:bottom w:val="single" w:sz="4" w:space="0" w:color="auto"/>
              <w:right w:val="single" w:sz="4" w:space="0" w:color="auto"/>
            </w:tcBorders>
            <w:shd w:val="clear" w:color="auto" w:fill="auto"/>
            <w:noWrap/>
            <w:hideMark/>
          </w:tcPr>
          <w:p w14:paraId="2BFB50A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6.033.067</w:t>
            </w:r>
          </w:p>
        </w:tc>
      </w:tr>
      <w:tr w:rsidR="003E19A2" w:rsidRPr="00A81CB8" w14:paraId="40BEB63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657293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N_118</w:t>
            </w:r>
          </w:p>
        </w:tc>
        <w:tc>
          <w:tcPr>
            <w:tcW w:w="3969" w:type="dxa"/>
            <w:tcBorders>
              <w:top w:val="nil"/>
              <w:left w:val="nil"/>
              <w:bottom w:val="single" w:sz="4" w:space="0" w:color="auto"/>
              <w:right w:val="single" w:sz="4" w:space="0" w:color="auto"/>
            </w:tcBorders>
            <w:shd w:val="clear" w:color="auto" w:fill="auto"/>
            <w:noWrap/>
            <w:vAlign w:val="center"/>
            <w:hideMark/>
          </w:tcPr>
          <w:p w14:paraId="38D4BC1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Quillota 220-&gt;Polpaico 220</w:t>
            </w:r>
          </w:p>
        </w:tc>
        <w:tc>
          <w:tcPr>
            <w:tcW w:w="2552" w:type="dxa"/>
            <w:tcBorders>
              <w:top w:val="nil"/>
              <w:left w:val="nil"/>
              <w:bottom w:val="single" w:sz="4" w:space="0" w:color="auto"/>
              <w:right w:val="single" w:sz="4" w:space="0" w:color="auto"/>
            </w:tcBorders>
            <w:shd w:val="clear" w:color="auto" w:fill="auto"/>
            <w:noWrap/>
            <w:hideMark/>
          </w:tcPr>
          <w:p w14:paraId="544045B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40.934.105</w:t>
            </w:r>
          </w:p>
        </w:tc>
      </w:tr>
      <w:tr w:rsidR="003E19A2" w:rsidRPr="00A81CB8" w14:paraId="111EB32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F618C82"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N_119</w:t>
            </w:r>
          </w:p>
        </w:tc>
        <w:tc>
          <w:tcPr>
            <w:tcW w:w="3969" w:type="dxa"/>
            <w:tcBorders>
              <w:top w:val="nil"/>
              <w:left w:val="nil"/>
              <w:bottom w:val="single" w:sz="4" w:space="0" w:color="auto"/>
              <w:right w:val="single" w:sz="4" w:space="0" w:color="auto"/>
            </w:tcBorders>
            <w:shd w:val="clear" w:color="auto" w:fill="auto"/>
            <w:noWrap/>
            <w:vAlign w:val="center"/>
            <w:hideMark/>
          </w:tcPr>
          <w:p w14:paraId="0C58555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Quillota 220-&gt;San Luis 220</w:t>
            </w:r>
          </w:p>
        </w:tc>
        <w:tc>
          <w:tcPr>
            <w:tcW w:w="2552" w:type="dxa"/>
            <w:tcBorders>
              <w:top w:val="nil"/>
              <w:left w:val="nil"/>
              <w:bottom w:val="single" w:sz="4" w:space="0" w:color="auto"/>
              <w:right w:val="single" w:sz="4" w:space="0" w:color="auto"/>
            </w:tcBorders>
            <w:shd w:val="clear" w:color="auto" w:fill="auto"/>
            <w:noWrap/>
            <w:hideMark/>
          </w:tcPr>
          <w:p w14:paraId="33CE6C5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6.497.537</w:t>
            </w:r>
          </w:p>
        </w:tc>
      </w:tr>
      <w:tr w:rsidR="003E19A2" w:rsidRPr="00A81CB8" w14:paraId="0DC430A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1CC84F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N_120</w:t>
            </w:r>
          </w:p>
        </w:tc>
        <w:tc>
          <w:tcPr>
            <w:tcW w:w="3969" w:type="dxa"/>
            <w:tcBorders>
              <w:top w:val="nil"/>
              <w:left w:val="nil"/>
              <w:bottom w:val="single" w:sz="4" w:space="0" w:color="auto"/>
              <w:right w:val="single" w:sz="4" w:space="0" w:color="auto"/>
            </w:tcBorders>
            <w:shd w:val="clear" w:color="auto" w:fill="auto"/>
            <w:noWrap/>
            <w:vAlign w:val="center"/>
            <w:hideMark/>
          </w:tcPr>
          <w:p w14:paraId="7E15B35F"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Rahue 220-&gt;Frutillar Norte 220</w:t>
            </w:r>
          </w:p>
        </w:tc>
        <w:tc>
          <w:tcPr>
            <w:tcW w:w="2552" w:type="dxa"/>
            <w:tcBorders>
              <w:top w:val="nil"/>
              <w:left w:val="nil"/>
              <w:bottom w:val="single" w:sz="4" w:space="0" w:color="auto"/>
              <w:right w:val="single" w:sz="4" w:space="0" w:color="auto"/>
            </w:tcBorders>
            <w:shd w:val="clear" w:color="auto" w:fill="auto"/>
            <w:noWrap/>
            <w:hideMark/>
          </w:tcPr>
          <w:p w14:paraId="218F33D5"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13.984.933</w:t>
            </w:r>
          </w:p>
        </w:tc>
      </w:tr>
      <w:tr w:rsidR="003E19A2" w:rsidRPr="00A81CB8" w14:paraId="340B78A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A8B019C"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N_121</w:t>
            </w:r>
          </w:p>
        </w:tc>
        <w:tc>
          <w:tcPr>
            <w:tcW w:w="3969" w:type="dxa"/>
            <w:tcBorders>
              <w:top w:val="nil"/>
              <w:left w:val="nil"/>
              <w:bottom w:val="single" w:sz="4" w:space="0" w:color="auto"/>
              <w:right w:val="single" w:sz="4" w:space="0" w:color="auto"/>
            </w:tcBorders>
            <w:shd w:val="clear" w:color="auto" w:fill="auto"/>
            <w:noWrap/>
            <w:vAlign w:val="center"/>
            <w:hideMark/>
          </w:tcPr>
          <w:p w14:paraId="01C9851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Rahue 220-&gt;Nueva Pichirropulli 220</w:t>
            </w:r>
          </w:p>
        </w:tc>
        <w:tc>
          <w:tcPr>
            <w:tcW w:w="2552" w:type="dxa"/>
            <w:tcBorders>
              <w:top w:val="nil"/>
              <w:left w:val="nil"/>
              <w:bottom w:val="single" w:sz="4" w:space="0" w:color="auto"/>
              <w:right w:val="single" w:sz="4" w:space="0" w:color="auto"/>
            </w:tcBorders>
            <w:shd w:val="clear" w:color="auto" w:fill="auto"/>
            <w:noWrap/>
            <w:hideMark/>
          </w:tcPr>
          <w:p w14:paraId="2B032E1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13.152.542</w:t>
            </w:r>
          </w:p>
        </w:tc>
      </w:tr>
      <w:tr w:rsidR="003E19A2" w:rsidRPr="00A81CB8" w14:paraId="6D3FCC4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1F8E4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N_122</w:t>
            </w:r>
          </w:p>
        </w:tc>
        <w:tc>
          <w:tcPr>
            <w:tcW w:w="3969" w:type="dxa"/>
            <w:tcBorders>
              <w:top w:val="nil"/>
              <w:left w:val="nil"/>
              <w:bottom w:val="single" w:sz="4" w:space="0" w:color="auto"/>
              <w:right w:val="single" w:sz="4" w:space="0" w:color="auto"/>
            </w:tcBorders>
            <w:shd w:val="clear" w:color="auto" w:fill="auto"/>
            <w:noWrap/>
            <w:vAlign w:val="center"/>
            <w:hideMark/>
          </w:tcPr>
          <w:p w14:paraId="50A2392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Rio Malleco 220-&gt;Cautin 220</w:t>
            </w:r>
          </w:p>
        </w:tc>
        <w:tc>
          <w:tcPr>
            <w:tcW w:w="2552" w:type="dxa"/>
            <w:tcBorders>
              <w:top w:val="nil"/>
              <w:left w:val="nil"/>
              <w:bottom w:val="single" w:sz="4" w:space="0" w:color="auto"/>
              <w:right w:val="single" w:sz="4" w:space="0" w:color="auto"/>
            </w:tcBorders>
            <w:shd w:val="clear" w:color="auto" w:fill="auto"/>
            <w:noWrap/>
            <w:hideMark/>
          </w:tcPr>
          <w:p w14:paraId="7A781EB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5B3FAAB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38D2380"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N_123</w:t>
            </w:r>
          </w:p>
        </w:tc>
        <w:tc>
          <w:tcPr>
            <w:tcW w:w="3969" w:type="dxa"/>
            <w:tcBorders>
              <w:top w:val="nil"/>
              <w:left w:val="nil"/>
              <w:bottom w:val="single" w:sz="4" w:space="0" w:color="auto"/>
              <w:right w:val="single" w:sz="4" w:space="0" w:color="auto"/>
            </w:tcBorders>
            <w:shd w:val="clear" w:color="auto" w:fill="auto"/>
            <w:noWrap/>
            <w:vAlign w:val="center"/>
            <w:hideMark/>
          </w:tcPr>
          <w:p w14:paraId="1897BFA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Rio Tolten 220-&gt;Lastarria 220</w:t>
            </w:r>
          </w:p>
        </w:tc>
        <w:tc>
          <w:tcPr>
            <w:tcW w:w="2552" w:type="dxa"/>
            <w:tcBorders>
              <w:top w:val="nil"/>
              <w:left w:val="nil"/>
              <w:bottom w:val="single" w:sz="4" w:space="0" w:color="auto"/>
              <w:right w:val="single" w:sz="4" w:space="0" w:color="auto"/>
            </w:tcBorders>
            <w:shd w:val="clear" w:color="auto" w:fill="auto"/>
            <w:noWrap/>
            <w:hideMark/>
          </w:tcPr>
          <w:p w14:paraId="109FBDC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11.553.202</w:t>
            </w:r>
          </w:p>
        </w:tc>
      </w:tr>
      <w:tr w:rsidR="003E19A2" w:rsidRPr="00A81CB8" w14:paraId="06A1685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486311D"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N_124</w:t>
            </w:r>
          </w:p>
        </w:tc>
        <w:tc>
          <w:tcPr>
            <w:tcW w:w="3969" w:type="dxa"/>
            <w:tcBorders>
              <w:top w:val="nil"/>
              <w:left w:val="nil"/>
              <w:bottom w:val="single" w:sz="4" w:space="0" w:color="auto"/>
              <w:right w:val="single" w:sz="4" w:space="0" w:color="auto"/>
            </w:tcBorders>
            <w:shd w:val="clear" w:color="auto" w:fill="auto"/>
            <w:noWrap/>
            <w:vAlign w:val="center"/>
            <w:hideMark/>
          </w:tcPr>
          <w:p w14:paraId="1B16E33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Rio Tolten 220-&gt;Metrenco 220</w:t>
            </w:r>
          </w:p>
        </w:tc>
        <w:tc>
          <w:tcPr>
            <w:tcW w:w="2552" w:type="dxa"/>
            <w:tcBorders>
              <w:top w:val="nil"/>
              <w:left w:val="nil"/>
              <w:bottom w:val="single" w:sz="4" w:space="0" w:color="auto"/>
              <w:right w:val="single" w:sz="4" w:space="0" w:color="auto"/>
            </w:tcBorders>
            <w:shd w:val="clear" w:color="auto" w:fill="auto"/>
            <w:noWrap/>
            <w:hideMark/>
          </w:tcPr>
          <w:p w14:paraId="5817082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5.135.627</w:t>
            </w:r>
          </w:p>
        </w:tc>
      </w:tr>
      <w:tr w:rsidR="003E19A2" w:rsidRPr="00A81CB8" w14:paraId="66F89E6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2D6C3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N_125</w:t>
            </w:r>
          </w:p>
        </w:tc>
        <w:tc>
          <w:tcPr>
            <w:tcW w:w="3969" w:type="dxa"/>
            <w:tcBorders>
              <w:top w:val="nil"/>
              <w:left w:val="nil"/>
              <w:bottom w:val="single" w:sz="4" w:space="0" w:color="auto"/>
              <w:right w:val="single" w:sz="4" w:space="0" w:color="auto"/>
            </w:tcBorders>
            <w:shd w:val="clear" w:color="auto" w:fill="auto"/>
            <w:noWrap/>
            <w:vAlign w:val="center"/>
            <w:hideMark/>
          </w:tcPr>
          <w:p w14:paraId="5E9E195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 San Andres 220-&gt;Cardones 220</w:t>
            </w:r>
          </w:p>
        </w:tc>
        <w:tc>
          <w:tcPr>
            <w:tcW w:w="2552" w:type="dxa"/>
            <w:tcBorders>
              <w:top w:val="nil"/>
              <w:left w:val="nil"/>
              <w:bottom w:val="single" w:sz="4" w:space="0" w:color="auto"/>
              <w:right w:val="single" w:sz="4" w:space="0" w:color="auto"/>
            </w:tcBorders>
            <w:shd w:val="clear" w:color="auto" w:fill="auto"/>
            <w:noWrap/>
            <w:hideMark/>
          </w:tcPr>
          <w:p w14:paraId="723E9C2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10.004.771</w:t>
            </w:r>
          </w:p>
        </w:tc>
      </w:tr>
      <w:tr w:rsidR="003E19A2" w:rsidRPr="00A81CB8" w14:paraId="4A1411F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AE22F3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N_126</w:t>
            </w:r>
          </w:p>
        </w:tc>
        <w:tc>
          <w:tcPr>
            <w:tcW w:w="3969" w:type="dxa"/>
            <w:tcBorders>
              <w:top w:val="nil"/>
              <w:left w:val="nil"/>
              <w:bottom w:val="single" w:sz="4" w:space="0" w:color="auto"/>
              <w:right w:val="single" w:sz="4" w:space="0" w:color="auto"/>
            </w:tcBorders>
            <w:shd w:val="clear" w:color="auto" w:fill="auto"/>
            <w:noWrap/>
            <w:vAlign w:val="center"/>
            <w:hideMark/>
          </w:tcPr>
          <w:p w14:paraId="023AEBC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Salar 220-&gt;Calama Nueva 220</w:t>
            </w:r>
          </w:p>
        </w:tc>
        <w:tc>
          <w:tcPr>
            <w:tcW w:w="2552" w:type="dxa"/>
            <w:tcBorders>
              <w:top w:val="nil"/>
              <w:left w:val="nil"/>
              <w:bottom w:val="single" w:sz="4" w:space="0" w:color="auto"/>
              <w:right w:val="single" w:sz="4" w:space="0" w:color="auto"/>
            </w:tcBorders>
            <w:shd w:val="clear" w:color="auto" w:fill="auto"/>
            <w:noWrap/>
            <w:hideMark/>
          </w:tcPr>
          <w:p w14:paraId="29735F1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7.236.745</w:t>
            </w:r>
          </w:p>
        </w:tc>
      </w:tr>
      <w:tr w:rsidR="003E19A2" w:rsidRPr="00A81CB8" w14:paraId="4872386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F01C69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N_127</w:t>
            </w:r>
          </w:p>
        </w:tc>
        <w:tc>
          <w:tcPr>
            <w:tcW w:w="3969" w:type="dxa"/>
            <w:tcBorders>
              <w:top w:val="nil"/>
              <w:left w:val="nil"/>
              <w:bottom w:val="single" w:sz="4" w:space="0" w:color="auto"/>
              <w:right w:val="single" w:sz="4" w:space="0" w:color="auto"/>
            </w:tcBorders>
            <w:shd w:val="clear" w:color="auto" w:fill="auto"/>
            <w:noWrap/>
            <w:vAlign w:val="center"/>
            <w:hideMark/>
          </w:tcPr>
          <w:p w14:paraId="022D2A03"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Salar 220-&gt;Chuquicamata 220</w:t>
            </w:r>
          </w:p>
        </w:tc>
        <w:tc>
          <w:tcPr>
            <w:tcW w:w="2552" w:type="dxa"/>
            <w:tcBorders>
              <w:top w:val="nil"/>
              <w:left w:val="nil"/>
              <w:bottom w:val="single" w:sz="4" w:space="0" w:color="auto"/>
              <w:right w:val="single" w:sz="4" w:space="0" w:color="auto"/>
            </w:tcBorders>
            <w:shd w:val="clear" w:color="auto" w:fill="auto"/>
            <w:noWrap/>
            <w:hideMark/>
          </w:tcPr>
          <w:p w14:paraId="19B178C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8.751.156</w:t>
            </w:r>
          </w:p>
        </w:tc>
      </w:tr>
      <w:tr w:rsidR="003E19A2" w:rsidRPr="00A81CB8" w14:paraId="5DBEE14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EB231B"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N_128</w:t>
            </w:r>
          </w:p>
        </w:tc>
        <w:tc>
          <w:tcPr>
            <w:tcW w:w="3969" w:type="dxa"/>
            <w:tcBorders>
              <w:top w:val="nil"/>
              <w:left w:val="nil"/>
              <w:bottom w:val="single" w:sz="4" w:space="0" w:color="auto"/>
              <w:right w:val="single" w:sz="4" w:space="0" w:color="auto"/>
            </w:tcBorders>
            <w:shd w:val="clear" w:color="auto" w:fill="auto"/>
            <w:noWrap/>
            <w:vAlign w:val="center"/>
            <w:hideMark/>
          </w:tcPr>
          <w:p w14:paraId="37AEB28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Salar 220-&gt;Nueva Chuquicamata 220</w:t>
            </w:r>
          </w:p>
        </w:tc>
        <w:tc>
          <w:tcPr>
            <w:tcW w:w="2552" w:type="dxa"/>
            <w:tcBorders>
              <w:top w:val="nil"/>
              <w:left w:val="nil"/>
              <w:bottom w:val="single" w:sz="4" w:space="0" w:color="auto"/>
              <w:right w:val="single" w:sz="4" w:space="0" w:color="auto"/>
            </w:tcBorders>
            <w:shd w:val="clear" w:color="auto" w:fill="auto"/>
            <w:noWrap/>
            <w:hideMark/>
          </w:tcPr>
          <w:p w14:paraId="4403B837"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7.683.377</w:t>
            </w:r>
          </w:p>
        </w:tc>
      </w:tr>
      <w:tr w:rsidR="003E19A2" w:rsidRPr="00A81CB8" w14:paraId="0913416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ED5760C"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N_129</w:t>
            </w:r>
          </w:p>
        </w:tc>
        <w:tc>
          <w:tcPr>
            <w:tcW w:w="3969" w:type="dxa"/>
            <w:tcBorders>
              <w:top w:val="nil"/>
              <w:left w:val="nil"/>
              <w:bottom w:val="single" w:sz="4" w:space="0" w:color="auto"/>
              <w:right w:val="single" w:sz="4" w:space="0" w:color="auto"/>
            </w:tcBorders>
            <w:shd w:val="clear" w:color="auto" w:fill="auto"/>
            <w:noWrap/>
            <w:vAlign w:val="center"/>
            <w:hideMark/>
          </w:tcPr>
          <w:p w14:paraId="5E1EA3F7"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San Luis 220-&gt;Agua Santa 220</w:t>
            </w:r>
          </w:p>
        </w:tc>
        <w:tc>
          <w:tcPr>
            <w:tcW w:w="2552" w:type="dxa"/>
            <w:tcBorders>
              <w:top w:val="nil"/>
              <w:left w:val="nil"/>
              <w:bottom w:val="single" w:sz="4" w:space="0" w:color="auto"/>
              <w:right w:val="single" w:sz="4" w:space="0" w:color="auto"/>
            </w:tcBorders>
            <w:shd w:val="clear" w:color="auto" w:fill="auto"/>
            <w:noWrap/>
            <w:hideMark/>
          </w:tcPr>
          <w:p w14:paraId="58853370"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24.680.192</w:t>
            </w:r>
          </w:p>
        </w:tc>
      </w:tr>
      <w:tr w:rsidR="003E19A2" w:rsidRPr="00A81CB8" w14:paraId="1D7AE5A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2C1E87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N_130</w:t>
            </w:r>
          </w:p>
        </w:tc>
        <w:tc>
          <w:tcPr>
            <w:tcW w:w="3969" w:type="dxa"/>
            <w:tcBorders>
              <w:top w:val="nil"/>
              <w:left w:val="nil"/>
              <w:bottom w:val="single" w:sz="4" w:space="0" w:color="auto"/>
              <w:right w:val="single" w:sz="4" w:space="0" w:color="auto"/>
            </w:tcBorders>
            <w:shd w:val="clear" w:color="auto" w:fill="auto"/>
            <w:noWrap/>
            <w:vAlign w:val="center"/>
            <w:hideMark/>
          </w:tcPr>
          <w:p w14:paraId="23FFC5F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San Simon 220-&gt;Nueva Victoria 220</w:t>
            </w:r>
          </w:p>
        </w:tc>
        <w:tc>
          <w:tcPr>
            <w:tcW w:w="2552" w:type="dxa"/>
            <w:tcBorders>
              <w:top w:val="nil"/>
              <w:left w:val="nil"/>
              <w:bottom w:val="single" w:sz="4" w:space="0" w:color="auto"/>
              <w:right w:val="single" w:sz="4" w:space="0" w:color="auto"/>
            </w:tcBorders>
            <w:shd w:val="clear" w:color="auto" w:fill="auto"/>
            <w:noWrap/>
            <w:hideMark/>
          </w:tcPr>
          <w:p w14:paraId="265B73E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4.068.904</w:t>
            </w:r>
          </w:p>
        </w:tc>
      </w:tr>
      <w:tr w:rsidR="003E19A2" w:rsidRPr="00A81CB8" w14:paraId="72D323D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EC7EA2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N_131</w:t>
            </w:r>
          </w:p>
        </w:tc>
        <w:tc>
          <w:tcPr>
            <w:tcW w:w="3969" w:type="dxa"/>
            <w:tcBorders>
              <w:top w:val="nil"/>
              <w:left w:val="nil"/>
              <w:bottom w:val="single" w:sz="4" w:space="0" w:color="auto"/>
              <w:right w:val="single" w:sz="4" w:space="0" w:color="auto"/>
            </w:tcBorders>
            <w:shd w:val="clear" w:color="auto" w:fill="auto"/>
            <w:noWrap/>
            <w:vAlign w:val="center"/>
            <w:hideMark/>
          </w:tcPr>
          <w:p w14:paraId="266E37B4"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San Simon 220-&gt;Quillagua 220</w:t>
            </w:r>
          </w:p>
        </w:tc>
        <w:tc>
          <w:tcPr>
            <w:tcW w:w="2552" w:type="dxa"/>
            <w:tcBorders>
              <w:top w:val="nil"/>
              <w:left w:val="nil"/>
              <w:bottom w:val="single" w:sz="4" w:space="0" w:color="auto"/>
              <w:right w:val="single" w:sz="4" w:space="0" w:color="auto"/>
            </w:tcBorders>
            <w:shd w:val="clear" w:color="auto" w:fill="auto"/>
            <w:noWrap/>
            <w:hideMark/>
          </w:tcPr>
          <w:p w14:paraId="6D5BB8F3"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14.796.626</w:t>
            </w:r>
          </w:p>
        </w:tc>
      </w:tr>
      <w:tr w:rsidR="003E19A2" w:rsidRPr="00A81CB8" w14:paraId="5154067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9128F6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N_132</w:t>
            </w:r>
          </w:p>
        </w:tc>
        <w:tc>
          <w:tcPr>
            <w:tcW w:w="3969" w:type="dxa"/>
            <w:tcBorders>
              <w:top w:val="nil"/>
              <w:left w:val="nil"/>
              <w:bottom w:val="single" w:sz="4" w:space="0" w:color="auto"/>
              <w:right w:val="single" w:sz="4" w:space="0" w:color="auto"/>
            </w:tcBorders>
            <w:shd w:val="clear" w:color="auto" w:fill="auto"/>
            <w:noWrap/>
            <w:vAlign w:val="center"/>
            <w:hideMark/>
          </w:tcPr>
          <w:p w14:paraId="481420F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El Manzano 220-&gt;Tap Chicureo 220</w:t>
            </w:r>
          </w:p>
        </w:tc>
        <w:tc>
          <w:tcPr>
            <w:tcW w:w="2552" w:type="dxa"/>
            <w:tcBorders>
              <w:top w:val="nil"/>
              <w:left w:val="nil"/>
              <w:bottom w:val="single" w:sz="4" w:space="0" w:color="auto"/>
              <w:right w:val="single" w:sz="4" w:space="0" w:color="auto"/>
            </w:tcBorders>
            <w:shd w:val="clear" w:color="auto" w:fill="auto"/>
            <w:noWrap/>
            <w:hideMark/>
          </w:tcPr>
          <w:p w14:paraId="474230B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26.007.364</w:t>
            </w:r>
          </w:p>
        </w:tc>
      </w:tr>
      <w:tr w:rsidR="003E19A2" w:rsidRPr="00A81CB8" w14:paraId="0B8B527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F89EF16"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N_133</w:t>
            </w:r>
          </w:p>
        </w:tc>
        <w:tc>
          <w:tcPr>
            <w:tcW w:w="3969" w:type="dxa"/>
            <w:tcBorders>
              <w:top w:val="nil"/>
              <w:left w:val="nil"/>
              <w:bottom w:val="single" w:sz="4" w:space="0" w:color="auto"/>
              <w:right w:val="single" w:sz="4" w:space="0" w:color="auto"/>
            </w:tcBorders>
            <w:shd w:val="clear" w:color="auto" w:fill="auto"/>
            <w:noWrap/>
            <w:vAlign w:val="center"/>
            <w:hideMark/>
          </w:tcPr>
          <w:p w14:paraId="09A5D445"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El Romero 220-&gt;Don Hector 220</w:t>
            </w:r>
          </w:p>
        </w:tc>
        <w:tc>
          <w:tcPr>
            <w:tcW w:w="2552" w:type="dxa"/>
            <w:tcBorders>
              <w:top w:val="nil"/>
              <w:left w:val="nil"/>
              <w:bottom w:val="single" w:sz="4" w:space="0" w:color="auto"/>
              <w:right w:val="single" w:sz="4" w:space="0" w:color="auto"/>
            </w:tcBorders>
            <w:shd w:val="clear" w:color="auto" w:fill="auto"/>
            <w:noWrap/>
            <w:hideMark/>
          </w:tcPr>
          <w:p w14:paraId="39CD142A"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990.684</w:t>
            </w:r>
          </w:p>
        </w:tc>
      </w:tr>
      <w:tr w:rsidR="003E19A2" w:rsidRPr="00A81CB8" w14:paraId="5A52F98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AE79CCF"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N_134</w:t>
            </w:r>
          </w:p>
        </w:tc>
        <w:tc>
          <w:tcPr>
            <w:tcW w:w="3969" w:type="dxa"/>
            <w:tcBorders>
              <w:top w:val="nil"/>
              <w:left w:val="nil"/>
              <w:bottom w:val="single" w:sz="4" w:space="0" w:color="auto"/>
              <w:right w:val="single" w:sz="4" w:space="0" w:color="auto"/>
            </w:tcBorders>
            <w:shd w:val="clear" w:color="auto" w:fill="auto"/>
            <w:noWrap/>
            <w:vAlign w:val="center"/>
            <w:hideMark/>
          </w:tcPr>
          <w:p w14:paraId="22779B86" w14:textId="77777777" w:rsidR="003E19A2" w:rsidRPr="00A81CB8" w:rsidRDefault="003E19A2" w:rsidP="00725CE1">
            <w:pPr>
              <w:spacing w:before="20" w:after="20" w:line="240" w:lineRule="auto"/>
              <w:jc w:val="left"/>
              <w:rPr>
                <w:rFonts w:eastAsia="Times New Roman" w:cs="Calibri"/>
                <w:color w:val="000000"/>
                <w:sz w:val="20"/>
                <w:szCs w:val="20"/>
                <w:lang w:val="en-US" w:eastAsia="es-CL"/>
              </w:rPr>
            </w:pPr>
            <w:r w:rsidRPr="00A81CB8">
              <w:rPr>
                <w:rFonts w:eastAsia="Times New Roman" w:cs="Calibri"/>
                <w:color w:val="000000"/>
                <w:sz w:val="20"/>
                <w:szCs w:val="20"/>
                <w:lang w:val="en-US" w:eastAsia="es-CL"/>
              </w:rPr>
              <w:t>Tap Off Santa Isabel 220-&gt;Itahue 220</w:t>
            </w:r>
          </w:p>
        </w:tc>
        <w:tc>
          <w:tcPr>
            <w:tcW w:w="2552" w:type="dxa"/>
            <w:tcBorders>
              <w:top w:val="nil"/>
              <w:left w:val="nil"/>
              <w:bottom w:val="single" w:sz="4" w:space="0" w:color="auto"/>
              <w:right w:val="single" w:sz="4" w:space="0" w:color="auto"/>
            </w:tcBorders>
            <w:shd w:val="clear" w:color="auto" w:fill="auto"/>
            <w:noWrap/>
            <w:hideMark/>
          </w:tcPr>
          <w:p w14:paraId="619633ED"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8.186.402</w:t>
            </w:r>
          </w:p>
        </w:tc>
      </w:tr>
      <w:tr w:rsidR="003E19A2" w:rsidRPr="00A81CB8" w14:paraId="6CE5211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C3C194C"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N_135</w:t>
            </w:r>
          </w:p>
        </w:tc>
        <w:tc>
          <w:tcPr>
            <w:tcW w:w="3969" w:type="dxa"/>
            <w:tcBorders>
              <w:top w:val="nil"/>
              <w:left w:val="nil"/>
              <w:bottom w:val="single" w:sz="4" w:space="0" w:color="auto"/>
              <w:right w:val="single" w:sz="4" w:space="0" w:color="auto"/>
            </w:tcBorders>
            <w:shd w:val="clear" w:color="auto" w:fill="auto"/>
            <w:noWrap/>
            <w:vAlign w:val="center"/>
            <w:hideMark/>
          </w:tcPr>
          <w:p w14:paraId="68A33D3E"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Tap off Sierra Gorda Eolico 220-&gt;Centinela 220</w:t>
            </w:r>
          </w:p>
        </w:tc>
        <w:tc>
          <w:tcPr>
            <w:tcW w:w="2552" w:type="dxa"/>
            <w:tcBorders>
              <w:top w:val="nil"/>
              <w:left w:val="nil"/>
              <w:bottom w:val="single" w:sz="4" w:space="0" w:color="auto"/>
              <w:right w:val="single" w:sz="4" w:space="0" w:color="auto"/>
            </w:tcBorders>
            <w:shd w:val="clear" w:color="auto" w:fill="auto"/>
            <w:noWrap/>
            <w:hideMark/>
          </w:tcPr>
          <w:p w14:paraId="59715C0C"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p>
        </w:tc>
      </w:tr>
      <w:tr w:rsidR="003E19A2" w:rsidRPr="00A81CB8" w14:paraId="6ED883A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D340677"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N_136</w:t>
            </w:r>
          </w:p>
        </w:tc>
        <w:tc>
          <w:tcPr>
            <w:tcW w:w="3969" w:type="dxa"/>
            <w:tcBorders>
              <w:top w:val="nil"/>
              <w:left w:val="nil"/>
              <w:bottom w:val="single" w:sz="4" w:space="0" w:color="auto"/>
              <w:right w:val="single" w:sz="4" w:space="0" w:color="auto"/>
            </w:tcBorders>
            <w:shd w:val="clear" w:color="auto" w:fill="auto"/>
            <w:noWrap/>
            <w:vAlign w:val="center"/>
            <w:hideMark/>
          </w:tcPr>
          <w:p w14:paraId="3FE8CE3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Tarapaca 220-&gt;Condores 220</w:t>
            </w:r>
          </w:p>
        </w:tc>
        <w:tc>
          <w:tcPr>
            <w:tcW w:w="2552" w:type="dxa"/>
            <w:tcBorders>
              <w:top w:val="nil"/>
              <w:left w:val="nil"/>
              <w:bottom w:val="single" w:sz="4" w:space="0" w:color="auto"/>
              <w:right w:val="single" w:sz="4" w:space="0" w:color="auto"/>
            </w:tcBorders>
            <w:shd w:val="clear" w:color="auto" w:fill="auto"/>
            <w:noWrap/>
            <w:hideMark/>
          </w:tcPr>
          <w:p w14:paraId="613CA6D1"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15.457.182</w:t>
            </w:r>
          </w:p>
        </w:tc>
      </w:tr>
      <w:tr w:rsidR="003E19A2" w:rsidRPr="00A81CB8" w14:paraId="7A098B3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33F94CF"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N_137</w:t>
            </w:r>
          </w:p>
        </w:tc>
        <w:tc>
          <w:tcPr>
            <w:tcW w:w="3969" w:type="dxa"/>
            <w:tcBorders>
              <w:top w:val="nil"/>
              <w:left w:val="nil"/>
              <w:bottom w:val="single" w:sz="4" w:space="0" w:color="auto"/>
              <w:right w:val="single" w:sz="4" w:space="0" w:color="auto"/>
            </w:tcBorders>
            <w:shd w:val="clear" w:color="auto" w:fill="auto"/>
            <w:noWrap/>
            <w:vAlign w:val="center"/>
            <w:hideMark/>
          </w:tcPr>
          <w:p w14:paraId="393C757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Tarapaca 220-&gt;Lagunas 220</w:t>
            </w:r>
          </w:p>
        </w:tc>
        <w:tc>
          <w:tcPr>
            <w:tcW w:w="2552" w:type="dxa"/>
            <w:tcBorders>
              <w:top w:val="nil"/>
              <w:left w:val="nil"/>
              <w:bottom w:val="single" w:sz="4" w:space="0" w:color="auto"/>
              <w:right w:val="single" w:sz="4" w:space="0" w:color="auto"/>
            </w:tcBorders>
            <w:shd w:val="clear" w:color="auto" w:fill="auto"/>
            <w:noWrap/>
            <w:hideMark/>
          </w:tcPr>
          <w:p w14:paraId="5F73D6EF"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18.977.955</w:t>
            </w:r>
          </w:p>
        </w:tc>
      </w:tr>
      <w:tr w:rsidR="003E19A2" w:rsidRPr="00A81CB8" w14:paraId="4349667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B2E37CF"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N_138</w:t>
            </w:r>
          </w:p>
        </w:tc>
        <w:tc>
          <w:tcPr>
            <w:tcW w:w="3969" w:type="dxa"/>
            <w:tcBorders>
              <w:top w:val="nil"/>
              <w:left w:val="nil"/>
              <w:bottom w:val="single" w:sz="4" w:space="0" w:color="auto"/>
              <w:right w:val="single" w:sz="4" w:space="0" w:color="auto"/>
            </w:tcBorders>
            <w:shd w:val="clear" w:color="auto" w:fill="auto"/>
            <w:noWrap/>
            <w:vAlign w:val="center"/>
            <w:hideMark/>
          </w:tcPr>
          <w:p w14:paraId="171FEC06"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Temuco 220-&gt;Cautin 220</w:t>
            </w:r>
          </w:p>
        </w:tc>
        <w:tc>
          <w:tcPr>
            <w:tcW w:w="2552" w:type="dxa"/>
            <w:tcBorders>
              <w:top w:val="nil"/>
              <w:left w:val="nil"/>
              <w:bottom w:val="single" w:sz="4" w:space="0" w:color="auto"/>
              <w:right w:val="single" w:sz="4" w:space="0" w:color="auto"/>
            </w:tcBorders>
            <w:shd w:val="clear" w:color="auto" w:fill="auto"/>
            <w:noWrap/>
            <w:hideMark/>
          </w:tcPr>
          <w:p w14:paraId="3EAE6444"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3.355.182</w:t>
            </w:r>
          </w:p>
        </w:tc>
      </w:tr>
      <w:tr w:rsidR="003E19A2" w:rsidRPr="00A81CB8" w14:paraId="71C0782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1ED7E75"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N_139</w:t>
            </w:r>
          </w:p>
        </w:tc>
        <w:tc>
          <w:tcPr>
            <w:tcW w:w="3969" w:type="dxa"/>
            <w:tcBorders>
              <w:top w:val="nil"/>
              <w:left w:val="nil"/>
              <w:bottom w:val="single" w:sz="4" w:space="0" w:color="auto"/>
              <w:right w:val="single" w:sz="4" w:space="0" w:color="auto"/>
            </w:tcBorders>
            <w:shd w:val="clear" w:color="auto" w:fill="auto"/>
            <w:noWrap/>
            <w:vAlign w:val="center"/>
            <w:hideMark/>
          </w:tcPr>
          <w:p w14:paraId="3F193F6C"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Temuco 220-&gt;Los Peumos 220</w:t>
            </w:r>
          </w:p>
        </w:tc>
        <w:tc>
          <w:tcPr>
            <w:tcW w:w="2552" w:type="dxa"/>
            <w:tcBorders>
              <w:top w:val="nil"/>
              <w:left w:val="nil"/>
              <w:bottom w:val="single" w:sz="4" w:space="0" w:color="auto"/>
              <w:right w:val="single" w:sz="4" w:space="0" w:color="auto"/>
            </w:tcBorders>
            <w:shd w:val="clear" w:color="auto" w:fill="auto"/>
            <w:noWrap/>
            <w:hideMark/>
          </w:tcPr>
          <w:p w14:paraId="46A2E1E2"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14.831.328</w:t>
            </w:r>
          </w:p>
        </w:tc>
      </w:tr>
      <w:tr w:rsidR="003E19A2" w:rsidRPr="00A81CB8" w14:paraId="276E351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FCEADA8" w14:textId="77777777" w:rsidR="003E19A2" w:rsidRPr="00A81CB8" w:rsidRDefault="003E19A2" w:rsidP="00725CE1">
            <w:pPr>
              <w:spacing w:before="20" w:after="20" w:line="240" w:lineRule="auto"/>
              <w:ind w:firstLineChars="100" w:firstLine="200"/>
              <w:jc w:val="left"/>
              <w:rPr>
                <w:rFonts w:eastAsia="Times New Roman" w:cs="Calibri"/>
                <w:color w:val="000000"/>
                <w:sz w:val="20"/>
                <w:szCs w:val="20"/>
                <w:lang w:eastAsia="es-CL"/>
              </w:rPr>
            </w:pPr>
            <w:r w:rsidRPr="00A81CB8">
              <w:rPr>
                <w:rFonts w:eastAsia="Times New Roman" w:cs="Calibri"/>
                <w:color w:val="000000"/>
                <w:sz w:val="20"/>
                <w:szCs w:val="20"/>
                <w:lang w:eastAsia="es-CL"/>
              </w:rPr>
              <w:t>N_140</w:t>
            </w:r>
          </w:p>
        </w:tc>
        <w:tc>
          <w:tcPr>
            <w:tcW w:w="3969" w:type="dxa"/>
            <w:tcBorders>
              <w:top w:val="nil"/>
              <w:left w:val="nil"/>
              <w:bottom w:val="single" w:sz="4" w:space="0" w:color="auto"/>
              <w:right w:val="single" w:sz="4" w:space="0" w:color="auto"/>
            </w:tcBorders>
            <w:shd w:val="clear" w:color="auto" w:fill="auto"/>
            <w:noWrap/>
            <w:vAlign w:val="center"/>
            <w:hideMark/>
          </w:tcPr>
          <w:p w14:paraId="36E91479" w14:textId="77777777" w:rsidR="003E19A2" w:rsidRPr="00A81CB8" w:rsidRDefault="003E19A2" w:rsidP="00725CE1">
            <w:pPr>
              <w:spacing w:before="20" w:after="20" w:line="240" w:lineRule="auto"/>
              <w:jc w:val="left"/>
              <w:rPr>
                <w:rFonts w:eastAsia="Times New Roman" w:cs="Calibri"/>
                <w:color w:val="000000"/>
                <w:sz w:val="20"/>
                <w:szCs w:val="20"/>
                <w:lang w:eastAsia="es-CL"/>
              </w:rPr>
            </w:pPr>
            <w:r w:rsidRPr="00A81CB8">
              <w:rPr>
                <w:rFonts w:eastAsia="Times New Roman" w:cs="Calibri"/>
                <w:color w:val="000000"/>
                <w:sz w:val="20"/>
                <w:szCs w:val="20"/>
                <w:lang w:eastAsia="es-CL"/>
              </w:rPr>
              <w:t>Valdivia 220-&gt;Nueva Valdivia 220</w:t>
            </w:r>
          </w:p>
        </w:tc>
        <w:tc>
          <w:tcPr>
            <w:tcW w:w="2552" w:type="dxa"/>
            <w:tcBorders>
              <w:top w:val="nil"/>
              <w:left w:val="nil"/>
              <w:bottom w:val="single" w:sz="4" w:space="0" w:color="auto"/>
              <w:right w:val="single" w:sz="4" w:space="0" w:color="auto"/>
            </w:tcBorders>
            <w:shd w:val="clear" w:color="auto" w:fill="auto"/>
            <w:noWrap/>
            <w:hideMark/>
          </w:tcPr>
          <w:p w14:paraId="26C324F9" w14:textId="77777777" w:rsidR="003E19A2" w:rsidRPr="00A81CB8" w:rsidRDefault="003E19A2" w:rsidP="00725CE1">
            <w:pPr>
              <w:spacing w:before="20" w:after="20" w:line="240" w:lineRule="auto"/>
              <w:jc w:val="right"/>
              <w:rPr>
                <w:rFonts w:eastAsia="Times New Roman" w:cs="Calibri"/>
                <w:color w:val="000000"/>
                <w:sz w:val="20"/>
                <w:szCs w:val="20"/>
                <w:lang w:eastAsia="es-CL"/>
              </w:rPr>
            </w:pPr>
            <w:r w:rsidRPr="00A81CB8">
              <w:rPr>
                <w:rFonts w:cs="Calibri"/>
                <w:sz w:val="20"/>
                <w:szCs w:val="20"/>
              </w:rPr>
              <w:t>3.214.433</w:t>
            </w:r>
          </w:p>
        </w:tc>
      </w:tr>
      <w:tr w:rsidR="003E19A2" w:rsidRPr="00A81CB8" w14:paraId="0C9E445D" w14:textId="77777777" w:rsidTr="00725CE1">
        <w:trPr>
          <w:jc w:val="center"/>
        </w:trPr>
        <w:tc>
          <w:tcPr>
            <w:tcW w:w="1985" w:type="dxa"/>
            <w:tcBorders>
              <w:top w:val="nil"/>
              <w:left w:val="nil"/>
              <w:bottom w:val="nil"/>
              <w:right w:val="nil"/>
            </w:tcBorders>
            <w:shd w:val="clear" w:color="auto" w:fill="auto"/>
            <w:noWrap/>
            <w:vAlign w:val="center"/>
            <w:hideMark/>
          </w:tcPr>
          <w:p w14:paraId="49F72B30" w14:textId="77777777" w:rsidR="003E19A2" w:rsidRPr="00A81CB8" w:rsidRDefault="003E19A2" w:rsidP="00725CE1">
            <w:pPr>
              <w:spacing w:before="20" w:after="20" w:line="240" w:lineRule="auto"/>
              <w:jc w:val="left"/>
              <w:rPr>
                <w:rFonts w:eastAsia="Times New Roman" w:cs="Calibri"/>
                <w:color w:val="000000"/>
                <w:sz w:val="20"/>
                <w:szCs w:val="20"/>
                <w:lang w:eastAsia="es-CL"/>
              </w:rPr>
            </w:pP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2A40B1FF" w14:textId="77777777" w:rsidR="003E19A2" w:rsidRPr="00A81CB8" w:rsidRDefault="003E19A2" w:rsidP="00725CE1">
            <w:pPr>
              <w:spacing w:before="20" w:after="20" w:line="240" w:lineRule="auto"/>
              <w:jc w:val="left"/>
              <w:rPr>
                <w:rFonts w:eastAsia="Times New Roman" w:cs="Calibri"/>
                <w:b/>
                <w:bCs/>
                <w:color w:val="000000"/>
                <w:sz w:val="20"/>
                <w:szCs w:val="20"/>
                <w:lang w:eastAsia="es-CL"/>
              </w:rPr>
            </w:pPr>
            <w:r w:rsidRPr="00A81CB8">
              <w:rPr>
                <w:rFonts w:eastAsia="Times New Roman" w:cs="Calibri"/>
                <w:b/>
                <w:bCs/>
                <w:color w:val="000000"/>
                <w:sz w:val="20"/>
                <w:szCs w:val="20"/>
                <w:lang w:eastAsia="es-CL"/>
              </w:rPr>
              <w:t>TOTAL</w:t>
            </w:r>
          </w:p>
        </w:tc>
        <w:tc>
          <w:tcPr>
            <w:tcW w:w="2552" w:type="dxa"/>
            <w:tcBorders>
              <w:top w:val="nil"/>
              <w:left w:val="nil"/>
              <w:bottom w:val="single" w:sz="4" w:space="0" w:color="auto"/>
              <w:right w:val="single" w:sz="4" w:space="0" w:color="auto"/>
            </w:tcBorders>
            <w:shd w:val="clear" w:color="auto" w:fill="auto"/>
            <w:noWrap/>
            <w:hideMark/>
          </w:tcPr>
          <w:p w14:paraId="0EF94A26" w14:textId="77777777" w:rsidR="003E19A2" w:rsidRPr="00A81CB8" w:rsidRDefault="003E19A2" w:rsidP="00725CE1">
            <w:pPr>
              <w:spacing w:before="20" w:after="20" w:line="240" w:lineRule="auto"/>
              <w:jc w:val="right"/>
              <w:rPr>
                <w:rFonts w:eastAsia="Times New Roman" w:cs="Calibri"/>
                <w:b/>
                <w:bCs/>
                <w:color w:val="000000"/>
                <w:sz w:val="20"/>
                <w:szCs w:val="20"/>
                <w:lang w:eastAsia="es-CL"/>
              </w:rPr>
            </w:pPr>
            <w:r w:rsidRPr="00A81CB8">
              <w:rPr>
                <w:rFonts w:cs="Calibri"/>
                <w:sz w:val="20"/>
                <w:szCs w:val="20"/>
              </w:rPr>
              <w:t>2.736.517.804</w:t>
            </w:r>
          </w:p>
        </w:tc>
      </w:tr>
    </w:tbl>
    <w:p w14:paraId="2EB14BE0" w14:textId="77777777" w:rsidR="003E19A2" w:rsidRDefault="003E19A2" w:rsidP="003E19A2">
      <w:pPr>
        <w:spacing w:after="0" w:line="240" w:lineRule="auto"/>
        <w:rPr>
          <w:rFonts w:ascii="Arial Narrow" w:eastAsia="Times New Roman" w:hAnsi="Arial Narrow"/>
          <w:b/>
          <w:bCs/>
          <w:color w:val="000000"/>
          <w:sz w:val="20"/>
          <w:szCs w:val="20"/>
          <w:lang w:eastAsia="es-CL"/>
        </w:rPr>
      </w:pPr>
    </w:p>
    <w:p w14:paraId="0F25AA8F" w14:textId="77777777" w:rsidR="003E19A2" w:rsidRDefault="003E19A2" w:rsidP="003E19A2"/>
    <w:p w14:paraId="12FDD55B" w14:textId="77777777" w:rsidR="003E19A2" w:rsidRDefault="003E19A2" w:rsidP="003E19A2"/>
    <w:p w14:paraId="1653C869" w14:textId="77777777" w:rsidR="003E19A2" w:rsidRDefault="003E19A2" w:rsidP="003E19A2">
      <w:pPr>
        <w:sectPr w:rsidR="003E19A2" w:rsidSect="00F04B20">
          <w:pgSz w:w="12242" w:h="15842" w:code="1"/>
          <w:pgMar w:top="1134" w:right="1418" w:bottom="1134" w:left="1134" w:header="851" w:footer="1134" w:gutter="0"/>
          <w:cols w:space="708"/>
          <w:titlePg/>
          <w:docGrid w:linePitch="360"/>
        </w:sectPr>
      </w:pPr>
    </w:p>
    <w:p w14:paraId="5B1134D6" w14:textId="77777777" w:rsidR="003E19A2" w:rsidRDefault="003E19A2" w:rsidP="003E19A2">
      <w:pPr>
        <w:pStyle w:val="Ttulo3"/>
      </w:pPr>
      <w:bookmarkStart w:id="303" w:name="_Toc34640158"/>
      <w:bookmarkStart w:id="304" w:name="_Toc34655182"/>
      <w:bookmarkStart w:id="305" w:name="_Toc34687265"/>
      <w:r w:rsidRPr="00F277BC">
        <w:t xml:space="preserve">Valor de Inversión por </w:t>
      </w:r>
      <w:r>
        <w:t>tramo de subestación y por propietario calificación nacional</w:t>
      </w:r>
      <w:bookmarkEnd w:id="303"/>
      <w:bookmarkEnd w:id="304"/>
      <w:bookmarkEnd w:id="305"/>
    </w:p>
    <w:p w14:paraId="3E24E190" w14:textId="432EA699" w:rsidR="003E19A2" w:rsidRPr="00E1571A" w:rsidRDefault="003E19A2" w:rsidP="003E19A2">
      <w:pPr>
        <w:pStyle w:val="Descripcin"/>
        <w:spacing w:after="120"/>
        <w:jc w:val="center"/>
        <w:rPr>
          <w:b/>
          <w:i w:val="0"/>
          <w:color w:val="auto"/>
          <w:sz w:val="20"/>
          <w:szCs w:val="20"/>
        </w:rPr>
      </w:pPr>
      <w:bookmarkStart w:id="306" w:name="_Toc34640125"/>
      <w:bookmarkStart w:id="307" w:name="_Toc34655193"/>
      <w:r w:rsidRPr="00E1571A">
        <w:rPr>
          <w:b/>
          <w:i w:val="0"/>
          <w:color w:val="auto"/>
          <w:sz w:val="20"/>
          <w:szCs w:val="20"/>
        </w:rPr>
        <w:t xml:space="preserve">Tabla </w:t>
      </w:r>
      <w:r w:rsidRPr="00E1571A">
        <w:rPr>
          <w:b/>
          <w:i w:val="0"/>
          <w:color w:val="auto"/>
          <w:sz w:val="20"/>
          <w:szCs w:val="20"/>
        </w:rPr>
        <w:fldChar w:fldCharType="begin"/>
      </w:r>
      <w:r w:rsidRPr="00E1571A">
        <w:rPr>
          <w:b/>
          <w:i w:val="0"/>
          <w:color w:val="auto"/>
          <w:sz w:val="20"/>
          <w:szCs w:val="20"/>
        </w:rPr>
        <w:instrText xml:space="preserve"> SEQ Tabla \* ARABIC </w:instrText>
      </w:r>
      <w:r w:rsidRPr="00E1571A">
        <w:rPr>
          <w:b/>
          <w:i w:val="0"/>
          <w:color w:val="auto"/>
          <w:sz w:val="20"/>
          <w:szCs w:val="20"/>
        </w:rPr>
        <w:fldChar w:fldCharType="separate"/>
      </w:r>
      <w:r w:rsidR="00F14BED">
        <w:rPr>
          <w:b/>
          <w:i w:val="0"/>
          <w:noProof/>
          <w:color w:val="auto"/>
          <w:sz w:val="20"/>
          <w:szCs w:val="20"/>
        </w:rPr>
        <w:t>10</w:t>
      </w:r>
      <w:r w:rsidRPr="00E1571A">
        <w:rPr>
          <w:b/>
          <w:i w:val="0"/>
          <w:color w:val="auto"/>
          <w:sz w:val="20"/>
          <w:szCs w:val="20"/>
        </w:rPr>
        <w:fldChar w:fldCharType="end"/>
      </w:r>
      <w:r w:rsidRPr="00E1571A">
        <w:rPr>
          <w:b/>
          <w:i w:val="0"/>
          <w:color w:val="auto"/>
          <w:sz w:val="20"/>
          <w:szCs w:val="20"/>
        </w:rPr>
        <w:t>: Valor de Inversión (V.I.) por tramo de subestación y por propietario calificación nacional</w:t>
      </w:r>
      <w:bookmarkEnd w:id="306"/>
      <w:bookmarkEnd w:id="307"/>
    </w:p>
    <w:tbl>
      <w:tblPr>
        <w:tblW w:w="0" w:type="auto"/>
        <w:jc w:val="center"/>
        <w:tblLayout w:type="fixed"/>
        <w:tblCellMar>
          <w:left w:w="57" w:type="dxa"/>
          <w:right w:w="57" w:type="dxa"/>
        </w:tblCellMar>
        <w:tblLook w:val="04A0" w:firstRow="1" w:lastRow="0" w:firstColumn="1" w:lastColumn="0" w:noHBand="0" w:noVBand="1"/>
      </w:tblPr>
      <w:tblGrid>
        <w:gridCol w:w="1985"/>
        <w:gridCol w:w="3969"/>
        <w:gridCol w:w="1077"/>
        <w:gridCol w:w="3969"/>
        <w:gridCol w:w="1967"/>
      </w:tblGrid>
      <w:tr w:rsidR="003E19A2" w:rsidRPr="00A81CB8" w14:paraId="437CB710" w14:textId="77777777" w:rsidTr="00725CE1">
        <w:trPr>
          <w:tblHeader/>
          <w:jc w:val="center"/>
        </w:trPr>
        <w:tc>
          <w:tcPr>
            <w:tcW w:w="198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7EE39C4" w14:textId="77777777" w:rsidR="003E19A2" w:rsidRPr="00A81CB8" w:rsidRDefault="003E19A2" w:rsidP="00725CE1">
            <w:pPr>
              <w:spacing w:before="20" w:after="20" w:line="240" w:lineRule="auto"/>
              <w:jc w:val="center"/>
              <w:rPr>
                <w:rFonts w:asciiTheme="minorHAnsi" w:eastAsia="Times New Roman" w:hAnsiTheme="minorHAnsi" w:cs="Calibri"/>
                <w:b/>
                <w:bCs/>
                <w:color w:val="000000"/>
                <w:sz w:val="20"/>
                <w:szCs w:val="20"/>
                <w:lang w:eastAsia="es-CL"/>
              </w:rPr>
            </w:pPr>
            <w:r w:rsidRPr="00A81CB8">
              <w:rPr>
                <w:rFonts w:asciiTheme="minorHAnsi" w:eastAsia="Times New Roman" w:hAnsiTheme="minorHAnsi" w:cs="Calibri"/>
                <w:b/>
                <w:bCs/>
                <w:color w:val="000000"/>
                <w:sz w:val="20"/>
                <w:szCs w:val="20"/>
                <w:lang w:eastAsia="es-CL"/>
              </w:rPr>
              <w:t>IdCalificacionCodigo</w:t>
            </w:r>
          </w:p>
        </w:tc>
        <w:tc>
          <w:tcPr>
            <w:tcW w:w="39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92ACF9E" w14:textId="77777777" w:rsidR="003E19A2" w:rsidRPr="00A81CB8" w:rsidRDefault="003E19A2" w:rsidP="00725CE1">
            <w:pPr>
              <w:spacing w:before="20" w:after="20" w:line="240" w:lineRule="auto"/>
              <w:jc w:val="center"/>
              <w:rPr>
                <w:rFonts w:asciiTheme="minorHAnsi" w:eastAsia="Times New Roman" w:hAnsiTheme="minorHAnsi" w:cs="Calibri"/>
                <w:b/>
                <w:bCs/>
                <w:color w:val="000000"/>
                <w:sz w:val="20"/>
                <w:szCs w:val="20"/>
                <w:lang w:eastAsia="es-CL"/>
              </w:rPr>
            </w:pPr>
            <w:r w:rsidRPr="00A81CB8">
              <w:rPr>
                <w:rFonts w:asciiTheme="minorHAnsi" w:eastAsia="Times New Roman" w:hAnsiTheme="minorHAnsi" w:cs="Calibri"/>
                <w:b/>
                <w:bCs/>
                <w:color w:val="000000"/>
                <w:sz w:val="20"/>
                <w:szCs w:val="20"/>
                <w:lang w:eastAsia="es-CL"/>
              </w:rPr>
              <w:t>Nombre del Tramo</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A6BE22C" w14:textId="77777777" w:rsidR="003E19A2" w:rsidRPr="00A81CB8" w:rsidRDefault="003E19A2" w:rsidP="00725CE1">
            <w:pPr>
              <w:spacing w:before="20" w:after="20" w:line="240" w:lineRule="auto"/>
              <w:jc w:val="center"/>
              <w:rPr>
                <w:rFonts w:asciiTheme="minorHAnsi" w:eastAsia="Times New Roman" w:hAnsiTheme="minorHAnsi" w:cs="Calibri"/>
                <w:b/>
                <w:bCs/>
                <w:color w:val="000000"/>
                <w:sz w:val="20"/>
                <w:szCs w:val="20"/>
                <w:lang w:eastAsia="es-CL"/>
              </w:rPr>
            </w:pPr>
            <w:r w:rsidRPr="00A81CB8">
              <w:rPr>
                <w:rFonts w:asciiTheme="minorHAnsi" w:eastAsia="Times New Roman" w:hAnsiTheme="minorHAnsi" w:cs="Calibri"/>
                <w:b/>
                <w:bCs/>
                <w:color w:val="000000"/>
                <w:sz w:val="20"/>
                <w:szCs w:val="20"/>
                <w:lang w:eastAsia="es-CL"/>
              </w:rPr>
              <w:t>IdEmpresaPropietaria</w:t>
            </w:r>
          </w:p>
        </w:tc>
        <w:tc>
          <w:tcPr>
            <w:tcW w:w="396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7D0A2E7" w14:textId="77777777" w:rsidR="003E19A2" w:rsidRPr="00A81CB8" w:rsidRDefault="003E19A2" w:rsidP="00725CE1">
            <w:pPr>
              <w:spacing w:before="20" w:after="20" w:line="240" w:lineRule="auto"/>
              <w:jc w:val="center"/>
              <w:rPr>
                <w:rFonts w:asciiTheme="minorHAnsi" w:eastAsia="Times New Roman" w:hAnsiTheme="minorHAnsi" w:cs="Calibri"/>
                <w:b/>
                <w:bCs/>
                <w:color w:val="000000"/>
                <w:sz w:val="20"/>
                <w:szCs w:val="20"/>
                <w:lang w:eastAsia="es-CL"/>
              </w:rPr>
            </w:pPr>
            <w:r w:rsidRPr="00A81CB8">
              <w:rPr>
                <w:rFonts w:asciiTheme="minorHAnsi" w:eastAsia="Times New Roman" w:hAnsiTheme="minorHAnsi" w:cs="Calibri"/>
                <w:b/>
                <w:bCs/>
                <w:color w:val="000000"/>
                <w:sz w:val="20"/>
                <w:szCs w:val="20"/>
                <w:lang w:eastAsia="es-CL"/>
              </w:rPr>
              <w:t>Nombre de Empresa</w:t>
            </w:r>
          </w:p>
        </w:tc>
        <w:tc>
          <w:tcPr>
            <w:tcW w:w="196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A064791" w14:textId="77777777" w:rsidR="003E19A2" w:rsidRPr="00A81CB8" w:rsidRDefault="003E19A2" w:rsidP="00725CE1">
            <w:pPr>
              <w:spacing w:before="20" w:after="20" w:line="240" w:lineRule="auto"/>
              <w:jc w:val="center"/>
              <w:rPr>
                <w:rFonts w:asciiTheme="minorHAnsi" w:eastAsia="Times New Roman" w:hAnsiTheme="minorHAnsi" w:cs="Calibri"/>
                <w:b/>
                <w:bCs/>
                <w:color w:val="000000"/>
                <w:sz w:val="20"/>
                <w:szCs w:val="20"/>
                <w:lang w:eastAsia="es-CL"/>
              </w:rPr>
            </w:pPr>
            <w:r w:rsidRPr="00A81CB8">
              <w:rPr>
                <w:rFonts w:asciiTheme="minorHAnsi" w:eastAsia="Times New Roman" w:hAnsiTheme="minorHAnsi" w:cs="Calibri"/>
                <w:b/>
                <w:bCs/>
                <w:color w:val="000000"/>
                <w:sz w:val="20"/>
                <w:szCs w:val="20"/>
                <w:lang w:eastAsia="es-CL"/>
              </w:rPr>
              <w:t xml:space="preserve">Valor de Inversión (V.I.) </w:t>
            </w:r>
          </w:p>
          <w:p w14:paraId="1DF462BD" w14:textId="77777777" w:rsidR="003E19A2" w:rsidRPr="00A81CB8" w:rsidRDefault="003E19A2" w:rsidP="00725CE1">
            <w:pPr>
              <w:spacing w:before="20" w:after="20" w:line="240" w:lineRule="auto"/>
              <w:jc w:val="center"/>
              <w:rPr>
                <w:rFonts w:asciiTheme="minorHAnsi" w:eastAsia="Times New Roman" w:hAnsiTheme="minorHAnsi" w:cs="Calibri"/>
                <w:b/>
                <w:bCs/>
                <w:color w:val="000000"/>
                <w:sz w:val="20"/>
                <w:szCs w:val="20"/>
                <w:lang w:eastAsia="es-CL"/>
              </w:rPr>
            </w:pPr>
            <w:r w:rsidRPr="00A81CB8">
              <w:rPr>
                <w:rFonts w:asciiTheme="minorHAnsi" w:eastAsia="Times New Roman" w:hAnsiTheme="minorHAnsi" w:cs="Calibri"/>
                <w:b/>
                <w:bCs/>
                <w:color w:val="000000"/>
                <w:sz w:val="20"/>
                <w:szCs w:val="20"/>
                <w:lang w:eastAsia="es-CL"/>
              </w:rPr>
              <w:t>USD (Dolares de USA)</w:t>
            </w:r>
          </w:p>
        </w:tc>
      </w:tr>
      <w:tr w:rsidR="003E19A2" w:rsidRPr="00A81CB8" w14:paraId="3A17CAEE"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87C8D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E2FB1E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ALTO JAHUEL</w:t>
            </w:r>
          </w:p>
        </w:tc>
        <w:tc>
          <w:tcPr>
            <w:tcW w:w="1077" w:type="dxa"/>
            <w:tcBorders>
              <w:top w:val="nil"/>
              <w:left w:val="nil"/>
              <w:bottom w:val="single" w:sz="4" w:space="0" w:color="auto"/>
              <w:right w:val="single" w:sz="4" w:space="0" w:color="auto"/>
            </w:tcBorders>
            <w:shd w:val="clear" w:color="auto" w:fill="auto"/>
            <w:noWrap/>
            <w:vAlign w:val="center"/>
            <w:hideMark/>
          </w:tcPr>
          <w:p w14:paraId="16C8925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27A28F3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225BE2C8"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47.330.786,94</w:t>
            </w:r>
          </w:p>
        </w:tc>
      </w:tr>
      <w:tr w:rsidR="003E19A2" w:rsidRPr="00A81CB8" w14:paraId="75FB0B7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DD0CFB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EBEB09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488B73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P_111</w:t>
            </w:r>
          </w:p>
        </w:tc>
        <w:tc>
          <w:tcPr>
            <w:tcW w:w="3969" w:type="dxa"/>
            <w:tcBorders>
              <w:top w:val="nil"/>
              <w:left w:val="nil"/>
              <w:bottom w:val="single" w:sz="4" w:space="0" w:color="auto"/>
              <w:right w:val="single" w:sz="4" w:space="0" w:color="auto"/>
            </w:tcBorders>
            <w:shd w:val="clear" w:color="auto" w:fill="auto"/>
            <w:noWrap/>
            <w:vAlign w:val="center"/>
            <w:hideMark/>
          </w:tcPr>
          <w:p w14:paraId="4BEA961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ENEL DISTRIBUCION S.A.</w:t>
            </w:r>
          </w:p>
        </w:tc>
        <w:tc>
          <w:tcPr>
            <w:tcW w:w="1967" w:type="dxa"/>
            <w:tcBorders>
              <w:top w:val="nil"/>
              <w:left w:val="nil"/>
              <w:bottom w:val="single" w:sz="4" w:space="0" w:color="auto"/>
              <w:right w:val="single" w:sz="4" w:space="0" w:color="auto"/>
            </w:tcBorders>
            <w:shd w:val="clear" w:color="auto" w:fill="auto"/>
            <w:noWrap/>
            <w:vAlign w:val="center"/>
            <w:hideMark/>
          </w:tcPr>
          <w:p w14:paraId="018C147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753.251,12</w:t>
            </w:r>
          </w:p>
        </w:tc>
      </w:tr>
      <w:tr w:rsidR="003E19A2" w:rsidRPr="00A81CB8" w14:paraId="7D26B5CE"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AF3274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D368E6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1020DC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56D7C85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2F2D6FC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22.343,42</w:t>
            </w:r>
          </w:p>
        </w:tc>
      </w:tr>
      <w:tr w:rsidR="003E19A2" w:rsidRPr="00A81CB8" w14:paraId="101C8B2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11991B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5CF86A0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107959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5B03551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29E34D6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16.203,63</w:t>
            </w:r>
          </w:p>
        </w:tc>
      </w:tr>
      <w:tr w:rsidR="003E19A2" w:rsidRPr="00A81CB8" w14:paraId="7EB3A73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2126BB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7BB5FE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A5B675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P_126</w:t>
            </w:r>
          </w:p>
        </w:tc>
        <w:tc>
          <w:tcPr>
            <w:tcW w:w="3969" w:type="dxa"/>
            <w:tcBorders>
              <w:top w:val="nil"/>
              <w:left w:val="nil"/>
              <w:bottom w:val="single" w:sz="4" w:space="0" w:color="auto"/>
              <w:right w:val="single" w:sz="4" w:space="0" w:color="auto"/>
            </w:tcBorders>
            <w:shd w:val="clear" w:color="auto" w:fill="auto"/>
            <w:noWrap/>
            <w:vAlign w:val="center"/>
            <w:hideMark/>
          </w:tcPr>
          <w:p w14:paraId="5F97DAC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NORTE</w:t>
            </w:r>
          </w:p>
        </w:tc>
        <w:tc>
          <w:tcPr>
            <w:tcW w:w="1967" w:type="dxa"/>
            <w:tcBorders>
              <w:top w:val="nil"/>
              <w:left w:val="nil"/>
              <w:bottom w:val="single" w:sz="4" w:space="0" w:color="auto"/>
              <w:right w:val="single" w:sz="4" w:space="0" w:color="auto"/>
            </w:tcBorders>
            <w:shd w:val="clear" w:color="auto" w:fill="auto"/>
            <w:noWrap/>
            <w:vAlign w:val="center"/>
            <w:hideMark/>
          </w:tcPr>
          <w:p w14:paraId="5FB004C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14.346,86</w:t>
            </w:r>
          </w:p>
        </w:tc>
      </w:tr>
      <w:tr w:rsidR="003E19A2" w:rsidRPr="00A81CB8" w14:paraId="325C5246"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221AC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069460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ANCOA</w:t>
            </w:r>
          </w:p>
        </w:tc>
        <w:tc>
          <w:tcPr>
            <w:tcW w:w="1077" w:type="dxa"/>
            <w:tcBorders>
              <w:top w:val="nil"/>
              <w:left w:val="nil"/>
              <w:bottom w:val="single" w:sz="4" w:space="0" w:color="auto"/>
              <w:right w:val="single" w:sz="4" w:space="0" w:color="auto"/>
            </w:tcBorders>
            <w:shd w:val="clear" w:color="auto" w:fill="auto"/>
            <w:noWrap/>
            <w:vAlign w:val="center"/>
            <w:hideMark/>
          </w:tcPr>
          <w:p w14:paraId="51B0C50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58262E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618D97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80.340.292,75</w:t>
            </w:r>
          </w:p>
        </w:tc>
      </w:tr>
      <w:tr w:rsidR="003E19A2" w:rsidRPr="00A81CB8" w14:paraId="4EE379F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ACD146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893BBF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69F77D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0EC5E71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593E879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32.659,25</w:t>
            </w:r>
          </w:p>
        </w:tc>
      </w:tr>
      <w:tr w:rsidR="003E19A2" w:rsidRPr="00A81CB8" w14:paraId="01A0CEC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7CB3D6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B00044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AB1839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3712299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4ED2A21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15.915,37</w:t>
            </w:r>
          </w:p>
        </w:tc>
      </w:tr>
      <w:tr w:rsidR="003E19A2" w:rsidRPr="00A81CB8" w14:paraId="515FBAF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12894C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w:t>
            </w:r>
          </w:p>
        </w:tc>
        <w:tc>
          <w:tcPr>
            <w:tcW w:w="3969" w:type="dxa"/>
            <w:tcBorders>
              <w:top w:val="nil"/>
              <w:left w:val="nil"/>
              <w:bottom w:val="single" w:sz="4" w:space="0" w:color="auto"/>
              <w:right w:val="single" w:sz="4" w:space="0" w:color="auto"/>
            </w:tcBorders>
            <w:shd w:val="clear" w:color="auto" w:fill="auto"/>
            <w:vAlign w:val="center"/>
            <w:hideMark/>
          </w:tcPr>
          <w:p w14:paraId="5CDFBDB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ATACAMA</w:t>
            </w:r>
          </w:p>
        </w:tc>
        <w:tc>
          <w:tcPr>
            <w:tcW w:w="1077" w:type="dxa"/>
            <w:tcBorders>
              <w:top w:val="nil"/>
              <w:left w:val="nil"/>
              <w:bottom w:val="single" w:sz="4" w:space="0" w:color="auto"/>
              <w:right w:val="single" w:sz="4" w:space="0" w:color="auto"/>
            </w:tcBorders>
            <w:shd w:val="clear" w:color="auto" w:fill="auto"/>
            <w:noWrap/>
            <w:vAlign w:val="center"/>
            <w:hideMark/>
          </w:tcPr>
          <w:p w14:paraId="0E7E797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2506101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4A3F7A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4.746.958,91</w:t>
            </w:r>
          </w:p>
        </w:tc>
      </w:tr>
      <w:tr w:rsidR="003E19A2" w:rsidRPr="00A81CB8" w14:paraId="2604CED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93BFA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w:t>
            </w:r>
          </w:p>
        </w:tc>
        <w:tc>
          <w:tcPr>
            <w:tcW w:w="3969" w:type="dxa"/>
            <w:tcBorders>
              <w:top w:val="nil"/>
              <w:left w:val="nil"/>
              <w:bottom w:val="single" w:sz="4" w:space="0" w:color="auto"/>
              <w:right w:val="single" w:sz="4" w:space="0" w:color="auto"/>
            </w:tcBorders>
            <w:shd w:val="clear" w:color="auto" w:fill="auto"/>
            <w:vAlign w:val="center"/>
            <w:hideMark/>
          </w:tcPr>
          <w:p w14:paraId="1F2BB55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Calama Nueva</w:t>
            </w:r>
          </w:p>
        </w:tc>
        <w:tc>
          <w:tcPr>
            <w:tcW w:w="1077" w:type="dxa"/>
            <w:tcBorders>
              <w:top w:val="nil"/>
              <w:left w:val="nil"/>
              <w:bottom w:val="single" w:sz="4" w:space="0" w:color="auto"/>
              <w:right w:val="single" w:sz="4" w:space="0" w:color="auto"/>
            </w:tcBorders>
            <w:shd w:val="clear" w:color="auto" w:fill="auto"/>
            <w:noWrap/>
            <w:vAlign w:val="center"/>
            <w:hideMark/>
          </w:tcPr>
          <w:p w14:paraId="6AD9B93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P_120</w:t>
            </w:r>
          </w:p>
        </w:tc>
        <w:tc>
          <w:tcPr>
            <w:tcW w:w="3969" w:type="dxa"/>
            <w:tcBorders>
              <w:top w:val="nil"/>
              <w:left w:val="nil"/>
              <w:bottom w:val="single" w:sz="4" w:space="0" w:color="auto"/>
              <w:right w:val="single" w:sz="4" w:space="0" w:color="auto"/>
            </w:tcBorders>
            <w:shd w:val="clear" w:color="auto" w:fill="auto"/>
            <w:noWrap/>
            <w:vAlign w:val="center"/>
            <w:hideMark/>
          </w:tcPr>
          <w:p w14:paraId="3DA3DD5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TRANSEMEL</w:t>
            </w:r>
          </w:p>
        </w:tc>
        <w:tc>
          <w:tcPr>
            <w:tcW w:w="1967" w:type="dxa"/>
            <w:tcBorders>
              <w:top w:val="nil"/>
              <w:left w:val="nil"/>
              <w:bottom w:val="single" w:sz="4" w:space="0" w:color="auto"/>
              <w:right w:val="single" w:sz="4" w:space="0" w:color="auto"/>
            </w:tcBorders>
            <w:shd w:val="clear" w:color="auto" w:fill="auto"/>
            <w:noWrap/>
            <w:vAlign w:val="center"/>
            <w:hideMark/>
          </w:tcPr>
          <w:p w14:paraId="526FCC7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870.784,02</w:t>
            </w:r>
          </w:p>
        </w:tc>
      </w:tr>
      <w:tr w:rsidR="003E19A2" w:rsidRPr="00A81CB8" w14:paraId="3196944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18022D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w:t>
            </w:r>
          </w:p>
        </w:tc>
        <w:tc>
          <w:tcPr>
            <w:tcW w:w="3969" w:type="dxa"/>
            <w:tcBorders>
              <w:top w:val="nil"/>
              <w:left w:val="nil"/>
              <w:bottom w:val="single" w:sz="4" w:space="0" w:color="auto"/>
              <w:right w:val="single" w:sz="4" w:space="0" w:color="auto"/>
            </w:tcBorders>
            <w:shd w:val="clear" w:color="auto" w:fill="auto"/>
            <w:vAlign w:val="center"/>
            <w:hideMark/>
          </w:tcPr>
          <w:p w14:paraId="4BC55AE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Candelaria</w:t>
            </w:r>
          </w:p>
        </w:tc>
        <w:tc>
          <w:tcPr>
            <w:tcW w:w="1077" w:type="dxa"/>
            <w:tcBorders>
              <w:top w:val="nil"/>
              <w:left w:val="nil"/>
              <w:bottom w:val="single" w:sz="4" w:space="0" w:color="auto"/>
              <w:right w:val="single" w:sz="4" w:space="0" w:color="auto"/>
            </w:tcBorders>
            <w:shd w:val="clear" w:color="auto" w:fill="auto"/>
            <w:noWrap/>
            <w:vAlign w:val="center"/>
            <w:hideMark/>
          </w:tcPr>
          <w:p w14:paraId="6D3E71F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0FA612B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7128497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1.565.330,13</w:t>
            </w:r>
          </w:p>
        </w:tc>
      </w:tr>
      <w:tr w:rsidR="003E19A2" w:rsidRPr="00A81CB8" w14:paraId="56BFDAD7"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C21C3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SE-N_7</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9C12FF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CARDONES</w:t>
            </w:r>
          </w:p>
        </w:tc>
        <w:tc>
          <w:tcPr>
            <w:tcW w:w="1077" w:type="dxa"/>
            <w:tcBorders>
              <w:top w:val="nil"/>
              <w:left w:val="nil"/>
              <w:bottom w:val="single" w:sz="4" w:space="0" w:color="auto"/>
              <w:right w:val="single" w:sz="4" w:space="0" w:color="auto"/>
            </w:tcBorders>
            <w:shd w:val="clear" w:color="auto" w:fill="auto"/>
            <w:noWrap/>
            <w:vAlign w:val="center"/>
            <w:hideMark/>
          </w:tcPr>
          <w:p w14:paraId="1359E36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A74F97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4936CB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12.585.308,67</w:t>
            </w:r>
          </w:p>
        </w:tc>
      </w:tr>
      <w:tr w:rsidR="003E19A2" w:rsidRPr="00A81CB8" w14:paraId="6A03EB5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93B42E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1822E6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A3AC56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P_290</w:t>
            </w:r>
          </w:p>
        </w:tc>
        <w:tc>
          <w:tcPr>
            <w:tcW w:w="3969" w:type="dxa"/>
            <w:tcBorders>
              <w:top w:val="nil"/>
              <w:left w:val="nil"/>
              <w:bottom w:val="single" w:sz="4" w:space="0" w:color="auto"/>
              <w:right w:val="single" w:sz="4" w:space="0" w:color="auto"/>
            </w:tcBorders>
            <w:shd w:val="clear" w:color="auto" w:fill="auto"/>
            <w:noWrap/>
            <w:vAlign w:val="center"/>
            <w:hideMark/>
          </w:tcPr>
          <w:p w14:paraId="4BB43C7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Eletrans</w:t>
            </w:r>
          </w:p>
        </w:tc>
        <w:tc>
          <w:tcPr>
            <w:tcW w:w="1967" w:type="dxa"/>
            <w:tcBorders>
              <w:top w:val="nil"/>
              <w:left w:val="nil"/>
              <w:bottom w:val="single" w:sz="4" w:space="0" w:color="auto"/>
              <w:right w:val="single" w:sz="4" w:space="0" w:color="auto"/>
            </w:tcBorders>
            <w:shd w:val="clear" w:color="auto" w:fill="auto"/>
            <w:noWrap/>
            <w:vAlign w:val="center"/>
            <w:hideMark/>
          </w:tcPr>
          <w:p w14:paraId="5C815E1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693.351,13</w:t>
            </w:r>
          </w:p>
        </w:tc>
      </w:tr>
      <w:tr w:rsidR="003E19A2" w:rsidRPr="00A81CB8" w14:paraId="6CFD88F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368C8B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55E8F95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5B21E7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7D47032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2852010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313.615,05</w:t>
            </w:r>
          </w:p>
        </w:tc>
      </w:tr>
      <w:tr w:rsidR="003E19A2" w:rsidRPr="00A81CB8" w14:paraId="5CE76B4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57C1A0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4FFAF0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FE963C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P_255</w:t>
            </w:r>
          </w:p>
        </w:tc>
        <w:tc>
          <w:tcPr>
            <w:tcW w:w="3969" w:type="dxa"/>
            <w:tcBorders>
              <w:top w:val="nil"/>
              <w:left w:val="nil"/>
              <w:bottom w:val="single" w:sz="4" w:space="0" w:color="auto"/>
              <w:right w:val="single" w:sz="4" w:space="0" w:color="auto"/>
            </w:tcBorders>
            <w:shd w:val="clear" w:color="auto" w:fill="auto"/>
            <w:noWrap/>
            <w:vAlign w:val="center"/>
            <w:hideMark/>
          </w:tcPr>
          <w:p w14:paraId="27A5756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CAP CMP</w:t>
            </w:r>
          </w:p>
        </w:tc>
        <w:tc>
          <w:tcPr>
            <w:tcW w:w="1967" w:type="dxa"/>
            <w:tcBorders>
              <w:top w:val="nil"/>
              <w:left w:val="nil"/>
              <w:bottom w:val="single" w:sz="4" w:space="0" w:color="auto"/>
              <w:right w:val="single" w:sz="4" w:space="0" w:color="auto"/>
            </w:tcBorders>
            <w:shd w:val="clear" w:color="auto" w:fill="auto"/>
            <w:noWrap/>
            <w:vAlign w:val="center"/>
            <w:hideMark/>
          </w:tcPr>
          <w:p w14:paraId="1196AFE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91.002,01</w:t>
            </w:r>
          </w:p>
        </w:tc>
      </w:tr>
      <w:tr w:rsidR="003E19A2" w:rsidRPr="00A81CB8" w14:paraId="66517C21"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50ADF9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D2FFC5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4F1868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P_257</w:t>
            </w:r>
          </w:p>
        </w:tc>
        <w:tc>
          <w:tcPr>
            <w:tcW w:w="3969" w:type="dxa"/>
            <w:tcBorders>
              <w:top w:val="nil"/>
              <w:left w:val="nil"/>
              <w:bottom w:val="single" w:sz="4" w:space="0" w:color="auto"/>
              <w:right w:val="single" w:sz="4" w:space="0" w:color="auto"/>
            </w:tcBorders>
            <w:shd w:val="clear" w:color="auto" w:fill="auto"/>
            <w:noWrap/>
            <w:vAlign w:val="center"/>
            <w:hideMark/>
          </w:tcPr>
          <w:p w14:paraId="30C3B85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Minera Maricunga</w:t>
            </w:r>
          </w:p>
        </w:tc>
        <w:tc>
          <w:tcPr>
            <w:tcW w:w="1967" w:type="dxa"/>
            <w:tcBorders>
              <w:top w:val="nil"/>
              <w:left w:val="nil"/>
              <w:bottom w:val="single" w:sz="4" w:space="0" w:color="auto"/>
              <w:right w:val="single" w:sz="4" w:space="0" w:color="auto"/>
            </w:tcBorders>
            <w:shd w:val="clear" w:color="auto" w:fill="auto"/>
            <w:noWrap/>
            <w:vAlign w:val="center"/>
            <w:hideMark/>
          </w:tcPr>
          <w:p w14:paraId="5F84021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24.967,45</w:t>
            </w:r>
          </w:p>
        </w:tc>
      </w:tr>
      <w:tr w:rsidR="003E19A2" w:rsidRPr="00A81CB8" w14:paraId="5054B63E"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13F24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SE-N_8</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B42640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CARRERA PINTO</w:t>
            </w:r>
          </w:p>
        </w:tc>
        <w:tc>
          <w:tcPr>
            <w:tcW w:w="1077" w:type="dxa"/>
            <w:tcBorders>
              <w:top w:val="nil"/>
              <w:left w:val="nil"/>
              <w:bottom w:val="single" w:sz="4" w:space="0" w:color="auto"/>
              <w:right w:val="single" w:sz="4" w:space="0" w:color="auto"/>
            </w:tcBorders>
            <w:shd w:val="clear" w:color="auto" w:fill="auto"/>
            <w:noWrap/>
            <w:vAlign w:val="center"/>
            <w:hideMark/>
          </w:tcPr>
          <w:p w14:paraId="5D0489B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1224AA5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23A6C809"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2.641.192,10</w:t>
            </w:r>
          </w:p>
        </w:tc>
      </w:tr>
      <w:tr w:rsidR="003E19A2" w:rsidRPr="00A81CB8" w14:paraId="0FCDE1FE"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CE0527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4C8BFA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46D3F6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P_290</w:t>
            </w:r>
          </w:p>
        </w:tc>
        <w:tc>
          <w:tcPr>
            <w:tcW w:w="3969" w:type="dxa"/>
            <w:tcBorders>
              <w:top w:val="nil"/>
              <w:left w:val="nil"/>
              <w:bottom w:val="single" w:sz="4" w:space="0" w:color="auto"/>
              <w:right w:val="single" w:sz="4" w:space="0" w:color="auto"/>
            </w:tcBorders>
            <w:shd w:val="clear" w:color="auto" w:fill="auto"/>
            <w:noWrap/>
            <w:vAlign w:val="center"/>
            <w:hideMark/>
          </w:tcPr>
          <w:p w14:paraId="2E258B0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Eletrans</w:t>
            </w:r>
          </w:p>
        </w:tc>
        <w:tc>
          <w:tcPr>
            <w:tcW w:w="1967" w:type="dxa"/>
            <w:tcBorders>
              <w:top w:val="nil"/>
              <w:left w:val="nil"/>
              <w:bottom w:val="single" w:sz="4" w:space="0" w:color="auto"/>
              <w:right w:val="single" w:sz="4" w:space="0" w:color="auto"/>
            </w:tcBorders>
            <w:shd w:val="clear" w:color="auto" w:fill="auto"/>
            <w:noWrap/>
            <w:vAlign w:val="center"/>
            <w:hideMark/>
          </w:tcPr>
          <w:p w14:paraId="7152C7F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1.236.785,02</w:t>
            </w:r>
          </w:p>
        </w:tc>
      </w:tr>
      <w:tr w:rsidR="003E19A2" w:rsidRPr="00A81CB8" w14:paraId="05D0CFE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863749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A7D6C5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8B3615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P_446</w:t>
            </w:r>
          </w:p>
        </w:tc>
        <w:tc>
          <w:tcPr>
            <w:tcW w:w="3969" w:type="dxa"/>
            <w:tcBorders>
              <w:top w:val="nil"/>
              <w:left w:val="nil"/>
              <w:bottom w:val="single" w:sz="4" w:space="0" w:color="auto"/>
              <w:right w:val="single" w:sz="4" w:space="0" w:color="auto"/>
            </w:tcBorders>
            <w:shd w:val="clear" w:color="auto" w:fill="auto"/>
            <w:noWrap/>
            <w:vAlign w:val="center"/>
            <w:hideMark/>
          </w:tcPr>
          <w:p w14:paraId="24A9FE8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Luz del Norte</w:t>
            </w:r>
          </w:p>
        </w:tc>
        <w:tc>
          <w:tcPr>
            <w:tcW w:w="1967" w:type="dxa"/>
            <w:tcBorders>
              <w:top w:val="nil"/>
              <w:left w:val="nil"/>
              <w:bottom w:val="single" w:sz="4" w:space="0" w:color="auto"/>
              <w:right w:val="single" w:sz="4" w:space="0" w:color="auto"/>
            </w:tcBorders>
            <w:shd w:val="clear" w:color="auto" w:fill="auto"/>
            <w:noWrap/>
            <w:vAlign w:val="center"/>
            <w:hideMark/>
          </w:tcPr>
          <w:p w14:paraId="289561A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153.060,55</w:t>
            </w:r>
          </w:p>
        </w:tc>
      </w:tr>
      <w:tr w:rsidR="003E19A2" w:rsidRPr="00A81CB8" w14:paraId="01A8B9B5"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C501F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SE-N_9</w:t>
            </w:r>
          </w:p>
        </w:tc>
        <w:tc>
          <w:tcPr>
            <w:tcW w:w="3969" w:type="dxa"/>
            <w:tcBorders>
              <w:top w:val="nil"/>
              <w:left w:val="nil"/>
              <w:bottom w:val="single" w:sz="4" w:space="0" w:color="auto"/>
              <w:right w:val="single" w:sz="4" w:space="0" w:color="auto"/>
            </w:tcBorders>
            <w:shd w:val="clear" w:color="auto" w:fill="auto"/>
            <w:vAlign w:val="center"/>
            <w:hideMark/>
          </w:tcPr>
          <w:p w14:paraId="3EE98F9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CAUTIN</w:t>
            </w:r>
          </w:p>
        </w:tc>
        <w:tc>
          <w:tcPr>
            <w:tcW w:w="1077" w:type="dxa"/>
            <w:tcBorders>
              <w:top w:val="nil"/>
              <w:left w:val="nil"/>
              <w:bottom w:val="single" w:sz="4" w:space="0" w:color="auto"/>
              <w:right w:val="single" w:sz="4" w:space="0" w:color="auto"/>
            </w:tcBorders>
            <w:shd w:val="clear" w:color="auto" w:fill="auto"/>
            <w:noWrap/>
            <w:vAlign w:val="center"/>
            <w:hideMark/>
          </w:tcPr>
          <w:p w14:paraId="213751E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624ECD6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42B0698"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6.336.637,04</w:t>
            </w:r>
          </w:p>
        </w:tc>
      </w:tr>
      <w:tr w:rsidR="003E19A2" w:rsidRPr="00A81CB8" w14:paraId="76DB539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0E908F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tcBorders>
              <w:top w:val="nil"/>
              <w:left w:val="nil"/>
              <w:bottom w:val="single" w:sz="4" w:space="0" w:color="auto"/>
              <w:right w:val="single" w:sz="4" w:space="0" w:color="auto"/>
            </w:tcBorders>
            <w:shd w:val="clear" w:color="auto" w:fill="auto"/>
            <w:vAlign w:val="center"/>
            <w:hideMark/>
          </w:tcPr>
          <w:p w14:paraId="470A4FD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RE: CAUTIN</w:t>
            </w:r>
          </w:p>
        </w:tc>
        <w:tc>
          <w:tcPr>
            <w:tcW w:w="1077" w:type="dxa"/>
            <w:tcBorders>
              <w:top w:val="nil"/>
              <w:left w:val="nil"/>
              <w:bottom w:val="single" w:sz="4" w:space="0" w:color="auto"/>
              <w:right w:val="single" w:sz="4" w:space="0" w:color="auto"/>
            </w:tcBorders>
            <w:shd w:val="clear" w:color="auto" w:fill="auto"/>
            <w:noWrap/>
            <w:vAlign w:val="center"/>
            <w:hideMark/>
          </w:tcPr>
          <w:p w14:paraId="71A4C09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87C6AF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382176E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884.504,36</w:t>
            </w:r>
          </w:p>
        </w:tc>
      </w:tr>
      <w:tr w:rsidR="003E19A2" w:rsidRPr="00A81CB8" w14:paraId="37FD1B15"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2268E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SE-N_10</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5E1F1D7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CERRO NAVIA</w:t>
            </w:r>
          </w:p>
        </w:tc>
        <w:tc>
          <w:tcPr>
            <w:tcW w:w="1077" w:type="dxa"/>
            <w:tcBorders>
              <w:top w:val="nil"/>
              <w:left w:val="nil"/>
              <w:bottom w:val="single" w:sz="4" w:space="0" w:color="auto"/>
              <w:right w:val="single" w:sz="4" w:space="0" w:color="auto"/>
            </w:tcBorders>
            <w:shd w:val="clear" w:color="auto" w:fill="auto"/>
            <w:noWrap/>
            <w:vAlign w:val="center"/>
            <w:hideMark/>
          </w:tcPr>
          <w:p w14:paraId="6AB9426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6034644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54F78D8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48.018.905,87</w:t>
            </w:r>
          </w:p>
        </w:tc>
      </w:tr>
      <w:tr w:rsidR="003E19A2" w:rsidRPr="00A81CB8" w14:paraId="084C5A99"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404C07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5581B7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021E78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P_111</w:t>
            </w:r>
          </w:p>
        </w:tc>
        <w:tc>
          <w:tcPr>
            <w:tcW w:w="3969" w:type="dxa"/>
            <w:tcBorders>
              <w:top w:val="nil"/>
              <w:left w:val="nil"/>
              <w:bottom w:val="single" w:sz="4" w:space="0" w:color="auto"/>
              <w:right w:val="single" w:sz="4" w:space="0" w:color="auto"/>
            </w:tcBorders>
            <w:shd w:val="clear" w:color="auto" w:fill="auto"/>
            <w:noWrap/>
            <w:vAlign w:val="center"/>
            <w:hideMark/>
          </w:tcPr>
          <w:p w14:paraId="0FBC6E0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ENEL DISTRIBUCION S.A</w:t>
            </w:r>
          </w:p>
        </w:tc>
        <w:tc>
          <w:tcPr>
            <w:tcW w:w="1967" w:type="dxa"/>
            <w:tcBorders>
              <w:top w:val="nil"/>
              <w:left w:val="nil"/>
              <w:bottom w:val="single" w:sz="4" w:space="0" w:color="auto"/>
              <w:right w:val="single" w:sz="4" w:space="0" w:color="auto"/>
            </w:tcBorders>
            <w:shd w:val="clear" w:color="auto" w:fill="auto"/>
            <w:noWrap/>
            <w:vAlign w:val="center"/>
            <w:hideMark/>
          </w:tcPr>
          <w:p w14:paraId="4AD5D4A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1.721.501,19</w:t>
            </w:r>
          </w:p>
        </w:tc>
      </w:tr>
      <w:tr w:rsidR="003E19A2" w:rsidRPr="00A81CB8" w14:paraId="2F7B3C9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43C551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998D4A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72201C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3EAAE83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3D9C47C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86.921,57</w:t>
            </w:r>
          </w:p>
        </w:tc>
      </w:tr>
      <w:tr w:rsidR="003E19A2" w:rsidRPr="00A81CB8" w14:paraId="2AD42190"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CF704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22121E7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CHARRUA</w:t>
            </w:r>
          </w:p>
        </w:tc>
        <w:tc>
          <w:tcPr>
            <w:tcW w:w="1077" w:type="dxa"/>
            <w:tcBorders>
              <w:top w:val="nil"/>
              <w:left w:val="nil"/>
              <w:bottom w:val="single" w:sz="4" w:space="0" w:color="auto"/>
              <w:right w:val="single" w:sz="4" w:space="0" w:color="auto"/>
            </w:tcBorders>
            <w:shd w:val="clear" w:color="auto" w:fill="auto"/>
            <w:noWrap/>
            <w:vAlign w:val="center"/>
            <w:hideMark/>
          </w:tcPr>
          <w:p w14:paraId="2C27A58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80708C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0E7E1F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32.808.561,75</w:t>
            </w:r>
          </w:p>
        </w:tc>
      </w:tr>
      <w:tr w:rsidR="003E19A2" w:rsidRPr="00A81CB8" w14:paraId="3464F0F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718559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B97AE1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4FE58F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1CA8910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09D1102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417.374,01</w:t>
            </w:r>
          </w:p>
        </w:tc>
      </w:tr>
      <w:tr w:rsidR="003E19A2" w:rsidRPr="00A81CB8" w14:paraId="197E0F49"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F7C52C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F804E1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841CD1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0F6585F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44D0CE1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56.836,73</w:t>
            </w:r>
          </w:p>
        </w:tc>
      </w:tr>
      <w:tr w:rsidR="003E19A2" w:rsidRPr="00A81CB8" w14:paraId="109FC82B"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41D245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D07AF4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ADC7EA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27F2AAA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238A6DB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29.338,41</w:t>
            </w:r>
          </w:p>
        </w:tc>
      </w:tr>
      <w:tr w:rsidR="003E19A2" w:rsidRPr="00A81CB8" w14:paraId="7E764744"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CEE66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SE-N_12</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086A9E0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CHENA</w:t>
            </w:r>
          </w:p>
        </w:tc>
        <w:tc>
          <w:tcPr>
            <w:tcW w:w="1077" w:type="dxa"/>
            <w:tcBorders>
              <w:top w:val="nil"/>
              <w:left w:val="nil"/>
              <w:bottom w:val="single" w:sz="4" w:space="0" w:color="auto"/>
              <w:right w:val="single" w:sz="4" w:space="0" w:color="auto"/>
            </w:tcBorders>
            <w:shd w:val="clear" w:color="auto" w:fill="auto"/>
            <w:noWrap/>
            <w:vAlign w:val="center"/>
            <w:hideMark/>
          </w:tcPr>
          <w:p w14:paraId="7D3DD98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P_111</w:t>
            </w:r>
          </w:p>
        </w:tc>
        <w:tc>
          <w:tcPr>
            <w:tcW w:w="3969" w:type="dxa"/>
            <w:tcBorders>
              <w:top w:val="nil"/>
              <w:left w:val="nil"/>
              <w:bottom w:val="single" w:sz="4" w:space="0" w:color="auto"/>
              <w:right w:val="single" w:sz="4" w:space="0" w:color="auto"/>
            </w:tcBorders>
            <w:shd w:val="clear" w:color="auto" w:fill="auto"/>
            <w:noWrap/>
            <w:vAlign w:val="center"/>
            <w:hideMark/>
          </w:tcPr>
          <w:p w14:paraId="48CFA9A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ENEL DISTRIBUCION S.A</w:t>
            </w:r>
          </w:p>
        </w:tc>
        <w:tc>
          <w:tcPr>
            <w:tcW w:w="1967" w:type="dxa"/>
            <w:tcBorders>
              <w:top w:val="nil"/>
              <w:left w:val="nil"/>
              <w:bottom w:val="single" w:sz="4" w:space="0" w:color="auto"/>
              <w:right w:val="single" w:sz="4" w:space="0" w:color="auto"/>
            </w:tcBorders>
            <w:shd w:val="clear" w:color="auto" w:fill="auto"/>
            <w:noWrap/>
            <w:vAlign w:val="center"/>
            <w:hideMark/>
          </w:tcPr>
          <w:p w14:paraId="61AB29F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19.952.648,19</w:t>
            </w:r>
          </w:p>
        </w:tc>
      </w:tr>
      <w:tr w:rsidR="003E19A2" w:rsidRPr="00A81CB8" w14:paraId="2071D16B"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A98E7A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6FCA7F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5C3CF6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3F93A4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B3D79A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593.173,41</w:t>
            </w:r>
          </w:p>
        </w:tc>
      </w:tr>
      <w:tr w:rsidR="003E19A2" w:rsidRPr="00A81CB8" w14:paraId="6F5F14B9"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97BBB1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AC5CE5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18A40D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P_513</w:t>
            </w:r>
          </w:p>
        </w:tc>
        <w:tc>
          <w:tcPr>
            <w:tcW w:w="3969" w:type="dxa"/>
            <w:tcBorders>
              <w:top w:val="nil"/>
              <w:left w:val="nil"/>
              <w:bottom w:val="single" w:sz="4" w:space="0" w:color="auto"/>
              <w:right w:val="single" w:sz="4" w:space="0" w:color="auto"/>
            </w:tcBorders>
            <w:shd w:val="clear" w:color="auto" w:fill="auto"/>
            <w:noWrap/>
            <w:vAlign w:val="center"/>
            <w:hideMark/>
          </w:tcPr>
          <w:p w14:paraId="2FE6526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Chena S.A.</w:t>
            </w:r>
          </w:p>
        </w:tc>
        <w:tc>
          <w:tcPr>
            <w:tcW w:w="1967" w:type="dxa"/>
            <w:tcBorders>
              <w:top w:val="nil"/>
              <w:left w:val="nil"/>
              <w:bottom w:val="single" w:sz="4" w:space="0" w:color="auto"/>
              <w:right w:val="single" w:sz="4" w:space="0" w:color="auto"/>
            </w:tcBorders>
            <w:shd w:val="clear" w:color="auto" w:fill="auto"/>
            <w:noWrap/>
            <w:vAlign w:val="center"/>
            <w:hideMark/>
          </w:tcPr>
          <w:p w14:paraId="31F3C1D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205.870,02</w:t>
            </w:r>
          </w:p>
        </w:tc>
      </w:tr>
      <w:tr w:rsidR="003E19A2" w:rsidRPr="00A81CB8" w14:paraId="109C63C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DAB02B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SE-N_13</w:t>
            </w:r>
          </w:p>
        </w:tc>
        <w:tc>
          <w:tcPr>
            <w:tcW w:w="3969" w:type="dxa"/>
            <w:tcBorders>
              <w:top w:val="nil"/>
              <w:left w:val="nil"/>
              <w:bottom w:val="single" w:sz="4" w:space="0" w:color="auto"/>
              <w:right w:val="single" w:sz="4" w:space="0" w:color="auto"/>
            </w:tcBorders>
            <w:shd w:val="clear" w:color="auto" w:fill="auto"/>
            <w:vAlign w:val="center"/>
            <w:hideMark/>
          </w:tcPr>
          <w:p w14:paraId="14931DB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Chiloe</w:t>
            </w:r>
          </w:p>
        </w:tc>
        <w:tc>
          <w:tcPr>
            <w:tcW w:w="1077" w:type="dxa"/>
            <w:tcBorders>
              <w:top w:val="nil"/>
              <w:left w:val="nil"/>
              <w:bottom w:val="single" w:sz="4" w:space="0" w:color="auto"/>
              <w:right w:val="single" w:sz="4" w:space="0" w:color="auto"/>
            </w:tcBorders>
            <w:shd w:val="clear" w:color="auto" w:fill="auto"/>
            <w:noWrap/>
            <w:vAlign w:val="center"/>
            <w:hideMark/>
          </w:tcPr>
          <w:p w14:paraId="6AE8A28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79B081E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0373E81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2.784.251,11</w:t>
            </w:r>
          </w:p>
        </w:tc>
      </w:tr>
      <w:tr w:rsidR="003E19A2" w:rsidRPr="00A81CB8" w14:paraId="2C7B20C2"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AB6D9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SE-N_14</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7D98974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Chuquicamata</w:t>
            </w:r>
          </w:p>
        </w:tc>
        <w:tc>
          <w:tcPr>
            <w:tcW w:w="1077" w:type="dxa"/>
            <w:tcBorders>
              <w:top w:val="nil"/>
              <w:left w:val="nil"/>
              <w:bottom w:val="single" w:sz="4" w:space="0" w:color="auto"/>
              <w:right w:val="single" w:sz="4" w:space="0" w:color="auto"/>
            </w:tcBorders>
            <w:shd w:val="clear" w:color="auto" w:fill="auto"/>
            <w:noWrap/>
            <w:vAlign w:val="center"/>
            <w:hideMark/>
          </w:tcPr>
          <w:p w14:paraId="61F0023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P_133</w:t>
            </w:r>
          </w:p>
        </w:tc>
        <w:tc>
          <w:tcPr>
            <w:tcW w:w="3969" w:type="dxa"/>
            <w:tcBorders>
              <w:top w:val="nil"/>
              <w:left w:val="nil"/>
              <w:bottom w:val="single" w:sz="4" w:space="0" w:color="auto"/>
              <w:right w:val="single" w:sz="4" w:space="0" w:color="auto"/>
            </w:tcBorders>
            <w:shd w:val="clear" w:color="auto" w:fill="auto"/>
            <w:noWrap/>
            <w:vAlign w:val="center"/>
            <w:hideMark/>
          </w:tcPr>
          <w:p w14:paraId="4F92C5C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CODELCO NORTE</w:t>
            </w:r>
          </w:p>
        </w:tc>
        <w:tc>
          <w:tcPr>
            <w:tcW w:w="1967" w:type="dxa"/>
            <w:tcBorders>
              <w:top w:val="nil"/>
              <w:left w:val="nil"/>
              <w:bottom w:val="single" w:sz="4" w:space="0" w:color="auto"/>
              <w:right w:val="single" w:sz="4" w:space="0" w:color="auto"/>
            </w:tcBorders>
            <w:shd w:val="clear" w:color="auto" w:fill="auto"/>
            <w:noWrap/>
            <w:vAlign w:val="center"/>
            <w:hideMark/>
          </w:tcPr>
          <w:p w14:paraId="4CBA91E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2.590.794,76</w:t>
            </w:r>
          </w:p>
        </w:tc>
      </w:tr>
      <w:tr w:rsidR="003E19A2" w:rsidRPr="00A81CB8" w14:paraId="3F55A73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AA478E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2BF529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0D063C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P_517</w:t>
            </w:r>
          </w:p>
        </w:tc>
        <w:tc>
          <w:tcPr>
            <w:tcW w:w="3969" w:type="dxa"/>
            <w:tcBorders>
              <w:top w:val="nil"/>
              <w:left w:val="nil"/>
              <w:bottom w:val="single" w:sz="4" w:space="0" w:color="auto"/>
              <w:right w:val="single" w:sz="4" w:space="0" w:color="auto"/>
            </w:tcBorders>
            <w:shd w:val="clear" w:color="auto" w:fill="auto"/>
            <w:noWrap/>
            <w:vAlign w:val="center"/>
            <w:hideMark/>
          </w:tcPr>
          <w:p w14:paraId="35911CA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Valle de los Vientos</w:t>
            </w:r>
          </w:p>
        </w:tc>
        <w:tc>
          <w:tcPr>
            <w:tcW w:w="1967" w:type="dxa"/>
            <w:tcBorders>
              <w:top w:val="nil"/>
              <w:left w:val="nil"/>
              <w:bottom w:val="single" w:sz="4" w:space="0" w:color="auto"/>
              <w:right w:val="single" w:sz="4" w:space="0" w:color="auto"/>
            </w:tcBorders>
            <w:shd w:val="clear" w:color="auto" w:fill="auto"/>
            <w:noWrap/>
            <w:vAlign w:val="center"/>
            <w:hideMark/>
          </w:tcPr>
          <w:p w14:paraId="1B058F4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15.870,17</w:t>
            </w:r>
          </w:p>
        </w:tc>
      </w:tr>
      <w:tr w:rsidR="003E19A2" w:rsidRPr="00A81CB8" w14:paraId="591008E2"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FD242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SE-N_15</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160BBF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CIRUELOS</w:t>
            </w:r>
          </w:p>
        </w:tc>
        <w:tc>
          <w:tcPr>
            <w:tcW w:w="1077" w:type="dxa"/>
            <w:tcBorders>
              <w:top w:val="nil"/>
              <w:left w:val="nil"/>
              <w:bottom w:val="single" w:sz="4" w:space="0" w:color="auto"/>
              <w:right w:val="single" w:sz="4" w:space="0" w:color="auto"/>
            </w:tcBorders>
            <w:shd w:val="clear" w:color="auto" w:fill="auto"/>
            <w:noWrap/>
            <w:vAlign w:val="center"/>
            <w:hideMark/>
          </w:tcPr>
          <w:p w14:paraId="6717DDB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P_290</w:t>
            </w:r>
          </w:p>
        </w:tc>
        <w:tc>
          <w:tcPr>
            <w:tcW w:w="3969" w:type="dxa"/>
            <w:tcBorders>
              <w:top w:val="nil"/>
              <w:left w:val="nil"/>
              <w:bottom w:val="single" w:sz="4" w:space="0" w:color="auto"/>
              <w:right w:val="single" w:sz="4" w:space="0" w:color="auto"/>
            </w:tcBorders>
            <w:shd w:val="clear" w:color="auto" w:fill="auto"/>
            <w:noWrap/>
            <w:vAlign w:val="center"/>
            <w:hideMark/>
          </w:tcPr>
          <w:p w14:paraId="19A2111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Eletrans</w:t>
            </w:r>
          </w:p>
        </w:tc>
        <w:tc>
          <w:tcPr>
            <w:tcW w:w="1967" w:type="dxa"/>
            <w:tcBorders>
              <w:top w:val="nil"/>
              <w:left w:val="nil"/>
              <w:bottom w:val="single" w:sz="4" w:space="0" w:color="auto"/>
              <w:right w:val="single" w:sz="4" w:space="0" w:color="auto"/>
            </w:tcBorders>
            <w:shd w:val="clear" w:color="auto" w:fill="auto"/>
            <w:noWrap/>
            <w:vAlign w:val="center"/>
            <w:hideMark/>
          </w:tcPr>
          <w:p w14:paraId="7976AE7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2.860.460,25</w:t>
            </w:r>
          </w:p>
        </w:tc>
      </w:tr>
      <w:tr w:rsidR="003E19A2" w:rsidRPr="00A81CB8" w14:paraId="3BFE13D1"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731B77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958499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B0CEFC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A5702F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71A035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3.313.654,99</w:t>
            </w:r>
          </w:p>
        </w:tc>
      </w:tr>
      <w:tr w:rsidR="003E19A2" w:rsidRPr="00A81CB8" w14:paraId="155804DE"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D4B073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2610EC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081499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3AF17A3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5CE9EDE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1.664,94</w:t>
            </w:r>
          </w:p>
        </w:tc>
      </w:tr>
      <w:tr w:rsidR="003E19A2" w:rsidRPr="00A81CB8" w14:paraId="6A240B3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CBF859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A752D5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C58B4F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P_206</w:t>
            </w:r>
          </w:p>
        </w:tc>
        <w:tc>
          <w:tcPr>
            <w:tcW w:w="3969" w:type="dxa"/>
            <w:tcBorders>
              <w:top w:val="nil"/>
              <w:left w:val="nil"/>
              <w:bottom w:val="single" w:sz="4" w:space="0" w:color="auto"/>
              <w:right w:val="single" w:sz="4" w:space="0" w:color="auto"/>
            </w:tcBorders>
            <w:shd w:val="clear" w:color="auto" w:fill="auto"/>
            <w:noWrap/>
            <w:vAlign w:val="center"/>
            <w:hideMark/>
          </w:tcPr>
          <w:p w14:paraId="02239CE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Algorta Norte</w:t>
            </w:r>
          </w:p>
        </w:tc>
        <w:tc>
          <w:tcPr>
            <w:tcW w:w="1967" w:type="dxa"/>
            <w:tcBorders>
              <w:top w:val="nil"/>
              <w:left w:val="nil"/>
              <w:bottom w:val="single" w:sz="4" w:space="0" w:color="auto"/>
              <w:right w:val="single" w:sz="4" w:space="0" w:color="auto"/>
            </w:tcBorders>
            <w:shd w:val="clear" w:color="auto" w:fill="auto"/>
            <w:noWrap/>
            <w:vAlign w:val="center"/>
            <w:hideMark/>
          </w:tcPr>
          <w:p w14:paraId="2B47521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106,16</w:t>
            </w:r>
          </w:p>
        </w:tc>
      </w:tr>
      <w:tr w:rsidR="003E19A2" w:rsidRPr="00A81CB8" w14:paraId="5448A939"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3CF91A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D1293F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CC4748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P_202</w:t>
            </w:r>
          </w:p>
        </w:tc>
        <w:tc>
          <w:tcPr>
            <w:tcW w:w="3969" w:type="dxa"/>
            <w:tcBorders>
              <w:top w:val="nil"/>
              <w:left w:val="nil"/>
              <w:bottom w:val="single" w:sz="4" w:space="0" w:color="auto"/>
              <w:right w:val="single" w:sz="4" w:space="0" w:color="auto"/>
            </w:tcBorders>
            <w:shd w:val="clear" w:color="auto" w:fill="auto"/>
            <w:noWrap/>
            <w:vAlign w:val="center"/>
            <w:hideMark/>
          </w:tcPr>
          <w:p w14:paraId="77B83A0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Agricola Ponce</w:t>
            </w:r>
          </w:p>
        </w:tc>
        <w:tc>
          <w:tcPr>
            <w:tcW w:w="1967" w:type="dxa"/>
            <w:tcBorders>
              <w:top w:val="nil"/>
              <w:left w:val="nil"/>
              <w:bottom w:val="single" w:sz="4" w:space="0" w:color="auto"/>
              <w:right w:val="single" w:sz="4" w:space="0" w:color="auto"/>
            </w:tcBorders>
            <w:shd w:val="clear" w:color="auto" w:fill="auto"/>
            <w:noWrap/>
            <w:vAlign w:val="center"/>
            <w:hideMark/>
          </w:tcPr>
          <w:p w14:paraId="71974BE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83,05</w:t>
            </w:r>
          </w:p>
        </w:tc>
      </w:tr>
      <w:tr w:rsidR="003E19A2" w:rsidRPr="00A81CB8" w14:paraId="0175D35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290DFB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SE-N_16</w:t>
            </w:r>
          </w:p>
        </w:tc>
        <w:tc>
          <w:tcPr>
            <w:tcW w:w="3969" w:type="dxa"/>
            <w:tcBorders>
              <w:top w:val="nil"/>
              <w:left w:val="nil"/>
              <w:bottom w:val="single" w:sz="4" w:space="0" w:color="auto"/>
              <w:right w:val="single" w:sz="4" w:space="0" w:color="auto"/>
            </w:tcBorders>
            <w:shd w:val="clear" w:color="auto" w:fill="auto"/>
            <w:vAlign w:val="center"/>
            <w:hideMark/>
          </w:tcPr>
          <w:p w14:paraId="0AE3AB4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Colbun</w:t>
            </w:r>
          </w:p>
        </w:tc>
        <w:tc>
          <w:tcPr>
            <w:tcW w:w="1077" w:type="dxa"/>
            <w:tcBorders>
              <w:top w:val="nil"/>
              <w:left w:val="nil"/>
              <w:bottom w:val="single" w:sz="4" w:space="0" w:color="auto"/>
              <w:right w:val="single" w:sz="4" w:space="0" w:color="auto"/>
            </w:tcBorders>
            <w:shd w:val="clear" w:color="auto" w:fill="auto"/>
            <w:noWrap/>
            <w:vAlign w:val="center"/>
            <w:hideMark/>
          </w:tcPr>
          <w:p w14:paraId="5B2D976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7F175E5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3E8B4F81"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3.242.429,32</w:t>
            </w:r>
          </w:p>
        </w:tc>
      </w:tr>
      <w:tr w:rsidR="003E19A2" w:rsidRPr="00A81CB8" w14:paraId="7DD0D716"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38A0E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SE-N_17</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7813C3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CONCEPCION</w:t>
            </w:r>
          </w:p>
        </w:tc>
        <w:tc>
          <w:tcPr>
            <w:tcW w:w="1077" w:type="dxa"/>
            <w:tcBorders>
              <w:top w:val="nil"/>
              <w:left w:val="nil"/>
              <w:bottom w:val="single" w:sz="4" w:space="0" w:color="auto"/>
              <w:right w:val="single" w:sz="4" w:space="0" w:color="auto"/>
            </w:tcBorders>
            <w:shd w:val="clear" w:color="auto" w:fill="auto"/>
            <w:noWrap/>
            <w:vAlign w:val="center"/>
            <w:hideMark/>
          </w:tcPr>
          <w:p w14:paraId="73EF28A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8F8B3E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381AF90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5.462.455,71</w:t>
            </w:r>
          </w:p>
        </w:tc>
      </w:tr>
      <w:tr w:rsidR="003E19A2" w:rsidRPr="00A81CB8" w14:paraId="1EC9AB3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FD85AC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A1E906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195B32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2706B7C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47C65578"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1.321.079,49</w:t>
            </w:r>
          </w:p>
        </w:tc>
      </w:tr>
      <w:tr w:rsidR="003E19A2" w:rsidRPr="00A81CB8" w14:paraId="2F4271EB"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9656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SE-N_18</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873B16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CONDORES</w:t>
            </w:r>
          </w:p>
        </w:tc>
        <w:tc>
          <w:tcPr>
            <w:tcW w:w="1077" w:type="dxa"/>
            <w:tcBorders>
              <w:top w:val="nil"/>
              <w:left w:val="nil"/>
              <w:bottom w:val="single" w:sz="4" w:space="0" w:color="auto"/>
              <w:right w:val="single" w:sz="4" w:space="0" w:color="auto"/>
            </w:tcBorders>
            <w:shd w:val="clear" w:color="auto" w:fill="auto"/>
            <w:noWrap/>
            <w:vAlign w:val="center"/>
            <w:hideMark/>
          </w:tcPr>
          <w:p w14:paraId="296A855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P_120</w:t>
            </w:r>
          </w:p>
        </w:tc>
        <w:tc>
          <w:tcPr>
            <w:tcW w:w="3969" w:type="dxa"/>
            <w:tcBorders>
              <w:top w:val="nil"/>
              <w:left w:val="nil"/>
              <w:bottom w:val="single" w:sz="4" w:space="0" w:color="auto"/>
              <w:right w:val="single" w:sz="4" w:space="0" w:color="auto"/>
            </w:tcBorders>
            <w:shd w:val="clear" w:color="auto" w:fill="auto"/>
            <w:noWrap/>
            <w:vAlign w:val="center"/>
            <w:hideMark/>
          </w:tcPr>
          <w:p w14:paraId="768AB6F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TRANSEMEL</w:t>
            </w:r>
          </w:p>
        </w:tc>
        <w:tc>
          <w:tcPr>
            <w:tcW w:w="1967" w:type="dxa"/>
            <w:tcBorders>
              <w:top w:val="nil"/>
              <w:left w:val="nil"/>
              <w:bottom w:val="single" w:sz="4" w:space="0" w:color="auto"/>
              <w:right w:val="single" w:sz="4" w:space="0" w:color="auto"/>
            </w:tcBorders>
            <w:shd w:val="clear" w:color="auto" w:fill="auto"/>
            <w:noWrap/>
            <w:vAlign w:val="center"/>
            <w:hideMark/>
          </w:tcPr>
          <w:p w14:paraId="429A29C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5.948.677,49</w:t>
            </w:r>
          </w:p>
        </w:tc>
      </w:tr>
      <w:tr w:rsidR="003E19A2" w:rsidRPr="00A81CB8" w14:paraId="68FBA3EF"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319130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3FC829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929819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285C547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92058C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191.825,20</w:t>
            </w:r>
          </w:p>
        </w:tc>
      </w:tr>
      <w:tr w:rsidR="003E19A2" w:rsidRPr="00A81CB8" w14:paraId="1E794188"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8CD049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C358C2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D4EFE6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5A82726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596BFA96"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9.721,04</w:t>
            </w:r>
          </w:p>
        </w:tc>
      </w:tr>
      <w:tr w:rsidR="003E19A2" w:rsidRPr="00A81CB8" w14:paraId="41624E9D"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CD3CD9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54838CE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5C21CD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12DA300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5771BCB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9.460,88</w:t>
            </w:r>
          </w:p>
        </w:tc>
      </w:tr>
      <w:tr w:rsidR="003E19A2" w:rsidRPr="00A81CB8" w14:paraId="5D6840D9"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6EC07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SE-N_19</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7ADA707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CRUCERO</w:t>
            </w:r>
          </w:p>
        </w:tc>
        <w:tc>
          <w:tcPr>
            <w:tcW w:w="1077" w:type="dxa"/>
            <w:tcBorders>
              <w:top w:val="nil"/>
              <w:left w:val="nil"/>
              <w:bottom w:val="single" w:sz="4" w:space="0" w:color="auto"/>
              <w:right w:val="single" w:sz="4" w:space="0" w:color="auto"/>
            </w:tcBorders>
            <w:shd w:val="clear" w:color="auto" w:fill="auto"/>
            <w:noWrap/>
            <w:vAlign w:val="center"/>
            <w:hideMark/>
          </w:tcPr>
          <w:p w14:paraId="291A74E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7703A7B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62471E7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7.446.504,93</w:t>
            </w:r>
          </w:p>
        </w:tc>
      </w:tr>
      <w:tr w:rsidR="003E19A2" w:rsidRPr="00A81CB8" w14:paraId="2766896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38CB69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844F4E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1874110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7BEA5A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27E56BD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1.038.756,97</w:t>
            </w:r>
          </w:p>
        </w:tc>
      </w:tr>
      <w:tr w:rsidR="003E19A2" w:rsidRPr="00A81CB8" w14:paraId="18E6AE34"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3B1B85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3F8BFF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8EA081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3545BA7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4F0F4C1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215.078,95</w:t>
            </w:r>
          </w:p>
        </w:tc>
      </w:tr>
      <w:tr w:rsidR="003E19A2" w:rsidRPr="00A81CB8" w14:paraId="10483D74"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4B5BBE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AF79EC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89257A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P_521</w:t>
            </w:r>
          </w:p>
        </w:tc>
        <w:tc>
          <w:tcPr>
            <w:tcW w:w="3969" w:type="dxa"/>
            <w:tcBorders>
              <w:top w:val="nil"/>
              <w:left w:val="nil"/>
              <w:bottom w:val="single" w:sz="4" w:space="0" w:color="auto"/>
              <w:right w:val="single" w:sz="4" w:space="0" w:color="auto"/>
            </w:tcBorders>
            <w:shd w:val="clear" w:color="auto" w:fill="auto"/>
            <w:noWrap/>
            <w:vAlign w:val="center"/>
            <w:hideMark/>
          </w:tcPr>
          <w:p w14:paraId="2138D5E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ELECTRICA INDUSTRIAL</w:t>
            </w:r>
          </w:p>
        </w:tc>
        <w:tc>
          <w:tcPr>
            <w:tcW w:w="1967" w:type="dxa"/>
            <w:tcBorders>
              <w:top w:val="nil"/>
              <w:left w:val="nil"/>
              <w:bottom w:val="single" w:sz="4" w:space="0" w:color="auto"/>
              <w:right w:val="single" w:sz="4" w:space="0" w:color="auto"/>
            </w:tcBorders>
            <w:shd w:val="clear" w:color="auto" w:fill="auto"/>
            <w:noWrap/>
            <w:vAlign w:val="center"/>
            <w:hideMark/>
          </w:tcPr>
          <w:p w14:paraId="1C7359C9"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13.050,49</w:t>
            </w:r>
          </w:p>
        </w:tc>
      </w:tr>
      <w:tr w:rsidR="003E19A2" w:rsidRPr="00A81CB8" w14:paraId="7AB100E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E6A3EE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SE-N_20</w:t>
            </w:r>
          </w:p>
        </w:tc>
        <w:tc>
          <w:tcPr>
            <w:tcW w:w="3969" w:type="dxa"/>
            <w:tcBorders>
              <w:top w:val="nil"/>
              <w:left w:val="nil"/>
              <w:bottom w:val="single" w:sz="4" w:space="0" w:color="auto"/>
              <w:right w:val="single" w:sz="4" w:space="0" w:color="auto"/>
            </w:tcBorders>
            <w:shd w:val="clear" w:color="auto" w:fill="auto"/>
            <w:vAlign w:val="center"/>
            <w:hideMark/>
          </w:tcPr>
          <w:p w14:paraId="0CFC848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Cumbres</w:t>
            </w:r>
          </w:p>
        </w:tc>
        <w:tc>
          <w:tcPr>
            <w:tcW w:w="1077" w:type="dxa"/>
            <w:tcBorders>
              <w:top w:val="nil"/>
              <w:left w:val="nil"/>
              <w:bottom w:val="single" w:sz="4" w:space="0" w:color="auto"/>
              <w:right w:val="single" w:sz="4" w:space="0" w:color="auto"/>
            </w:tcBorders>
            <w:shd w:val="clear" w:color="auto" w:fill="auto"/>
            <w:noWrap/>
            <w:vAlign w:val="center"/>
            <w:hideMark/>
          </w:tcPr>
          <w:p w14:paraId="4E76047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P_514</w:t>
            </w:r>
          </w:p>
        </w:tc>
        <w:tc>
          <w:tcPr>
            <w:tcW w:w="3969" w:type="dxa"/>
            <w:tcBorders>
              <w:top w:val="nil"/>
              <w:left w:val="nil"/>
              <w:bottom w:val="single" w:sz="4" w:space="0" w:color="auto"/>
              <w:right w:val="single" w:sz="4" w:space="0" w:color="auto"/>
            </w:tcBorders>
            <w:shd w:val="clear" w:color="auto" w:fill="auto"/>
            <w:noWrap/>
            <w:vAlign w:val="center"/>
            <w:hideMark/>
          </w:tcPr>
          <w:p w14:paraId="2097258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TEN</w:t>
            </w:r>
          </w:p>
        </w:tc>
        <w:tc>
          <w:tcPr>
            <w:tcW w:w="1967" w:type="dxa"/>
            <w:tcBorders>
              <w:top w:val="nil"/>
              <w:left w:val="nil"/>
              <w:bottom w:val="single" w:sz="4" w:space="0" w:color="auto"/>
              <w:right w:val="single" w:sz="4" w:space="0" w:color="auto"/>
            </w:tcBorders>
            <w:shd w:val="clear" w:color="auto" w:fill="auto"/>
            <w:noWrap/>
            <w:vAlign w:val="center"/>
            <w:hideMark/>
          </w:tcPr>
          <w:p w14:paraId="61865D2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9.173.226,92</w:t>
            </w:r>
          </w:p>
        </w:tc>
      </w:tr>
      <w:tr w:rsidR="003E19A2" w:rsidRPr="00A81CB8" w14:paraId="3ED12707"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7C864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0B38C62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DIEGO DE ALMAGRO</w:t>
            </w:r>
          </w:p>
        </w:tc>
        <w:tc>
          <w:tcPr>
            <w:tcW w:w="1077" w:type="dxa"/>
            <w:tcBorders>
              <w:top w:val="nil"/>
              <w:left w:val="nil"/>
              <w:bottom w:val="single" w:sz="4" w:space="0" w:color="auto"/>
              <w:right w:val="single" w:sz="4" w:space="0" w:color="auto"/>
            </w:tcBorders>
            <w:shd w:val="clear" w:color="auto" w:fill="auto"/>
            <w:noWrap/>
            <w:vAlign w:val="center"/>
            <w:hideMark/>
          </w:tcPr>
          <w:p w14:paraId="1C15ECE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102F337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DD711C1"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28.220.141,97</w:t>
            </w:r>
          </w:p>
        </w:tc>
      </w:tr>
      <w:tr w:rsidR="003E19A2" w:rsidRPr="00A81CB8" w14:paraId="791FD3A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8D3129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547CAC3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DE72B3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P_290</w:t>
            </w:r>
          </w:p>
        </w:tc>
        <w:tc>
          <w:tcPr>
            <w:tcW w:w="3969" w:type="dxa"/>
            <w:tcBorders>
              <w:top w:val="nil"/>
              <w:left w:val="nil"/>
              <w:bottom w:val="single" w:sz="4" w:space="0" w:color="auto"/>
              <w:right w:val="single" w:sz="4" w:space="0" w:color="auto"/>
            </w:tcBorders>
            <w:shd w:val="clear" w:color="auto" w:fill="auto"/>
            <w:noWrap/>
            <w:vAlign w:val="center"/>
            <w:hideMark/>
          </w:tcPr>
          <w:p w14:paraId="3871E58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Eletrans</w:t>
            </w:r>
          </w:p>
        </w:tc>
        <w:tc>
          <w:tcPr>
            <w:tcW w:w="1967" w:type="dxa"/>
            <w:tcBorders>
              <w:top w:val="nil"/>
              <w:left w:val="nil"/>
              <w:bottom w:val="single" w:sz="4" w:space="0" w:color="auto"/>
              <w:right w:val="single" w:sz="4" w:space="0" w:color="auto"/>
            </w:tcBorders>
            <w:shd w:val="clear" w:color="auto" w:fill="auto"/>
            <w:noWrap/>
            <w:vAlign w:val="center"/>
            <w:hideMark/>
          </w:tcPr>
          <w:p w14:paraId="047E376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744.502,52</w:t>
            </w:r>
          </w:p>
        </w:tc>
      </w:tr>
      <w:tr w:rsidR="003E19A2" w:rsidRPr="00A81CB8" w14:paraId="2D8601E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5070C0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A652D1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680200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5C588CD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4C211DE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47.487,59</w:t>
            </w:r>
          </w:p>
        </w:tc>
      </w:tr>
      <w:tr w:rsidR="003E19A2" w:rsidRPr="00A81CB8" w14:paraId="3967CD4A"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04284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SE-N_22</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7F8AF7F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DON GOYO</w:t>
            </w:r>
          </w:p>
        </w:tc>
        <w:tc>
          <w:tcPr>
            <w:tcW w:w="1077" w:type="dxa"/>
            <w:tcBorders>
              <w:top w:val="nil"/>
              <w:left w:val="nil"/>
              <w:bottom w:val="single" w:sz="4" w:space="0" w:color="auto"/>
              <w:right w:val="single" w:sz="4" w:space="0" w:color="auto"/>
            </w:tcBorders>
            <w:shd w:val="clear" w:color="auto" w:fill="auto"/>
            <w:noWrap/>
            <w:vAlign w:val="center"/>
            <w:hideMark/>
          </w:tcPr>
          <w:p w14:paraId="1157074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2BF457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ED9178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275.930,27</w:t>
            </w:r>
          </w:p>
        </w:tc>
      </w:tr>
      <w:tr w:rsidR="003E19A2" w:rsidRPr="00A81CB8" w14:paraId="0C72C626"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E3B5B6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62EA89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706230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P_440</w:t>
            </w:r>
          </w:p>
        </w:tc>
        <w:tc>
          <w:tcPr>
            <w:tcW w:w="3969" w:type="dxa"/>
            <w:tcBorders>
              <w:top w:val="nil"/>
              <w:left w:val="nil"/>
              <w:bottom w:val="single" w:sz="4" w:space="0" w:color="auto"/>
              <w:right w:val="single" w:sz="4" w:space="0" w:color="auto"/>
            </w:tcBorders>
            <w:shd w:val="clear" w:color="auto" w:fill="auto"/>
            <w:noWrap/>
            <w:vAlign w:val="center"/>
            <w:hideMark/>
          </w:tcPr>
          <w:p w14:paraId="7179FD7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Parque Eólico El Arrayán</w:t>
            </w:r>
          </w:p>
        </w:tc>
        <w:tc>
          <w:tcPr>
            <w:tcW w:w="1967" w:type="dxa"/>
            <w:tcBorders>
              <w:top w:val="nil"/>
              <w:left w:val="nil"/>
              <w:bottom w:val="single" w:sz="4" w:space="0" w:color="auto"/>
              <w:right w:val="single" w:sz="4" w:space="0" w:color="auto"/>
            </w:tcBorders>
            <w:shd w:val="clear" w:color="auto" w:fill="auto"/>
            <w:noWrap/>
            <w:vAlign w:val="center"/>
            <w:hideMark/>
          </w:tcPr>
          <w:p w14:paraId="6FFE5E41"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213.839,20</w:t>
            </w:r>
          </w:p>
        </w:tc>
      </w:tr>
      <w:tr w:rsidR="003E19A2" w:rsidRPr="00A81CB8" w14:paraId="08071D6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A284DE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SE-N_23</w:t>
            </w:r>
          </w:p>
        </w:tc>
        <w:tc>
          <w:tcPr>
            <w:tcW w:w="3969" w:type="dxa"/>
            <w:tcBorders>
              <w:top w:val="nil"/>
              <w:left w:val="nil"/>
              <w:bottom w:val="single" w:sz="4" w:space="0" w:color="auto"/>
              <w:right w:val="single" w:sz="4" w:space="0" w:color="auto"/>
            </w:tcBorders>
            <w:shd w:val="clear" w:color="auto" w:fill="auto"/>
            <w:vAlign w:val="center"/>
            <w:hideMark/>
          </w:tcPr>
          <w:p w14:paraId="6740CC2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Don Hector</w:t>
            </w:r>
          </w:p>
        </w:tc>
        <w:tc>
          <w:tcPr>
            <w:tcW w:w="1077" w:type="dxa"/>
            <w:tcBorders>
              <w:top w:val="nil"/>
              <w:left w:val="nil"/>
              <w:bottom w:val="single" w:sz="4" w:space="0" w:color="auto"/>
              <w:right w:val="single" w:sz="4" w:space="0" w:color="auto"/>
            </w:tcBorders>
            <w:shd w:val="clear" w:color="auto" w:fill="auto"/>
            <w:noWrap/>
            <w:vAlign w:val="center"/>
            <w:hideMark/>
          </w:tcPr>
          <w:p w14:paraId="3BE4504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40E88D6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3485B1E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2.369.928,62</w:t>
            </w:r>
          </w:p>
        </w:tc>
      </w:tr>
      <w:tr w:rsidR="003E19A2" w:rsidRPr="00A81CB8" w14:paraId="0A07D5EB"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FF9F2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SE-N_24</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508997D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DUQUECO</w:t>
            </w:r>
          </w:p>
        </w:tc>
        <w:tc>
          <w:tcPr>
            <w:tcW w:w="1077" w:type="dxa"/>
            <w:tcBorders>
              <w:top w:val="nil"/>
              <w:left w:val="nil"/>
              <w:bottom w:val="single" w:sz="4" w:space="0" w:color="auto"/>
              <w:right w:val="single" w:sz="4" w:space="0" w:color="auto"/>
            </w:tcBorders>
            <w:shd w:val="clear" w:color="auto" w:fill="auto"/>
            <w:noWrap/>
            <w:vAlign w:val="center"/>
            <w:hideMark/>
          </w:tcPr>
          <w:p w14:paraId="4993434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P_120</w:t>
            </w:r>
          </w:p>
        </w:tc>
        <w:tc>
          <w:tcPr>
            <w:tcW w:w="3969" w:type="dxa"/>
            <w:tcBorders>
              <w:top w:val="nil"/>
              <w:left w:val="nil"/>
              <w:bottom w:val="single" w:sz="4" w:space="0" w:color="auto"/>
              <w:right w:val="single" w:sz="4" w:space="0" w:color="auto"/>
            </w:tcBorders>
            <w:shd w:val="clear" w:color="auto" w:fill="auto"/>
            <w:noWrap/>
            <w:vAlign w:val="center"/>
            <w:hideMark/>
          </w:tcPr>
          <w:p w14:paraId="31883C9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TRANSEMEL</w:t>
            </w:r>
          </w:p>
        </w:tc>
        <w:tc>
          <w:tcPr>
            <w:tcW w:w="1967" w:type="dxa"/>
            <w:tcBorders>
              <w:top w:val="nil"/>
              <w:left w:val="nil"/>
              <w:bottom w:val="single" w:sz="4" w:space="0" w:color="auto"/>
              <w:right w:val="single" w:sz="4" w:space="0" w:color="auto"/>
            </w:tcBorders>
            <w:shd w:val="clear" w:color="auto" w:fill="auto"/>
            <w:noWrap/>
            <w:vAlign w:val="center"/>
            <w:hideMark/>
          </w:tcPr>
          <w:p w14:paraId="5289C2E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5.258.773,05</w:t>
            </w:r>
          </w:p>
        </w:tc>
      </w:tr>
      <w:tr w:rsidR="003E19A2" w:rsidRPr="00A81CB8" w14:paraId="7A89DA8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9A6475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B0C1D4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ACB7DD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BA672A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B8A0FB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341.060,04</w:t>
            </w:r>
          </w:p>
        </w:tc>
      </w:tr>
      <w:tr w:rsidR="003E19A2" w:rsidRPr="00A81CB8" w14:paraId="1A585684"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590B75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BD595A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BDA67A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04C8538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143A443B"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77.799,91</w:t>
            </w:r>
          </w:p>
        </w:tc>
      </w:tr>
      <w:tr w:rsidR="003E19A2" w:rsidRPr="00A81CB8" w14:paraId="3F23EDBB"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FBB99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SE-N_25</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590B425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 Cobre (ENGIE)</w:t>
            </w:r>
          </w:p>
        </w:tc>
        <w:tc>
          <w:tcPr>
            <w:tcW w:w="1077" w:type="dxa"/>
            <w:tcBorders>
              <w:top w:val="nil"/>
              <w:left w:val="nil"/>
              <w:bottom w:val="single" w:sz="4" w:space="0" w:color="auto"/>
              <w:right w:val="single" w:sz="4" w:space="0" w:color="auto"/>
            </w:tcBorders>
            <w:shd w:val="clear" w:color="auto" w:fill="auto"/>
            <w:noWrap/>
            <w:vAlign w:val="center"/>
            <w:hideMark/>
          </w:tcPr>
          <w:p w14:paraId="1FFE2E0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75386B2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1073A23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3.002.589,53</w:t>
            </w:r>
          </w:p>
        </w:tc>
      </w:tr>
      <w:tr w:rsidR="003E19A2" w:rsidRPr="00A81CB8" w14:paraId="77E1A0D1"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063E42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335192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7134E6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P_578</w:t>
            </w:r>
          </w:p>
        </w:tc>
        <w:tc>
          <w:tcPr>
            <w:tcW w:w="3969" w:type="dxa"/>
            <w:tcBorders>
              <w:top w:val="nil"/>
              <w:left w:val="nil"/>
              <w:bottom w:val="single" w:sz="4" w:space="0" w:color="auto"/>
              <w:right w:val="single" w:sz="4" w:space="0" w:color="auto"/>
            </w:tcBorders>
            <w:shd w:val="clear" w:color="auto" w:fill="auto"/>
            <w:noWrap/>
            <w:vAlign w:val="center"/>
            <w:hideMark/>
          </w:tcPr>
          <w:p w14:paraId="1AB39FD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ANTOFAGASTA MINERALS S.A.</w:t>
            </w:r>
          </w:p>
        </w:tc>
        <w:tc>
          <w:tcPr>
            <w:tcW w:w="1967" w:type="dxa"/>
            <w:tcBorders>
              <w:top w:val="nil"/>
              <w:left w:val="nil"/>
              <w:bottom w:val="single" w:sz="4" w:space="0" w:color="auto"/>
              <w:right w:val="single" w:sz="4" w:space="0" w:color="auto"/>
            </w:tcBorders>
            <w:shd w:val="clear" w:color="auto" w:fill="auto"/>
            <w:noWrap/>
            <w:vAlign w:val="center"/>
            <w:hideMark/>
          </w:tcPr>
          <w:p w14:paraId="7808779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184.143,88</w:t>
            </w:r>
          </w:p>
        </w:tc>
      </w:tr>
      <w:tr w:rsidR="003E19A2" w:rsidRPr="00A81CB8" w14:paraId="3541E597"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E3699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SE-N_26</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20567C7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ENCUENTRO</w:t>
            </w:r>
          </w:p>
        </w:tc>
        <w:tc>
          <w:tcPr>
            <w:tcW w:w="1077" w:type="dxa"/>
            <w:tcBorders>
              <w:top w:val="nil"/>
              <w:left w:val="nil"/>
              <w:bottom w:val="single" w:sz="4" w:space="0" w:color="auto"/>
              <w:right w:val="single" w:sz="4" w:space="0" w:color="auto"/>
            </w:tcBorders>
            <w:shd w:val="clear" w:color="auto" w:fill="auto"/>
            <w:noWrap/>
            <w:vAlign w:val="center"/>
            <w:hideMark/>
          </w:tcPr>
          <w:p w14:paraId="30F23E1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845F10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E3C2AC8"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8.077.068,85</w:t>
            </w:r>
          </w:p>
        </w:tc>
      </w:tr>
      <w:tr w:rsidR="003E19A2" w:rsidRPr="00A81CB8" w14:paraId="712B57F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C11AEC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D6A780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88BBB2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33977E6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55D8972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290.887,07</w:t>
            </w:r>
          </w:p>
        </w:tc>
      </w:tr>
      <w:tr w:rsidR="003E19A2" w:rsidRPr="00A81CB8" w14:paraId="1D8DAED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6DA32F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BE1E30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3CE7CD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P_578</w:t>
            </w:r>
          </w:p>
        </w:tc>
        <w:tc>
          <w:tcPr>
            <w:tcW w:w="3969" w:type="dxa"/>
            <w:tcBorders>
              <w:top w:val="nil"/>
              <w:left w:val="nil"/>
              <w:bottom w:val="single" w:sz="4" w:space="0" w:color="auto"/>
              <w:right w:val="single" w:sz="4" w:space="0" w:color="auto"/>
            </w:tcBorders>
            <w:shd w:val="clear" w:color="auto" w:fill="auto"/>
            <w:noWrap/>
            <w:vAlign w:val="center"/>
            <w:hideMark/>
          </w:tcPr>
          <w:p w14:paraId="63976DD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ANTOFAGASTA MINERALS S.A.</w:t>
            </w:r>
          </w:p>
        </w:tc>
        <w:tc>
          <w:tcPr>
            <w:tcW w:w="1967" w:type="dxa"/>
            <w:tcBorders>
              <w:top w:val="nil"/>
              <w:left w:val="nil"/>
              <w:bottom w:val="single" w:sz="4" w:space="0" w:color="auto"/>
              <w:right w:val="single" w:sz="4" w:space="0" w:color="auto"/>
            </w:tcBorders>
            <w:shd w:val="clear" w:color="auto" w:fill="auto"/>
            <w:noWrap/>
            <w:vAlign w:val="center"/>
            <w:hideMark/>
          </w:tcPr>
          <w:p w14:paraId="435E8E8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65.138,98</w:t>
            </w:r>
          </w:p>
        </w:tc>
      </w:tr>
      <w:tr w:rsidR="003E19A2" w:rsidRPr="00A81CB8" w14:paraId="7C593097"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78A4D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SE-N_27</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2581A2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ESPERANZA (MINERA CENTINELA)</w:t>
            </w:r>
          </w:p>
        </w:tc>
        <w:tc>
          <w:tcPr>
            <w:tcW w:w="1077" w:type="dxa"/>
            <w:tcBorders>
              <w:top w:val="nil"/>
              <w:left w:val="nil"/>
              <w:bottom w:val="single" w:sz="4" w:space="0" w:color="auto"/>
              <w:right w:val="single" w:sz="4" w:space="0" w:color="auto"/>
            </w:tcBorders>
            <w:shd w:val="clear" w:color="auto" w:fill="auto"/>
            <w:noWrap/>
            <w:vAlign w:val="center"/>
            <w:hideMark/>
          </w:tcPr>
          <w:p w14:paraId="78EF37E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P_524</w:t>
            </w:r>
          </w:p>
        </w:tc>
        <w:tc>
          <w:tcPr>
            <w:tcW w:w="3969" w:type="dxa"/>
            <w:tcBorders>
              <w:top w:val="nil"/>
              <w:left w:val="nil"/>
              <w:bottom w:val="single" w:sz="4" w:space="0" w:color="auto"/>
              <w:right w:val="single" w:sz="4" w:space="0" w:color="auto"/>
            </w:tcBorders>
            <w:shd w:val="clear" w:color="auto" w:fill="auto"/>
            <w:noWrap/>
            <w:vAlign w:val="center"/>
            <w:hideMark/>
          </w:tcPr>
          <w:p w14:paraId="0C40A9E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ENERGIA COYANCO</w:t>
            </w:r>
          </w:p>
        </w:tc>
        <w:tc>
          <w:tcPr>
            <w:tcW w:w="1967" w:type="dxa"/>
            <w:tcBorders>
              <w:top w:val="nil"/>
              <w:left w:val="nil"/>
              <w:bottom w:val="single" w:sz="4" w:space="0" w:color="auto"/>
              <w:right w:val="single" w:sz="4" w:space="0" w:color="auto"/>
            </w:tcBorders>
            <w:shd w:val="clear" w:color="auto" w:fill="auto"/>
            <w:noWrap/>
            <w:vAlign w:val="center"/>
            <w:hideMark/>
          </w:tcPr>
          <w:p w14:paraId="27C2EF0B"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78.466,20</w:t>
            </w:r>
          </w:p>
        </w:tc>
      </w:tr>
      <w:tr w:rsidR="003E19A2" w:rsidRPr="00A81CB8" w14:paraId="43A0AFCC"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4AA088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A158CF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7CCBCF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P_578</w:t>
            </w:r>
          </w:p>
        </w:tc>
        <w:tc>
          <w:tcPr>
            <w:tcW w:w="3969" w:type="dxa"/>
            <w:tcBorders>
              <w:top w:val="nil"/>
              <w:left w:val="nil"/>
              <w:bottom w:val="single" w:sz="4" w:space="0" w:color="auto"/>
              <w:right w:val="single" w:sz="4" w:space="0" w:color="auto"/>
            </w:tcBorders>
            <w:shd w:val="clear" w:color="auto" w:fill="auto"/>
            <w:noWrap/>
            <w:vAlign w:val="center"/>
            <w:hideMark/>
          </w:tcPr>
          <w:p w14:paraId="047AFBA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ANTOFAGASTA MINERALS S.A.</w:t>
            </w:r>
          </w:p>
        </w:tc>
        <w:tc>
          <w:tcPr>
            <w:tcW w:w="1967" w:type="dxa"/>
            <w:tcBorders>
              <w:top w:val="nil"/>
              <w:left w:val="nil"/>
              <w:bottom w:val="single" w:sz="4" w:space="0" w:color="auto"/>
              <w:right w:val="single" w:sz="4" w:space="0" w:color="auto"/>
            </w:tcBorders>
            <w:shd w:val="clear" w:color="auto" w:fill="auto"/>
            <w:noWrap/>
            <w:vAlign w:val="center"/>
            <w:hideMark/>
          </w:tcPr>
          <w:p w14:paraId="7D15AD2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144,36</w:t>
            </w:r>
          </w:p>
        </w:tc>
      </w:tr>
      <w:tr w:rsidR="003E19A2" w:rsidRPr="00A81CB8" w14:paraId="29154D1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684FE0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SE-N_28</w:t>
            </w:r>
          </w:p>
        </w:tc>
        <w:tc>
          <w:tcPr>
            <w:tcW w:w="3969" w:type="dxa"/>
            <w:tcBorders>
              <w:top w:val="nil"/>
              <w:left w:val="nil"/>
              <w:bottom w:val="single" w:sz="4" w:space="0" w:color="auto"/>
              <w:right w:val="single" w:sz="4" w:space="0" w:color="auto"/>
            </w:tcBorders>
            <w:shd w:val="clear" w:color="auto" w:fill="auto"/>
            <w:vAlign w:val="center"/>
            <w:hideMark/>
          </w:tcPr>
          <w:p w14:paraId="3713038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HUALPEN</w:t>
            </w:r>
          </w:p>
        </w:tc>
        <w:tc>
          <w:tcPr>
            <w:tcW w:w="1077" w:type="dxa"/>
            <w:tcBorders>
              <w:top w:val="nil"/>
              <w:left w:val="nil"/>
              <w:bottom w:val="single" w:sz="4" w:space="0" w:color="auto"/>
              <w:right w:val="single" w:sz="4" w:space="0" w:color="auto"/>
            </w:tcBorders>
            <w:shd w:val="clear" w:color="auto" w:fill="auto"/>
            <w:noWrap/>
            <w:vAlign w:val="center"/>
            <w:hideMark/>
          </w:tcPr>
          <w:p w14:paraId="6F7A29F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CA94BE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5D21FA8"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4.590.794,04</w:t>
            </w:r>
          </w:p>
        </w:tc>
      </w:tr>
      <w:tr w:rsidR="003E19A2" w:rsidRPr="00A81CB8" w14:paraId="3C43B5BD"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3B5C2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SE-N_29</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D49F94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ITAHUE</w:t>
            </w:r>
          </w:p>
        </w:tc>
        <w:tc>
          <w:tcPr>
            <w:tcW w:w="1077" w:type="dxa"/>
            <w:tcBorders>
              <w:top w:val="nil"/>
              <w:left w:val="nil"/>
              <w:bottom w:val="single" w:sz="4" w:space="0" w:color="auto"/>
              <w:right w:val="single" w:sz="4" w:space="0" w:color="auto"/>
            </w:tcBorders>
            <w:shd w:val="clear" w:color="auto" w:fill="auto"/>
            <w:noWrap/>
            <w:vAlign w:val="center"/>
            <w:hideMark/>
          </w:tcPr>
          <w:p w14:paraId="29EC5DA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6BD2839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610596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11.274.136,75</w:t>
            </w:r>
          </w:p>
        </w:tc>
      </w:tr>
      <w:tr w:rsidR="003E19A2" w:rsidRPr="00A81CB8" w14:paraId="3018B099"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C9FF94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02A64D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56C773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4D260F1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481D88D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960.047,24</w:t>
            </w:r>
          </w:p>
        </w:tc>
      </w:tr>
      <w:tr w:rsidR="003E19A2" w:rsidRPr="00A81CB8" w14:paraId="79FC9141"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3BB26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SE-N_30</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337E49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Kapatur</w:t>
            </w:r>
          </w:p>
        </w:tc>
        <w:tc>
          <w:tcPr>
            <w:tcW w:w="1077" w:type="dxa"/>
            <w:tcBorders>
              <w:top w:val="nil"/>
              <w:left w:val="nil"/>
              <w:bottom w:val="single" w:sz="4" w:space="0" w:color="auto"/>
              <w:right w:val="single" w:sz="4" w:space="0" w:color="auto"/>
            </w:tcBorders>
            <w:shd w:val="clear" w:color="auto" w:fill="auto"/>
            <w:noWrap/>
            <w:vAlign w:val="center"/>
            <w:hideMark/>
          </w:tcPr>
          <w:p w14:paraId="624895F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P_476</w:t>
            </w:r>
          </w:p>
        </w:tc>
        <w:tc>
          <w:tcPr>
            <w:tcW w:w="3969" w:type="dxa"/>
            <w:tcBorders>
              <w:top w:val="nil"/>
              <w:left w:val="nil"/>
              <w:bottom w:val="single" w:sz="4" w:space="0" w:color="auto"/>
              <w:right w:val="single" w:sz="4" w:space="0" w:color="auto"/>
            </w:tcBorders>
            <w:shd w:val="clear" w:color="auto" w:fill="auto"/>
            <w:noWrap/>
            <w:vAlign w:val="center"/>
            <w:hideMark/>
          </w:tcPr>
          <w:p w14:paraId="15AF332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STN</w:t>
            </w:r>
          </w:p>
        </w:tc>
        <w:tc>
          <w:tcPr>
            <w:tcW w:w="1967" w:type="dxa"/>
            <w:tcBorders>
              <w:top w:val="nil"/>
              <w:left w:val="nil"/>
              <w:bottom w:val="single" w:sz="4" w:space="0" w:color="auto"/>
              <w:right w:val="single" w:sz="4" w:space="0" w:color="auto"/>
            </w:tcBorders>
            <w:shd w:val="clear" w:color="auto" w:fill="auto"/>
            <w:noWrap/>
            <w:vAlign w:val="center"/>
            <w:hideMark/>
          </w:tcPr>
          <w:p w14:paraId="7D49242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4.744.752,65</w:t>
            </w:r>
          </w:p>
        </w:tc>
      </w:tr>
      <w:tr w:rsidR="003E19A2" w:rsidRPr="00A81CB8" w14:paraId="4364ABFB"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95D678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F592B5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AE164A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13DF3AA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5D9E64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182.361,34</w:t>
            </w:r>
          </w:p>
        </w:tc>
      </w:tr>
      <w:tr w:rsidR="003E19A2" w:rsidRPr="00A81CB8" w14:paraId="57125882"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2682D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87656F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CENTRAL LA CEBADA</w:t>
            </w:r>
          </w:p>
        </w:tc>
        <w:tc>
          <w:tcPr>
            <w:tcW w:w="1077" w:type="dxa"/>
            <w:tcBorders>
              <w:top w:val="nil"/>
              <w:left w:val="nil"/>
              <w:bottom w:val="single" w:sz="4" w:space="0" w:color="auto"/>
              <w:right w:val="single" w:sz="4" w:space="0" w:color="auto"/>
            </w:tcBorders>
            <w:shd w:val="clear" w:color="auto" w:fill="auto"/>
            <w:noWrap/>
            <w:vAlign w:val="center"/>
            <w:hideMark/>
          </w:tcPr>
          <w:p w14:paraId="7EF2E19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46C4A5C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119D52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195.520,24</w:t>
            </w:r>
          </w:p>
        </w:tc>
      </w:tr>
      <w:tr w:rsidR="003E19A2" w:rsidRPr="00A81CB8" w14:paraId="70D84ABB"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5DA674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56B9750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3CC2E3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P_442</w:t>
            </w:r>
          </w:p>
        </w:tc>
        <w:tc>
          <w:tcPr>
            <w:tcW w:w="3969" w:type="dxa"/>
            <w:tcBorders>
              <w:top w:val="nil"/>
              <w:left w:val="nil"/>
              <w:bottom w:val="single" w:sz="4" w:space="0" w:color="auto"/>
              <w:right w:val="single" w:sz="4" w:space="0" w:color="auto"/>
            </w:tcBorders>
            <w:shd w:val="clear" w:color="auto" w:fill="auto"/>
            <w:noWrap/>
            <w:vAlign w:val="center"/>
            <w:hideMark/>
          </w:tcPr>
          <w:p w14:paraId="6B16D50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Parque Eólico Los Cururos</w:t>
            </w:r>
          </w:p>
        </w:tc>
        <w:tc>
          <w:tcPr>
            <w:tcW w:w="1967" w:type="dxa"/>
            <w:tcBorders>
              <w:top w:val="nil"/>
              <w:left w:val="nil"/>
              <w:bottom w:val="single" w:sz="4" w:space="0" w:color="auto"/>
              <w:right w:val="single" w:sz="4" w:space="0" w:color="auto"/>
            </w:tcBorders>
            <w:shd w:val="clear" w:color="auto" w:fill="auto"/>
            <w:noWrap/>
            <w:vAlign w:val="center"/>
            <w:hideMark/>
          </w:tcPr>
          <w:p w14:paraId="65F7DCA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183.292,57</w:t>
            </w:r>
          </w:p>
        </w:tc>
      </w:tr>
      <w:tr w:rsidR="003E19A2" w:rsidRPr="00A81CB8" w14:paraId="0390442A"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B7C8E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SE-N_32</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09A2AE7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Laberinto</w:t>
            </w:r>
          </w:p>
        </w:tc>
        <w:tc>
          <w:tcPr>
            <w:tcW w:w="1077" w:type="dxa"/>
            <w:tcBorders>
              <w:top w:val="nil"/>
              <w:left w:val="nil"/>
              <w:bottom w:val="single" w:sz="4" w:space="0" w:color="auto"/>
              <w:right w:val="single" w:sz="4" w:space="0" w:color="auto"/>
            </w:tcBorders>
            <w:shd w:val="clear" w:color="auto" w:fill="auto"/>
            <w:noWrap/>
            <w:vAlign w:val="center"/>
            <w:hideMark/>
          </w:tcPr>
          <w:p w14:paraId="410BEAB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01374B8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4158B7C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1.264.642,04</w:t>
            </w:r>
          </w:p>
        </w:tc>
      </w:tr>
      <w:tr w:rsidR="003E19A2" w:rsidRPr="00A81CB8" w14:paraId="6EB8CE4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093B48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D81A4D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19E9BD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P_133</w:t>
            </w:r>
          </w:p>
        </w:tc>
        <w:tc>
          <w:tcPr>
            <w:tcW w:w="3969" w:type="dxa"/>
            <w:tcBorders>
              <w:top w:val="nil"/>
              <w:left w:val="nil"/>
              <w:bottom w:val="single" w:sz="4" w:space="0" w:color="auto"/>
              <w:right w:val="single" w:sz="4" w:space="0" w:color="auto"/>
            </w:tcBorders>
            <w:shd w:val="clear" w:color="auto" w:fill="auto"/>
            <w:noWrap/>
            <w:vAlign w:val="center"/>
            <w:hideMark/>
          </w:tcPr>
          <w:p w14:paraId="3CCE1E2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CODELCO NORTE</w:t>
            </w:r>
          </w:p>
        </w:tc>
        <w:tc>
          <w:tcPr>
            <w:tcW w:w="1967" w:type="dxa"/>
            <w:tcBorders>
              <w:top w:val="nil"/>
              <w:left w:val="nil"/>
              <w:bottom w:val="single" w:sz="4" w:space="0" w:color="auto"/>
              <w:right w:val="single" w:sz="4" w:space="0" w:color="auto"/>
            </w:tcBorders>
            <w:shd w:val="clear" w:color="auto" w:fill="auto"/>
            <w:noWrap/>
            <w:vAlign w:val="center"/>
            <w:hideMark/>
          </w:tcPr>
          <w:p w14:paraId="4A670F0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149.711,47</w:t>
            </w:r>
          </w:p>
        </w:tc>
      </w:tr>
      <w:tr w:rsidR="003E19A2" w:rsidRPr="00A81CB8" w14:paraId="3C9ED670" w14:textId="77777777" w:rsidTr="00725CE1">
        <w:trPr>
          <w:jc w:val="center"/>
        </w:trPr>
        <w:tc>
          <w:tcPr>
            <w:tcW w:w="1985" w:type="dxa"/>
            <w:tcBorders>
              <w:top w:val="single" w:sz="4" w:space="0" w:color="auto"/>
            </w:tcBorders>
            <w:shd w:val="clear" w:color="auto" w:fill="auto"/>
            <w:noWrap/>
            <w:vAlign w:val="center"/>
          </w:tcPr>
          <w:p w14:paraId="42CE0C8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p>
        </w:tc>
        <w:tc>
          <w:tcPr>
            <w:tcW w:w="3969" w:type="dxa"/>
            <w:tcBorders>
              <w:top w:val="single" w:sz="4" w:space="0" w:color="auto"/>
            </w:tcBorders>
            <w:shd w:val="clear" w:color="auto" w:fill="auto"/>
            <w:vAlign w:val="center"/>
          </w:tcPr>
          <w:p w14:paraId="75C35A6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p>
        </w:tc>
        <w:tc>
          <w:tcPr>
            <w:tcW w:w="1077" w:type="dxa"/>
            <w:tcBorders>
              <w:top w:val="single" w:sz="4" w:space="0" w:color="auto"/>
            </w:tcBorders>
            <w:shd w:val="clear" w:color="auto" w:fill="auto"/>
            <w:noWrap/>
            <w:vAlign w:val="center"/>
          </w:tcPr>
          <w:p w14:paraId="6270069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p>
        </w:tc>
        <w:tc>
          <w:tcPr>
            <w:tcW w:w="3969" w:type="dxa"/>
            <w:tcBorders>
              <w:top w:val="single" w:sz="4" w:space="0" w:color="auto"/>
            </w:tcBorders>
            <w:shd w:val="clear" w:color="auto" w:fill="auto"/>
            <w:noWrap/>
            <w:vAlign w:val="center"/>
          </w:tcPr>
          <w:p w14:paraId="7EB8F14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967" w:type="dxa"/>
            <w:tcBorders>
              <w:top w:val="single" w:sz="4" w:space="0" w:color="auto"/>
            </w:tcBorders>
            <w:shd w:val="clear" w:color="auto" w:fill="auto"/>
            <w:noWrap/>
            <w:vAlign w:val="center"/>
          </w:tcPr>
          <w:p w14:paraId="180CC2EE" w14:textId="77777777" w:rsidR="003E19A2" w:rsidRPr="00A81CB8" w:rsidRDefault="003E19A2" w:rsidP="00725CE1">
            <w:pPr>
              <w:spacing w:before="20" w:after="20" w:line="240" w:lineRule="auto"/>
              <w:jc w:val="right"/>
              <w:rPr>
                <w:rFonts w:asciiTheme="minorHAnsi" w:hAnsiTheme="minorHAnsi" w:cs="Calibri"/>
                <w:b/>
                <w:bCs/>
                <w:color w:val="000000"/>
                <w:sz w:val="20"/>
                <w:szCs w:val="20"/>
              </w:rPr>
            </w:pPr>
          </w:p>
        </w:tc>
      </w:tr>
      <w:tr w:rsidR="003E19A2" w:rsidRPr="00A81CB8" w14:paraId="78DA1BBE" w14:textId="77777777" w:rsidTr="00725CE1">
        <w:trPr>
          <w:jc w:val="center"/>
        </w:trPr>
        <w:tc>
          <w:tcPr>
            <w:tcW w:w="1985" w:type="dxa"/>
            <w:tcBorders>
              <w:top w:val="nil"/>
            </w:tcBorders>
            <w:shd w:val="clear" w:color="auto" w:fill="auto"/>
            <w:noWrap/>
            <w:vAlign w:val="center"/>
          </w:tcPr>
          <w:p w14:paraId="3495667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p>
        </w:tc>
        <w:tc>
          <w:tcPr>
            <w:tcW w:w="3969" w:type="dxa"/>
            <w:tcBorders>
              <w:top w:val="nil"/>
            </w:tcBorders>
            <w:shd w:val="clear" w:color="auto" w:fill="auto"/>
            <w:vAlign w:val="center"/>
          </w:tcPr>
          <w:p w14:paraId="6288027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p>
        </w:tc>
        <w:tc>
          <w:tcPr>
            <w:tcW w:w="1077" w:type="dxa"/>
            <w:tcBorders>
              <w:top w:val="nil"/>
            </w:tcBorders>
            <w:shd w:val="clear" w:color="auto" w:fill="auto"/>
            <w:noWrap/>
            <w:vAlign w:val="center"/>
          </w:tcPr>
          <w:p w14:paraId="16D4AF3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p>
        </w:tc>
        <w:tc>
          <w:tcPr>
            <w:tcW w:w="3969" w:type="dxa"/>
            <w:tcBorders>
              <w:top w:val="nil"/>
            </w:tcBorders>
            <w:shd w:val="clear" w:color="auto" w:fill="auto"/>
            <w:noWrap/>
            <w:vAlign w:val="center"/>
          </w:tcPr>
          <w:p w14:paraId="7853564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967" w:type="dxa"/>
            <w:tcBorders>
              <w:top w:val="nil"/>
            </w:tcBorders>
            <w:shd w:val="clear" w:color="auto" w:fill="auto"/>
            <w:noWrap/>
            <w:vAlign w:val="center"/>
          </w:tcPr>
          <w:p w14:paraId="3020E411" w14:textId="77777777" w:rsidR="003E19A2" w:rsidRPr="00A81CB8" w:rsidRDefault="003E19A2" w:rsidP="00725CE1">
            <w:pPr>
              <w:spacing w:before="20" w:after="20" w:line="240" w:lineRule="auto"/>
              <w:jc w:val="right"/>
              <w:rPr>
                <w:rFonts w:asciiTheme="minorHAnsi" w:hAnsiTheme="minorHAnsi" w:cs="Calibri"/>
                <w:b/>
                <w:bCs/>
                <w:color w:val="000000"/>
                <w:sz w:val="20"/>
                <w:szCs w:val="20"/>
              </w:rPr>
            </w:pPr>
          </w:p>
        </w:tc>
      </w:tr>
      <w:tr w:rsidR="003E19A2" w:rsidRPr="00A81CB8" w14:paraId="6CDF42D7" w14:textId="77777777" w:rsidTr="00725CE1">
        <w:trPr>
          <w:jc w:val="center"/>
        </w:trPr>
        <w:tc>
          <w:tcPr>
            <w:tcW w:w="1985" w:type="dxa"/>
            <w:vMerge w:val="restart"/>
            <w:tcBorders>
              <w:left w:val="single" w:sz="4" w:space="0" w:color="auto"/>
              <w:bottom w:val="single" w:sz="4" w:space="0" w:color="auto"/>
              <w:right w:val="single" w:sz="4" w:space="0" w:color="auto"/>
            </w:tcBorders>
            <w:shd w:val="clear" w:color="auto" w:fill="auto"/>
            <w:noWrap/>
            <w:vAlign w:val="center"/>
            <w:hideMark/>
          </w:tcPr>
          <w:p w14:paraId="6267315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SE-N_33</w:t>
            </w:r>
          </w:p>
        </w:tc>
        <w:tc>
          <w:tcPr>
            <w:tcW w:w="3969" w:type="dxa"/>
            <w:vMerge w:val="restart"/>
            <w:tcBorders>
              <w:left w:val="single" w:sz="4" w:space="0" w:color="auto"/>
              <w:bottom w:val="single" w:sz="4" w:space="0" w:color="auto"/>
              <w:right w:val="single" w:sz="4" w:space="0" w:color="auto"/>
            </w:tcBorders>
            <w:shd w:val="clear" w:color="auto" w:fill="auto"/>
            <w:vAlign w:val="center"/>
            <w:hideMark/>
          </w:tcPr>
          <w:p w14:paraId="2BDDF25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LAGUNAS</w:t>
            </w:r>
          </w:p>
        </w:tc>
        <w:tc>
          <w:tcPr>
            <w:tcW w:w="1077" w:type="dxa"/>
            <w:tcBorders>
              <w:left w:val="nil"/>
              <w:bottom w:val="single" w:sz="4" w:space="0" w:color="auto"/>
              <w:right w:val="single" w:sz="4" w:space="0" w:color="auto"/>
            </w:tcBorders>
            <w:shd w:val="clear" w:color="auto" w:fill="auto"/>
            <w:noWrap/>
            <w:vAlign w:val="center"/>
            <w:hideMark/>
          </w:tcPr>
          <w:p w14:paraId="7CA6AB8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left w:val="nil"/>
              <w:bottom w:val="single" w:sz="4" w:space="0" w:color="auto"/>
              <w:right w:val="single" w:sz="4" w:space="0" w:color="auto"/>
            </w:tcBorders>
            <w:shd w:val="clear" w:color="auto" w:fill="auto"/>
            <w:noWrap/>
            <w:vAlign w:val="center"/>
            <w:hideMark/>
          </w:tcPr>
          <w:p w14:paraId="210E3AA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left w:val="nil"/>
              <w:bottom w:val="single" w:sz="4" w:space="0" w:color="auto"/>
              <w:right w:val="single" w:sz="4" w:space="0" w:color="auto"/>
            </w:tcBorders>
            <w:shd w:val="clear" w:color="auto" w:fill="auto"/>
            <w:noWrap/>
            <w:vAlign w:val="center"/>
            <w:hideMark/>
          </w:tcPr>
          <w:p w14:paraId="39EDA4F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6.161.693,25</w:t>
            </w:r>
          </w:p>
        </w:tc>
      </w:tr>
      <w:tr w:rsidR="003E19A2" w:rsidRPr="00A81CB8" w14:paraId="3EB2064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C14368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E7BCB3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E2F69A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P_530</w:t>
            </w:r>
          </w:p>
        </w:tc>
        <w:tc>
          <w:tcPr>
            <w:tcW w:w="3969" w:type="dxa"/>
            <w:tcBorders>
              <w:top w:val="nil"/>
              <w:left w:val="nil"/>
              <w:bottom w:val="single" w:sz="4" w:space="0" w:color="auto"/>
              <w:right w:val="single" w:sz="4" w:space="0" w:color="auto"/>
            </w:tcBorders>
            <w:shd w:val="clear" w:color="auto" w:fill="auto"/>
            <w:noWrap/>
            <w:vAlign w:val="center"/>
            <w:hideMark/>
          </w:tcPr>
          <w:p w14:paraId="6BF4E46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INTERCHILE</w:t>
            </w:r>
          </w:p>
        </w:tc>
        <w:tc>
          <w:tcPr>
            <w:tcW w:w="1967" w:type="dxa"/>
            <w:tcBorders>
              <w:top w:val="nil"/>
              <w:left w:val="nil"/>
              <w:bottom w:val="single" w:sz="4" w:space="0" w:color="auto"/>
              <w:right w:val="single" w:sz="4" w:space="0" w:color="auto"/>
            </w:tcBorders>
            <w:shd w:val="clear" w:color="auto" w:fill="auto"/>
            <w:noWrap/>
            <w:vAlign w:val="center"/>
            <w:hideMark/>
          </w:tcPr>
          <w:p w14:paraId="2CEA971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729.278,60</w:t>
            </w:r>
          </w:p>
        </w:tc>
      </w:tr>
      <w:tr w:rsidR="003E19A2" w:rsidRPr="00A81CB8" w14:paraId="2799086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EA76D8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82142B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F0A01B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3DF06DA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4BAC2F2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14.686,66</w:t>
            </w:r>
          </w:p>
        </w:tc>
      </w:tr>
      <w:tr w:rsidR="003E19A2" w:rsidRPr="00A81CB8" w14:paraId="48EDA0BF"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E494E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SE-N_34</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03196A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LAGUNILLAS</w:t>
            </w:r>
          </w:p>
        </w:tc>
        <w:tc>
          <w:tcPr>
            <w:tcW w:w="1077" w:type="dxa"/>
            <w:tcBorders>
              <w:top w:val="nil"/>
              <w:left w:val="nil"/>
              <w:bottom w:val="single" w:sz="4" w:space="0" w:color="auto"/>
              <w:right w:val="single" w:sz="4" w:space="0" w:color="auto"/>
            </w:tcBorders>
            <w:shd w:val="clear" w:color="auto" w:fill="auto"/>
            <w:noWrap/>
            <w:vAlign w:val="center"/>
            <w:hideMark/>
          </w:tcPr>
          <w:p w14:paraId="496D164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8FC6F9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750FC59"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5.620.828,22</w:t>
            </w:r>
          </w:p>
        </w:tc>
      </w:tr>
      <w:tr w:rsidR="003E19A2" w:rsidRPr="00A81CB8" w14:paraId="4F224FE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F3CA4F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492637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EFD9E3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12ACB99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0757D20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10.211,76</w:t>
            </w:r>
          </w:p>
        </w:tc>
      </w:tr>
      <w:tr w:rsidR="003E19A2" w:rsidRPr="00A81CB8" w14:paraId="64E712DF"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5F610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SE-N_35</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501B024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LAS PALMAS</w:t>
            </w:r>
          </w:p>
        </w:tc>
        <w:tc>
          <w:tcPr>
            <w:tcW w:w="1077" w:type="dxa"/>
            <w:tcBorders>
              <w:top w:val="nil"/>
              <w:left w:val="nil"/>
              <w:bottom w:val="single" w:sz="4" w:space="0" w:color="auto"/>
              <w:right w:val="single" w:sz="4" w:space="0" w:color="auto"/>
            </w:tcBorders>
            <w:shd w:val="clear" w:color="auto" w:fill="auto"/>
            <w:noWrap/>
            <w:vAlign w:val="center"/>
            <w:hideMark/>
          </w:tcPr>
          <w:p w14:paraId="3733D7A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AE5FF4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47F5B8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3.271.196,83</w:t>
            </w:r>
          </w:p>
        </w:tc>
      </w:tr>
      <w:tr w:rsidR="003E19A2" w:rsidRPr="00A81CB8" w14:paraId="6C90C640"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FCBE42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BFBAE2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15460F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P_315</w:t>
            </w:r>
          </w:p>
        </w:tc>
        <w:tc>
          <w:tcPr>
            <w:tcW w:w="3969" w:type="dxa"/>
            <w:tcBorders>
              <w:top w:val="nil"/>
              <w:left w:val="nil"/>
              <w:bottom w:val="single" w:sz="4" w:space="0" w:color="auto"/>
              <w:right w:val="single" w:sz="4" w:space="0" w:color="auto"/>
            </w:tcBorders>
            <w:shd w:val="clear" w:color="auto" w:fill="auto"/>
            <w:noWrap/>
            <w:vAlign w:val="center"/>
            <w:hideMark/>
          </w:tcPr>
          <w:p w14:paraId="3D198F7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Enel Generación</w:t>
            </w:r>
          </w:p>
        </w:tc>
        <w:tc>
          <w:tcPr>
            <w:tcW w:w="1967" w:type="dxa"/>
            <w:tcBorders>
              <w:top w:val="nil"/>
              <w:left w:val="nil"/>
              <w:bottom w:val="single" w:sz="4" w:space="0" w:color="auto"/>
              <w:right w:val="single" w:sz="4" w:space="0" w:color="auto"/>
            </w:tcBorders>
            <w:shd w:val="clear" w:color="auto" w:fill="auto"/>
            <w:noWrap/>
            <w:vAlign w:val="center"/>
            <w:hideMark/>
          </w:tcPr>
          <w:p w14:paraId="18A0D179"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232,00</w:t>
            </w:r>
          </w:p>
        </w:tc>
      </w:tr>
      <w:tr w:rsidR="003E19A2" w:rsidRPr="00A81CB8" w14:paraId="675E5454"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12876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SE-N_37</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26E1418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Los Changos</w:t>
            </w:r>
          </w:p>
        </w:tc>
        <w:tc>
          <w:tcPr>
            <w:tcW w:w="1077" w:type="dxa"/>
            <w:tcBorders>
              <w:top w:val="nil"/>
              <w:left w:val="nil"/>
              <w:bottom w:val="single" w:sz="4" w:space="0" w:color="auto"/>
              <w:right w:val="single" w:sz="4" w:space="0" w:color="auto"/>
            </w:tcBorders>
            <w:shd w:val="clear" w:color="auto" w:fill="auto"/>
            <w:noWrap/>
            <w:vAlign w:val="center"/>
            <w:hideMark/>
          </w:tcPr>
          <w:p w14:paraId="2A9B99F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P_514</w:t>
            </w:r>
          </w:p>
        </w:tc>
        <w:tc>
          <w:tcPr>
            <w:tcW w:w="3969" w:type="dxa"/>
            <w:tcBorders>
              <w:top w:val="nil"/>
              <w:left w:val="nil"/>
              <w:bottom w:val="single" w:sz="4" w:space="0" w:color="auto"/>
              <w:right w:val="single" w:sz="4" w:space="0" w:color="auto"/>
            </w:tcBorders>
            <w:shd w:val="clear" w:color="auto" w:fill="auto"/>
            <w:noWrap/>
            <w:vAlign w:val="center"/>
            <w:hideMark/>
          </w:tcPr>
          <w:p w14:paraId="2E6F060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TEN</w:t>
            </w:r>
          </w:p>
        </w:tc>
        <w:tc>
          <w:tcPr>
            <w:tcW w:w="1967" w:type="dxa"/>
            <w:tcBorders>
              <w:top w:val="nil"/>
              <w:left w:val="nil"/>
              <w:bottom w:val="single" w:sz="4" w:space="0" w:color="auto"/>
              <w:right w:val="single" w:sz="4" w:space="0" w:color="auto"/>
            </w:tcBorders>
            <w:shd w:val="clear" w:color="auto" w:fill="auto"/>
            <w:noWrap/>
            <w:vAlign w:val="center"/>
            <w:hideMark/>
          </w:tcPr>
          <w:p w14:paraId="74471E3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21.739.636,61</w:t>
            </w:r>
          </w:p>
        </w:tc>
      </w:tr>
      <w:tr w:rsidR="003E19A2" w:rsidRPr="00A81CB8" w14:paraId="677AD747"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8D6179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8531BF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6763FFE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25E58A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87CD16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392.627,63</w:t>
            </w:r>
          </w:p>
        </w:tc>
      </w:tr>
      <w:tr w:rsidR="003E19A2" w:rsidRPr="00A81CB8" w14:paraId="31F4373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EA1B4C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SE-N_38</w:t>
            </w:r>
          </w:p>
        </w:tc>
        <w:tc>
          <w:tcPr>
            <w:tcW w:w="3969" w:type="dxa"/>
            <w:tcBorders>
              <w:top w:val="nil"/>
              <w:left w:val="nil"/>
              <w:bottom w:val="single" w:sz="4" w:space="0" w:color="auto"/>
              <w:right w:val="single" w:sz="4" w:space="0" w:color="auto"/>
            </w:tcBorders>
            <w:shd w:val="clear" w:color="auto" w:fill="auto"/>
            <w:vAlign w:val="center"/>
            <w:hideMark/>
          </w:tcPr>
          <w:p w14:paraId="4CA21FE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LOS MAQUIS</w:t>
            </w:r>
          </w:p>
        </w:tc>
        <w:tc>
          <w:tcPr>
            <w:tcW w:w="1077" w:type="dxa"/>
            <w:tcBorders>
              <w:top w:val="nil"/>
              <w:left w:val="nil"/>
              <w:bottom w:val="single" w:sz="4" w:space="0" w:color="auto"/>
              <w:right w:val="single" w:sz="4" w:space="0" w:color="auto"/>
            </w:tcBorders>
            <w:shd w:val="clear" w:color="auto" w:fill="auto"/>
            <w:noWrap/>
            <w:vAlign w:val="center"/>
            <w:hideMark/>
          </w:tcPr>
          <w:p w14:paraId="02AE851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7C3552B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24B43F7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1.567.736,76</w:t>
            </w:r>
          </w:p>
        </w:tc>
      </w:tr>
      <w:tr w:rsidR="003E19A2" w:rsidRPr="00A81CB8" w14:paraId="74852EB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F6F12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SE-N_39</w:t>
            </w:r>
          </w:p>
        </w:tc>
        <w:tc>
          <w:tcPr>
            <w:tcW w:w="3969" w:type="dxa"/>
            <w:tcBorders>
              <w:top w:val="nil"/>
              <w:left w:val="nil"/>
              <w:bottom w:val="single" w:sz="4" w:space="0" w:color="auto"/>
              <w:right w:val="single" w:sz="4" w:space="0" w:color="auto"/>
            </w:tcBorders>
            <w:shd w:val="clear" w:color="auto" w:fill="auto"/>
            <w:vAlign w:val="center"/>
            <w:hideMark/>
          </w:tcPr>
          <w:p w14:paraId="1C8F2E0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Los Peumos</w:t>
            </w:r>
          </w:p>
        </w:tc>
        <w:tc>
          <w:tcPr>
            <w:tcW w:w="1077" w:type="dxa"/>
            <w:tcBorders>
              <w:top w:val="nil"/>
              <w:left w:val="nil"/>
              <w:bottom w:val="single" w:sz="4" w:space="0" w:color="auto"/>
              <w:right w:val="single" w:sz="4" w:space="0" w:color="auto"/>
            </w:tcBorders>
            <w:shd w:val="clear" w:color="auto" w:fill="auto"/>
            <w:noWrap/>
            <w:vAlign w:val="center"/>
            <w:hideMark/>
          </w:tcPr>
          <w:p w14:paraId="3BE5A4D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73F20A2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277CA9A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6.493.354,91</w:t>
            </w:r>
          </w:p>
        </w:tc>
      </w:tr>
      <w:tr w:rsidR="003E19A2" w:rsidRPr="00A81CB8" w14:paraId="6E77F1B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45E853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SE-N_40</w:t>
            </w:r>
          </w:p>
        </w:tc>
        <w:tc>
          <w:tcPr>
            <w:tcW w:w="3969" w:type="dxa"/>
            <w:tcBorders>
              <w:top w:val="nil"/>
              <w:left w:val="nil"/>
              <w:bottom w:val="single" w:sz="4" w:space="0" w:color="auto"/>
              <w:right w:val="single" w:sz="4" w:space="0" w:color="auto"/>
            </w:tcBorders>
            <w:shd w:val="clear" w:color="auto" w:fill="auto"/>
            <w:vAlign w:val="center"/>
            <w:hideMark/>
          </w:tcPr>
          <w:p w14:paraId="29295B5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LOS VILOS</w:t>
            </w:r>
          </w:p>
        </w:tc>
        <w:tc>
          <w:tcPr>
            <w:tcW w:w="1077" w:type="dxa"/>
            <w:tcBorders>
              <w:top w:val="nil"/>
              <w:left w:val="nil"/>
              <w:bottom w:val="single" w:sz="4" w:space="0" w:color="auto"/>
              <w:right w:val="single" w:sz="4" w:space="0" w:color="auto"/>
            </w:tcBorders>
            <w:shd w:val="clear" w:color="auto" w:fill="auto"/>
            <w:noWrap/>
            <w:vAlign w:val="center"/>
            <w:hideMark/>
          </w:tcPr>
          <w:p w14:paraId="32A1A93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EE66F6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694DF33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2.713.075,84</w:t>
            </w:r>
          </w:p>
        </w:tc>
      </w:tr>
      <w:tr w:rsidR="003E19A2" w:rsidRPr="00A81CB8" w14:paraId="64F5B89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A812C4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SE-N_41</w:t>
            </w:r>
          </w:p>
        </w:tc>
        <w:tc>
          <w:tcPr>
            <w:tcW w:w="3969" w:type="dxa"/>
            <w:tcBorders>
              <w:top w:val="nil"/>
              <w:left w:val="nil"/>
              <w:bottom w:val="single" w:sz="4" w:space="0" w:color="auto"/>
              <w:right w:val="single" w:sz="4" w:space="0" w:color="auto"/>
            </w:tcBorders>
            <w:shd w:val="clear" w:color="auto" w:fill="auto"/>
            <w:vAlign w:val="center"/>
            <w:hideMark/>
          </w:tcPr>
          <w:p w14:paraId="188BC91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Maipo</w:t>
            </w:r>
          </w:p>
        </w:tc>
        <w:tc>
          <w:tcPr>
            <w:tcW w:w="1077" w:type="dxa"/>
            <w:tcBorders>
              <w:top w:val="nil"/>
              <w:left w:val="nil"/>
              <w:bottom w:val="single" w:sz="4" w:space="0" w:color="auto"/>
              <w:right w:val="single" w:sz="4" w:space="0" w:color="auto"/>
            </w:tcBorders>
            <w:shd w:val="clear" w:color="auto" w:fill="auto"/>
            <w:noWrap/>
            <w:vAlign w:val="center"/>
            <w:hideMark/>
          </w:tcPr>
          <w:p w14:paraId="45AEBE3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5BC420A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0E260E0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8.115.098,82</w:t>
            </w:r>
          </w:p>
        </w:tc>
      </w:tr>
      <w:tr w:rsidR="003E19A2" w:rsidRPr="00A81CB8" w14:paraId="0756D1D1"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B7C86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SE-N_42</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2901D2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MAITENCILLO</w:t>
            </w:r>
          </w:p>
        </w:tc>
        <w:tc>
          <w:tcPr>
            <w:tcW w:w="1077" w:type="dxa"/>
            <w:tcBorders>
              <w:top w:val="nil"/>
              <w:left w:val="nil"/>
              <w:bottom w:val="single" w:sz="4" w:space="0" w:color="auto"/>
              <w:right w:val="single" w:sz="4" w:space="0" w:color="auto"/>
            </w:tcBorders>
            <w:shd w:val="clear" w:color="auto" w:fill="auto"/>
            <w:noWrap/>
            <w:vAlign w:val="center"/>
            <w:hideMark/>
          </w:tcPr>
          <w:p w14:paraId="2DBBB6D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156317A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58E18B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19.561.999,06</w:t>
            </w:r>
          </w:p>
        </w:tc>
      </w:tr>
      <w:tr w:rsidR="003E19A2" w:rsidRPr="00A81CB8" w14:paraId="7468A281"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8BBEE4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CB1123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0142AC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60B9347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3C1E607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291.123,89</w:t>
            </w:r>
          </w:p>
        </w:tc>
      </w:tr>
      <w:tr w:rsidR="003E19A2" w:rsidRPr="00A81CB8" w14:paraId="490DD7CE"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D2F1BC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34AB23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3A4802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P_582</w:t>
            </w:r>
          </w:p>
        </w:tc>
        <w:tc>
          <w:tcPr>
            <w:tcW w:w="3969" w:type="dxa"/>
            <w:tcBorders>
              <w:top w:val="nil"/>
              <w:left w:val="nil"/>
              <w:bottom w:val="single" w:sz="4" w:space="0" w:color="auto"/>
              <w:right w:val="single" w:sz="4" w:space="0" w:color="auto"/>
            </w:tcBorders>
            <w:shd w:val="clear" w:color="auto" w:fill="auto"/>
            <w:noWrap/>
            <w:vAlign w:val="center"/>
            <w:hideMark/>
          </w:tcPr>
          <w:p w14:paraId="78D49E7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LINEA DE TRANSMISION CABO LEONES</w:t>
            </w:r>
          </w:p>
        </w:tc>
        <w:tc>
          <w:tcPr>
            <w:tcW w:w="1967" w:type="dxa"/>
            <w:tcBorders>
              <w:top w:val="nil"/>
              <w:left w:val="nil"/>
              <w:bottom w:val="single" w:sz="4" w:space="0" w:color="auto"/>
              <w:right w:val="single" w:sz="4" w:space="0" w:color="auto"/>
            </w:tcBorders>
            <w:shd w:val="clear" w:color="auto" w:fill="auto"/>
            <w:noWrap/>
            <w:vAlign w:val="center"/>
            <w:hideMark/>
          </w:tcPr>
          <w:p w14:paraId="0FD0670B"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450.015,50</w:t>
            </w:r>
          </w:p>
        </w:tc>
      </w:tr>
      <w:tr w:rsidR="003E19A2" w:rsidRPr="00A81CB8" w14:paraId="6423E390"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31CC64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71EEDCA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3946E4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P_476</w:t>
            </w:r>
          </w:p>
        </w:tc>
        <w:tc>
          <w:tcPr>
            <w:tcW w:w="3969" w:type="dxa"/>
            <w:tcBorders>
              <w:top w:val="nil"/>
              <w:left w:val="nil"/>
              <w:bottom w:val="single" w:sz="4" w:space="0" w:color="auto"/>
              <w:right w:val="single" w:sz="4" w:space="0" w:color="auto"/>
            </w:tcBorders>
            <w:shd w:val="clear" w:color="auto" w:fill="auto"/>
            <w:noWrap/>
            <w:vAlign w:val="center"/>
            <w:hideMark/>
          </w:tcPr>
          <w:p w14:paraId="205771D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STN</w:t>
            </w:r>
          </w:p>
        </w:tc>
        <w:tc>
          <w:tcPr>
            <w:tcW w:w="1967" w:type="dxa"/>
            <w:tcBorders>
              <w:top w:val="nil"/>
              <w:left w:val="nil"/>
              <w:bottom w:val="single" w:sz="4" w:space="0" w:color="auto"/>
              <w:right w:val="single" w:sz="4" w:space="0" w:color="auto"/>
            </w:tcBorders>
            <w:shd w:val="clear" w:color="auto" w:fill="auto"/>
            <w:noWrap/>
            <w:vAlign w:val="center"/>
            <w:hideMark/>
          </w:tcPr>
          <w:p w14:paraId="55B6E2B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1.667,07</w:t>
            </w:r>
          </w:p>
        </w:tc>
      </w:tr>
      <w:tr w:rsidR="003E19A2" w:rsidRPr="00A81CB8" w14:paraId="624D0ED2"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DDF2C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SE-N_43</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0B8034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María Elena</w:t>
            </w:r>
          </w:p>
        </w:tc>
        <w:tc>
          <w:tcPr>
            <w:tcW w:w="1077" w:type="dxa"/>
            <w:tcBorders>
              <w:top w:val="nil"/>
              <w:left w:val="nil"/>
              <w:bottom w:val="single" w:sz="4" w:space="0" w:color="auto"/>
              <w:right w:val="single" w:sz="4" w:space="0" w:color="auto"/>
            </w:tcBorders>
            <w:shd w:val="clear" w:color="auto" w:fill="auto"/>
            <w:noWrap/>
            <w:vAlign w:val="center"/>
            <w:hideMark/>
          </w:tcPr>
          <w:p w14:paraId="7E638B9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P_480</w:t>
            </w:r>
          </w:p>
        </w:tc>
        <w:tc>
          <w:tcPr>
            <w:tcW w:w="3969" w:type="dxa"/>
            <w:tcBorders>
              <w:top w:val="nil"/>
              <w:left w:val="nil"/>
              <w:bottom w:val="single" w:sz="4" w:space="0" w:color="auto"/>
              <w:right w:val="single" w:sz="4" w:space="0" w:color="auto"/>
            </w:tcBorders>
            <w:shd w:val="clear" w:color="auto" w:fill="auto"/>
            <w:noWrap/>
            <w:vAlign w:val="center"/>
            <w:hideMark/>
          </w:tcPr>
          <w:p w14:paraId="4BEF324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SATT</w:t>
            </w:r>
          </w:p>
        </w:tc>
        <w:tc>
          <w:tcPr>
            <w:tcW w:w="1967" w:type="dxa"/>
            <w:tcBorders>
              <w:top w:val="nil"/>
              <w:left w:val="nil"/>
              <w:bottom w:val="single" w:sz="4" w:space="0" w:color="auto"/>
              <w:right w:val="single" w:sz="4" w:space="0" w:color="auto"/>
            </w:tcBorders>
            <w:shd w:val="clear" w:color="auto" w:fill="auto"/>
            <w:noWrap/>
            <w:vAlign w:val="center"/>
            <w:hideMark/>
          </w:tcPr>
          <w:p w14:paraId="326831D9"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4.238.357,39</w:t>
            </w:r>
          </w:p>
        </w:tc>
      </w:tr>
      <w:tr w:rsidR="003E19A2" w:rsidRPr="00A81CB8" w14:paraId="1EFF1094"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13E88F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718930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4CCD7E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6183450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03FD144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286.235,38</w:t>
            </w:r>
          </w:p>
        </w:tc>
      </w:tr>
      <w:tr w:rsidR="003E19A2" w:rsidRPr="00A81CB8" w14:paraId="18C0E416"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A2BC71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C82C36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F9044A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P_344</w:t>
            </w:r>
          </w:p>
        </w:tc>
        <w:tc>
          <w:tcPr>
            <w:tcW w:w="3969" w:type="dxa"/>
            <w:tcBorders>
              <w:top w:val="nil"/>
              <w:left w:val="nil"/>
              <w:bottom w:val="single" w:sz="4" w:space="0" w:color="auto"/>
              <w:right w:val="single" w:sz="4" w:space="0" w:color="auto"/>
            </w:tcBorders>
            <w:shd w:val="clear" w:color="auto" w:fill="auto"/>
            <w:noWrap/>
            <w:vAlign w:val="center"/>
            <w:hideMark/>
          </w:tcPr>
          <w:p w14:paraId="5CA59D0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Solar SpA</w:t>
            </w:r>
          </w:p>
        </w:tc>
        <w:tc>
          <w:tcPr>
            <w:tcW w:w="1967" w:type="dxa"/>
            <w:tcBorders>
              <w:top w:val="nil"/>
              <w:left w:val="nil"/>
              <w:bottom w:val="single" w:sz="4" w:space="0" w:color="auto"/>
              <w:right w:val="single" w:sz="4" w:space="0" w:color="auto"/>
            </w:tcBorders>
            <w:shd w:val="clear" w:color="auto" w:fill="auto"/>
            <w:noWrap/>
            <w:vAlign w:val="center"/>
            <w:hideMark/>
          </w:tcPr>
          <w:p w14:paraId="58859C1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39.852,51</w:t>
            </w:r>
          </w:p>
        </w:tc>
      </w:tr>
      <w:tr w:rsidR="003E19A2" w:rsidRPr="00A81CB8" w14:paraId="48B4EBF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AFAE46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SE-N_44</w:t>
            </w:r>
          </w:p>
        </w:tc>
        <w:tc>
          <w:tcPr>
            <w:tcW w:w="3969" w:type="dxa"/>
            <w:tcBorders>
              <w:top w:val="nil"/>
              <w:left w:val="nil"/>
              <w:bottom w:val="single" w:sz="4" w:space="0" w:color="auto"/>
              <w:right w:val="single" w:sz="4" w:space="0" w:color="auto"/>
            </w:tcBorders>
            <w:shd w:val="clear" w:color="auto" w:fill="auto"/>
            <w:vAlign w:val="center"/>
            <w:hideMark/>
          </w:tcPr>
          <w:p w14:paraId="4619170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Melipulli</w:t>
            </w:r>
          </w:p>
        </w:tc>
        <w:tc>
          <w:tcPr>
            <w:tcW w:w="1077" w:type="dxa"/>
            <w:tcBorders>
              <w:top w:val="nil"/>
              <w:left w:val="nil"/>
              <w:bottom w:val="single" w:sz="4" w:space="0" w:color="auto"/>
              <w:right w:val="single" w:sz="4" w:space="0" w:color="auto"/>
            </w:tcBorders>
            <w:shd w:val="clear" w:color="auto" w:fill="auto"/>
            <w:noWrap/>
            <w:vAlign w:val="center"/>
            <w:hideMark/>
          </w:tcPr>
          <w:p w14:paraId="4B95A96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478FEAC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772E5D0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5.781.405,82</w:t>
            </w:r>
          </w:p>
        </w:tc>
      </w:tr>
      <w:tr w:rsidR="003E19A2" w:rsidRPr="00A81CB8" w14:paraId="4B40157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FCCD1D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SE-N_45</w:t>
            </w:r>
          </w:p>
        </w:tc>
        <w:tc>
          <w:tcPr>
            <w:tcW w:w="3969" w:type="dxa"/>
            <w:tcBorders>
              <w:top w:val="nil"/>
              <w:left w:val="nil"/>
              <w:bottom w:val="single" w:sz="4" w:space="0" w:color="auto"/>
              <w:right w:val="single" w:sz="4" w:space="0" w:color="auto"/>
            </w:tcBorders>
            <w:shd w:val="clear" w:color="auto" w:fill="auto"/>
            <w:vAlign w:val="center"/>
            <w:hideMark/>
          </w:tcPr>
          <w:p w14:paraId="4F9C36D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MIRAJE</w:t>
            </w:r>
          </w:p>
        </w:tc>
        <w:tc>
          <w:tcPr>
            <w:tcW w:w="1077" w:type="dxa"/>
            <w:tcBorders>
              <w:top w:val="nil"/>
              <w:left w:val="nil"/>
              <w:bottom w:val="single" w:sz="4" w:space="0" w:color="auto"/>
              <w:right w:val="single" w:sz="4" w:space="0" w:color="auto"/>
            </w:tcBorders>
            <w:shd w:val="clear" w:color="auto" w:fill="auto"/>
            <w:noWrap/>
            <w:vAlign w:val="center"/>
            <w:hideMark/>
          </w:tcPr>
          <w:p w14:paraId="36F1E13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85959B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6D3827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1.832.269,49</w:t>
            </w:r>
          </w:p>
        </w:tc>
      </w:tr>
      <w:tr w:rsidR="003E19A2" w:rsidRPr="00A81CB8" w14:paraId="77470717"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84966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SE-N_46</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D8BBAC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Mulchén</w:t>
            </w:r>
          </w:p>
        </w:tc>
        <w:tc>
          <w:tcPr>
            <w:tcW w:w="1077" w:type="dxa"/>
            <w:tcBorders>
              <w:top w:val="nil"/>
              <w:left w:val="nil"/>
              <w:bottom w:val="single" w:sz="4" w:space="0" w:color="auto"/>
              <w:right w:val="single" w:sz="4" w:space="0" w:color="auto"/>
            </w:tcBorders>
            <w:shd w:val="clear" w:color="auto" w:fill="auto"/>
            <w:noWrap/>
            <w:vAlign w:val="center"/>
            <w:hideMark/>
          </w:tcPr>
          <w:p w14:paraId="14891C6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6B13EA3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760D4CC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2.472.077,23</w:t>
            </w:r>
          </w:p>
        </w:tc>
      </w:tr>
      <w:tr w:rsidR="003E19A2" w:rsidRPr="00A81CB8" w14:paraId="4E06980D"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AE8025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1AF206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67B8E1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P_123</w:t>
            </w:r>
          </w:p>
        </w:tc>
        <w:tc>
          <w:tcPr>
            <w:tcW w:w="3969" w:type="dxa"/>
            <w:tcBorders>
              <w:top w:val="nil"/>
              <w:left w:val="nil"/>
              <w:bottom w:val="single" w:sz="4" w:space="0" w:color="auto"/>
              <w:right w:val="single" w:sz="4" w:space="0" w:color="auto"/>
            </w:tcBorders>
            <w:shd w:val="clear" w:color="auto" w:fill="auto"/>
            <w:noWrap/>
            <w:vAlign w:val="center"/>
            <w:hideMark/>
          </w:tcPr>
          <w:p w14:paraId="6D073E2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FRONTEL</w:t>
            </w:r>
          </w:p>
        </w:tc>
        <w:tc>
          <w:tcPr>
            <w:tcW w:w="1967" w:type="dxa"/>
            <w:tcBorders>
              <w:top w:val="nil"/>
              <w:left w:val="nil"/>
              <w:bottom w:val="single" w:sz="4" w:space="0" w:color="auto"/>
              <w:right w:val="single" w:sz="4" w:space="0" w:color="auto"/>
            </w:tcBorders>
            <w:shd w:val="clear" w:color="auto" w:fill="auto"/>
            <w:noWrap/>
            <w:vAlign w:val="center"/>
            <w:hideMark/>
          </w:tcPr>
          <w:p w14:paraId="49E76B2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60.740,59</w:t>
            </w:r>
          </w:p>
        </w:tc>
      </w:tr>
      <w:tr w:rsidR="003E19A2" w:rsidRPr="00A81CB8" w14:paraId="433DB02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E03FF3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tcBorders>
              <w:top w:val="nil"/>
              <w:left w:val="nil"/>
              <w:bottom w:val="single" w:sz="4" w:space="0" w:color="auto"/>
              <w:right w:val="single" w:sz="4" w:space="0" w:color="auto"/>
            </w:tcBorders>
            <w:shd w:val="clear" w:color="auto" w:fill="auto"/>
            <w:vAlign w:val="center"/>
            <w:hideMark/>
          </w:tcPr>
          <w:p w14:paraId="2A63C32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RE: MULCHEN</w:t>
            </w:r>
          </w:p>
        </w:tc>
        <w:tc>
          <w:tcPr>
            <w:tcW w:w="1077" w:type="dxa"/>
            <w:tcBorders>
              <w:top w:val="nil"/>
              <w:left w:val="nil"/>
              <w:bottom w:val="single" w:sz="4" w:space="0" w:color="auto"/>
              <w:right w:val="single" w:sz="4" w:space="0" w:color="auto"/>
            </w:tcBorders>
            <w:shd w:val="clear" w:color="auto" w:fill="auto"/>
            <w:noWrap/>
            <w:vAlign w:val="center"/>
            <w:hideMark/>
          </w:tcPr>
          <w:p w14:paraId="504313C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85A73E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11CA6F5"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136.622,70</w:t>
            </w:r>
          </w:p>
        </w:tc>
      </w:tr>
      <w:tr w:rsidR="003E19A2" w:rsidRPr="00A81CB8" w14:paraId="3353365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09C06B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SE-N_47</w:t>
            </w:r>
          </w:p>
        </w:tc>
        <w:tc>
          <w:tcPr>
            <w:tcW w:w="3969" w:type="dxa"/>
            <w:tcBorders>
              <w:top w:val="nil"/>
              <w:left w:val="nil"/>
              <w:bottom w:val="single" w:sz="4" w:space="0" w:color="auto"/>
              <w:right w:val="single" w:sz="4" w:space="0" w:color="auto"/>
            </w:tcBorders>
            <w:shd w:val="clear" w:color="auto" w:fill="auto"/>
            <w:vAlign w:val="center"/>
            <w:hideMark/>
          </w:tcPr>
          <w:p w14:paraId="6CBA560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NEPTUNO</w:t>
            </w:r>
          </w:p>
        </w:tc>
        <w:tc>
          <w:tcPr>
            <w:tcW w:w="1077" w:type="dxa"/>
            <w:tcBorders>
              <w:top w:val="nil"/>
              <w:left w:val="nil"/>
              <w:bottom w:val="single" w:sz="4" w:space="0" w:color="auto"/>
              <w:right w:val="single" w:sz="4" w:space="0" w:color="auto"/>
            </w:tcBorders>
            <w:shd w:val="clear" w:color="auto" w:fill="auto"/>
            <w:noWrap/>
            <w:vAlign w:val="center"/>
            <w:hideMark/>
          </w:tcPr>
          <w:p w14:paraId="4383F3B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8294F9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23DEBF0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1.388.850,55</w:t>
            </w:r>
          </w:p>
        </w:tc>
      </w:tr>
      <w:tr w:rsidR="003E19A2" w:rsidRPr="00A81CB8" w14:paraId="73E82B9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A58E72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SE-N_48</w:t>
            </w:r>
          </w:p>
        </w:tc>
        <w:tc>
          <w:tcPr>
            <w:tcW w:w="3969" w:type="dxa"/>
            <w:tcBorders>
              <w:top w:val="nil"/>
              <w:left w:val="nil"/>
              <w:bottom w:val="single" w:sz="4" w:space="0" w:color="auto"/>
              <w:right w:val="single" w:sz="4" w:space="0" w:color="auto"/>
            </w:tcBorders>
            <w:shd w:val="clear" w:color="auto" w:fill="auto"/>
            <w:vAlign w:val="center"/>
            <w:hideMark/>
          </w:tcPr>
          <w:p w14:paraId="5FA7749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NOGALES</w:t>
            </w:r>
          </w:p>
        </w:tc>
        <w:tc>
          <w:tcPr>
            <w:tcW w:w="1077" w:type="dxa"/>
            <w:tcBorders>
              <w:top w:val="nil"/>
              <w:left w:val="nil"/>
              <w:bottom w:val="single" w:sz="4" w:space="0" w:color="auto"/>
              <w:right w:val="single" w:sz="4" w:space="0" w:color="auto"/>
            </w:tcBorders>
            <w:shd w:val="clear" w:color="auto" w:fill="auto"/>
            <w:noWrap/>
            <w:vAlign w:val="center"/>
            <w:hideMark/>
          </w:tcPr>
          <w:p w14:paraId="3630A70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383F5F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78807A7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1.460.043,58</w:t>
            </w:r>
          </w:p>
        </w:tc>
      </w:tr>
      <w:tr w:rsidR="003E19A2" w:rsidRPr="00A81CB8" w14:paraId="569044A3"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DCDE0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SE-N_50</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03F7A5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Nueva Cardones</w:t>
            </w:r>
          </w:p>
        </w:tc>
        <w:tc>
          <w:tcPr>
            <w:tcW w:w="1077" w:type="dxa"/>
            <w:tcBorders>
              <w:top w:val="nil"/>
              <w:left w:val="nil"/>
              <w:bottom w:val="single" w:sz="4" w:space="0" w:color="auto"/>
              <w:right w:val="single" w:sz="4" w:space="0" w:color="auto"/>
            </w:tcBorders>
            <w:shd w:val="clear" w:color="auto" w:fill="auto"/>
            <w:noWrap/>
            <w:vAlign w:val="center"/>
            <w:hideMark/>
          </w:tcPr>
          <w:p w14:paraId="0E45C28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P_514</w:t>
            </w:r>
          </w:p>
        </w:tc>
        <w:tc>
          <w:tcPr>
            <w:tcW w:w="3969" w:type="dxa"/>
            <w:tcBorders>
              <w:top w:val="nil"/>
              <w:left w:val="nil"/>
              <w:bottom w:val="single" w:sz="4" w:space="0" w:color="auto"/>
              <w:right w:val="single" w:sz="4" w:space="0" w:color="auto"/>
            </w:tcBorders>
            <w:shd w:val="clear" w:color="auto" w:fill="auto"/>
            <w:noWrap/>
            <w:vAlign w:val="center"/>
            <w:hideMark/>
          </w:tcPr>
          <w:p w14:paraId="2544D49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TEN</w:t>
            </w:r>
          </w:p>
        </w:tc>
        <w:tc>
          <w:tcPr>
            <w:tcW w:w="1967" w:type="dxa"/>
            <w:tcBorders>
              <w:top w:val="nil"/>
              <w:left w:val="nil"/>
              <w:bottom w:val="single" w:sz="4" w:space="0" w:color="auto"/>
              <w:right w:val="single" w:sz="4" w:space="0" w:color="auto"/>
            </w:tcBorders>
            <w:shd w:val="clear" w:color="auto" w:fill="auto"/>
            <w:noWrap/>
            <w:vAlign w:val="center"/>
            <w:hideMark/>
          </w:tcPr>
          <w:p w14:paraId="5C9B8D8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10.057.748,99</w:t>
            </w:r>
          </w:p>
        </w:tc>
      </w:tr>
      <w:tr w:rsidR="003E19A2" w:rsidRPr="00A81CB8" w14:paraId="461070D1"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7A5F29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458485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9DD434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P_530</w:t>
            </w:r>
          </w:p>
        </w:tc>
        <w:tc>
          <w:tcPr>
            <w:tcW w:w="3969" w:type="dxa"/>
            <w:tcBorders>
              <w:top w:val="nil"/>
              <w:left w:val="nil"/>
              <w:bottom w:val="single" w:sz="4" w:space="0" w:color="auto"/>
              <w:right w:val="single" w:sz="4" w:space="0" w:color="auto"/>
            </w:tcBorders>
            <w:shd w:val="clear" w:color="auto" w:fill="auto"/>
            <w:noWrap/>
            <w:vAlign w:val="center"/>
            <w:hideMark/>
          </w:tcPr>
          <w:p w14:paraId="786B8BD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INTERCHILE</w:t>
            </w:r>
          </w:p>
        </w:tc>
        <w:tc>
          <w:tcPr>
            <w:tcW w:w="1967" w:type="dxa"/>
            <w:tcBorders>
              <w:top w:val="nil"/>
              <w:left w:val="nil"/>
              <w:bottom w:val="single" w:sz="4" w:space="0" w:color="auto"/>
              <w:right w:val="single" w:sz="4" w:space="0" w:color="auto"/>
            </w:tcBorders>
            <w:shd w:val="clear" w:color="auto" w:fill="auto"/>
            <w:noWrap/>
            <w:vAlign w:val="center"/>
            <w:hideMark/>
          </w:tcPr>
          <w:p w14:paraId="50E0405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2.548.598,05</w:t>
            </w:r>
          </w:p>
        </w:tc>
      </w:tr>
      <w:tr w:rsidR="003E19A2" w:rsidRPr="00A81CB8" w14:paraId="0494FE5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FC4D26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SE-N_51</w:t>
            </w:r>
          </w:p>
        </w:tc>
        <w:tc>
          <w:tcPr>
            <w:tcW w:w="3969" w:type="dxa"/>
            <w:tcBorders>
              <w:top w:val="nil"/>
              <w:left w:val="nil"/>
              <w:bottom w:val="single" w:sz="4" w:space="0" w:color="auto"/>
              <w:right w:val="single" w:sz="4" w:space="0" w:color="auto"/>
            </w:tcBorders>
            <w:shd w:val="clear" w:color="auto" w:fill="auto"/>
            <w:vAlign w:val="center"/>
            <w:hideMark/>
          </w:tcPr>
          <w:p w14:paraId="3CC8700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Nueva Pichirropulli</w:t>
            </w:r>
          </w:p>
        </w:tc>
        <w:tc>
          <w:tcPr>
            <w:tcW w:w="1077" w:type="dxa"/>
            <w:tcBorders>
              <w:top w:val="nil"/>
              <w:left w:val="nil"/>
              <w:bottom w:val="single" w:sz="4" w:space="0" w:color="auto"/>
              <w:right w:val="single" w:sz="4" w:space="0" w:color="auto"/>
            </w:tcBorders>
            <w:shd w:val="clear" w:color="auto" w:fill="auto"/>
            <w:noWrap/>
            <w:vAlign w:val="center"/>
            <w:hideMark/>
          </w:tcPr>
          <w:p w14:paraId="707F198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P_290</w:t>
            </w:r>
          </w:p>
        </w:tc>
        <w:tc>
          <w:tcPr>
            <w:tcW w:w="3969" w:type="dxa"/>
            <w:tcBorders>
              <w:top w:val="nil"/>
              <w:left w:val="nil"/>
              <w:bottom w:val="single" w:sz="4" w:space="0" w:color="auto"/>
              <w:right w:val="single" w:sz="4" w:space="0" w:color="auto"/>
            </w:tcBorders>
            <w:shd w:val="clear" w:color="auto" w:fill="auto"/>
            <w:noWrap/>
            <w:vAlign w:val="center"/>
            <w:hideMark/>
          </w:tcPr>
          <w:p w14:paraId="57025CF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Eletrans</w:t>
            </w:r>
          </w:p>
        </w:tc>
        <w:tc>
          <w:tcPr>
            <w:tcW w:w="1967" w:type="dxa"/>
            <w:tcBorders>
              <w:top w:val="nil"/>
              <w:left w:val="nil"/>
              <w:bottom w:val="single" w:sz="4" w:space="0" w:color="auto"/>
              <w:right w:val="single" w:sz="4" w:space="0" w:color="auto"/>
            </w:tcBorders>
            <w:shd w:val="clear" w:color="auto" w:fill="auto"/>
            <w:noWrap/>
            <w:vAlign w:val="center"/>
            <w:hideMark/>
          </w:tcPr>
          <w:p w14:paraId="10B4D67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5.733.250,20</w:t>
            </w:r>
          </w:p>
        </w:tc>
      </w:tr>
      <w:tr w:rsidR="003E19A2" w:rsidRPr="00A81CB8" w14:paraId="65BC246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2EEC27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SE-N_53</w:t>
            </w:r>
          </w:p>
        </w:tc>
        <w:tc>
          <w:tcPr>
            <w:tcW w:w="3969" w:type="dxa"/>
            <w:tcBorders>
              <w:top w:val="nil"/>
              <w:left w:val="nil"/>
              <w:bottom w:val="single" w:sz="4" w:space="0" w:color="auto"/>
              <w:right w:val="single" w:sz="4" w:space="0" w:color="auto"/>
            </w:tcBorders>
            <w:shd w:val="clear" w:color="auto" w:fill="auto"/>
            <w:vAlign w:val="center"/>
            <w:hideMark/>
          </w:tcPr>
          <w:p w14:paraId="7CA6840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O'Higgins</w:t>
            </w:r>
          </w:p>
        </w:tc>
        <w:tc>
          <w:tcPr>
            <w:tcW w:w="1077" w:type="dxa"/>
            <w:tcBorders>
              <w:top w:val="nil"/>
              <w:left w:val="nil"/>
              <w:bottom w:val="single" w:sz="4" w:space="0" w:color="auto"/>
              <w:right w:val="single" w:sz="4" w:space="0" w:color="auto"/>
            </w:tcBorders>
            <w:shd w:val="clear" w:color="auto" w:fill="auto"/>
            <w:noWrap/>
            <w:vAlign w:val="center"/>
            <w:hideMark/>
          </w:tcPr>
          <w:p w14:paraId="1B22E61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P_418</w:t>
            </w:r>
          </w:p>
        </w:tc>
        <w:tc>
          <w:tcPr>
            <w:tcW w:w="3969" w:type="dxa"/>
            <w:tcBorders>
              <w:top w:val="nil"/>
              <w:left w:val="nil"/>
              <w:bottom w:val="single" w:sz="4" w:space="0" w:color="auto"/>
              <w:right w:val="single" w:sz="4" w:space="0" w:color="auto"/>
            </w:tcBorders>
            <w:shd w:val="clear" w:color="auto" w:fill="auto"/>
            <w:noWrap/>
            <w:vAlign w:val="center"/>
            <w:hideMark/>
          </w:tcPr>
          <w:p w14:paraId="24E2D8F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Minera Escondida</w:t>
            </w:r>
          </w:p>
        </w:tc>
        <w:tc>
          <w:tcPr>
            <w:tcW w:w="1967" w:type="dxa"/>
            <w:tcBorders>
              <w:top w:val="nil"/>
              <w:left w:val="nil"/>
              <w:bottom w:val="single" w:sz="4" w:space="0" w:color="auto"/>
              <w:right w:val="single" w:sz="4" w:space="0" w:color="auto"/>
            </w:tcBorders>
            <w:shd w:val="clear" w:color="auto" w:fill="auto"/>
            <w:noWrap/>
            <w:vAlign w:val="center"/>
            <w:hideMark/>
          </w:tcPr>
          <w:p w14:paraId="2DA9CA21"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872.156,87</w:t>
            </w:r>
          </w:p>
        </w:tc>
      </w:tr>
      <w:tr w:rsidR="003E19A2" w:rsidRPr="00A81CB8" w14:paraId="2EAF3E6F"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CCBFF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SE-N_54</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2EDEE1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PAN DE AZUCAR</w:t>
            </w:r>
          </w:p>
        </w:tc>
        <w:tc>
          <w:tcPr>
            <w:tcW w:w="1077" w:type="dxa"/>
            <w:tcBorders>
              <w:top w:val="nil"/>
              <w:left w:val="nil"/>
              <w:bottom w:val="single" w:sz="4" w:space="0" w:color="auto"/>
              <w:right w:val="single" w:sz="4" w:space="0" w:color="auto"/>
            </w:tcBorders>
            <w:shd w:val="clear" w:color="auto" w:fill="auto"/>
            <w:noWrap/>
            <w:vAlign w:val="center"/>
            <w:hideMark/>
          </w:tcPr>
          <w:p w14:paraId="6CD4474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26BEE42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04438E1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34.588.467,35</w:t>
            </w:r>
          </w:p>
        </w:tc>
      </w:tr>
      <w:tr w:rsidR="003E19A2" w:rsidRPr="00A81CB8" w14:paraId="0771BD4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3FAEAA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C083F8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37A603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08C8B6C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1717CF2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2.819.922,28</w:t>
            </w:r>
          </w:p>
        </w:tc>
      </w:tr>
      <w:tr w:rsidR="003E19A2" w:rsidRPr="00A81CB8" w14:paraId="293863CD"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76ADD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SE-N_55</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30F836F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PARINACOTA</w:t>
            </w:r>
          </w:p>
        </w:tc>
        <w:tc>
          <w:tcPr>
            <w:tcW w:w="1077" w:type="dxa"/>
            <w:tcBorders>
              <w:top w:val="nil"/>
              <w:left w:val="nil"/>
              <w:bottom w:val="single" w:sz="4" w:space="0" w:color="auto"/>
              <w:right w:val="single" w:sz="4" w:space="0" w:color="auto"/>
            </w:tcBorders>
            <w:shd w:val="clear" w:color="auto" w:fill="auto"/>
            <w:noWrap/>
            <w:vAlign w:val="center"/>
            <w:hideMark/>
          </w:tcPr>
          <w:p w14:paraId="3D62B45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P_120</w:t>
            </w:r>
          </w:p>
        </w:tc>
        <w:tc>
          <w:tcPr>
            <w:tcW w:w="3969" w:type="dxa"/>
            <w:tcBorders>
              <w:top w:val="nil"/>
              <w:left w:val="nil"/>
              <w:bottom w:val="single" w:sz="4" w:space="0" w:color="auto"/>
              <w:right w:val="single" w:sz="4" w:space="0" w:color="auto"/>
            </w:tcBorders>
            <w:shd w:val="clear" w:color="auto" w:fill="auto"/>
            <w:noWrap/>
            <w:vAlign w:val="center"/>
            <w:hideMark/>
          </w:tcPr>
          <w:p w14:paraId="0EAC85E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TRANSEMEL</w:t>
            </w:r>
          </w:p>
        </w:tc>
        <w:tc>
          <w:tcPr>
            <w:tcW w:w="1967" w:type="dxa"/>
            <w:tcBorders>
              <w:top w:val="nil"/>
              <w:left w:val="nil"/>
              <w:bottom w:val="single" w:sz="4" w:space="0" w:color="auto"/>
              <w:right w:val="single" w:sz="4" w:space="0" w:color="auto"/>
            </w:tcBorders>
            <w:shd w:val="clear" w:color="auto" w:fill="auto"/>
            <w:noWrap/>
            <w:vAlign w:val="center"/>
            <w:hideMark/>
          </w:tcPr>
          <w:p w14:paraId="0B99E02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4.593.394,39</w:t>
            </w:r>
          </w:p>
        </w:tc>
      </w:tr>
      <w:tr w:rsidR="003E19A2" w:rsidRPr="00A81CB8" w14:paraId="309C4368"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359751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9ED76A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5EDBE3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CA6D36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27097362"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49.240,35</w:t>
            </w:r>
          </w:p>
        </w:tc>
      </w:tr>
      <w:tr w:rsidR="003E19A2" w:rsidRPr="00A81CB8" w14:paraId="1E59689C"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5D2A73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D66299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357929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119FEF9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3FB859C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9.970,02</w:t>
            </w:r>
          </w:p>
        </w:tc>
      </w:tr>
      <w:tr w:rsidR="003E19A2" w:rsidRPr="00A81CB8" w14:paraId="190A59E0"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0EF46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SE-N_56</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3C3C59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POLPAICO</w:t>
            </w:r>
          </w:p>
        </w:tc>
        <w:tc>
          <w:tcPr>
            <w:tcW w:w="1077" w:type="dxa"/>
            <w:tcBorders>
              <w:top w:val="nil"/>
              <w:left w:val="nil"/>
              <w:bottom w:val="single" w:sz="4" w:space="0" w:color="auto"/>
              <w:right w:val="single" w:sz="4" w:space="0" w:color="auto"/>
            </w:tcBorders>
            <w:shd w:val="clear" w:color="auto" w:fill="auto"/>
            <w:noWrap/>
            <w:vAlign w:val="center"/>
            <w:hideMark/>
          </w:tcPr>
          <w:p w14:paraId="487F794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D5CBA0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959E74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44.511.856,96</w:t>
            </w:r>
          </w:p>
        </w:tc>
      </w:tr>
      <w:tr w:rsidR="003E19A2" w:rsidRPr="00A81CB8" w14:paraId="500D01A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3D269A0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CEED19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40EC1ED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P_111</w:t>
            </w:r>
          </w:p>
        </w:tc>
        <w:tc>
          <w:tcPr>
            <w:tcW w:w="3969" w:type="dxa"/>
            <w:tcBorders>
              <w:top w:val="nil"/>
              <w:left w:val="nil"/>
              <w:bottom w:val="single" w:sz="4" w:space="0" w:color="auto"/>
              <w:right w:val="single" w:sz="4" w:space="0" w:color="auto"/>
            </w:tcBorders>
            <w:shd w:val="clear" w:color="auto" w:fill="auto"/>
            <w:noWrap/>
            <w:vAlign w:val="center"/>
            <w:hideMark/>
          </w:tcPr>
          <w:p w14:paraId="3D672D4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ENEL DISTRIBUCION S.A</w:t>
            </w:r>
          </w:p>
        </w:tc>
        <w:tc>
          <w:tcPr>
            <w:tcW w:w="1967" w:type="dxa"/>
            <w:tcBorders>
              <w:top w:val="nil"/>
              <w:left w:val="nil"/>
              <w:bottom w:val="single" w:sz="4" w:space="0" w:color="auto"/>
              <w:right w:val="single" w:sz="4" w:space="0" w:color="auto"/>
            </w:tcBorders>
            <w:shd w:val="clear" w:color="auto" w:fill="auto"/>
            <w:noWrap/>
            <w:vAlign w:val="center"/>
            <w:hideMark/>
          </w:tcPr>
          <w:p w14:paraId="3A404E6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1.098.002,96</w:t>
            </w:r>
          </w:p>
        </w:tc>
      </w:tr>
      <w:tr w:rsidR="003E19A2" w:rsidRPr="00A81CB8" w14:paraId="592BC07E"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E04AED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4B46C2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8A5422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46E67D1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1359054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15.953,51</w:t>
            </w:r>
          </w:p>
        </w:tc>
      </w:tr>
      <w:tr w:rsidR="003E19A2" w:rsidRPr="00A81CB8" w14:paraId="46707123"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E8483D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CC3397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881041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7887C3F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0B75EF7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305,04</w:t>
            </w:r>
          </w:p>
        </w:tc>
      </w:tr>
      <w:tr w:rsidR="003E19A2" w:rsidRPr="00A81CB8" w14:paraId="3986B91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2B11B7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SE-N_57</w:t>
            </w:r>
          </w:p>
        </w:tc>
        <w:tc>
          <w:tcPr>
            <w:tcW w:w="3969" w:type="dxa"/>
            <w:tcBorders>
              <w:top w:val="nil"/>
              <w:left w:val="nil"/>
              <w:bottom w:val="single" w:sz="4" w:space="0" w:color="auto"/>
              <w:right w:val="single" w:sz="4" w:space="0" w:color="auto"/>
            </w:tcBorders>
            <w:shd w:val="clear" w:color="auto" w:fill="auto"/>
            <w:vAlign w:val="center"/>
            <w:hideMark/>
          </w:tcPr>
          <w:p w14:paraId="3F767BB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Pozo Almonte</w:t>
            </w:r>
          </w:p>
        </w:tc>
        <w:tc>
          <w:tcPr>
            <w:tcW w:w="1077" w:type="dxa"/>
            <w:tcBorders>
              <w:top w:val="nil"/>
              <w:left w:val="nil"/>
              <w:bottom w:val="single" w:sz="4" w:space="0" w:color="auto"/>
              <w:right w:val="single" w:sz="4" w:space="0" w:color="auto"/>
            </w:tcBorders>
            <w:shd w:val="clear" w:color="auto" w:fill="auto"/>
            <w:noWrap/>
            <w:vAlign w:val="center"/>
            <w:hideMark/>
          </w:tcPr>
          <w:p w14:paraId="3F75082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07C59C0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42FE86D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2.311.472,01</w:t>
            </w:r>
          </w:p>
        </w:tc>
      </w:tr>
      <w:tr w:rsidR="003E19A2" w:rsidRPr="00A81CB8" w14:paraId="2DA43732"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7BE4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SE-N_59</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0CCAE370"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PUERTO MONTT</w:t>
            </w:r>
          </w:p>
        </w:tc>
        <w:tc>
          <w:tcPr>
            <w:tcW w:w="1077" w:type="dxa"/>
            <w:tcBorders>
              <w:top w:val="nil"/>
              <w:left w:val="nil"/>
              <w:bottom w:val="single" w:sz="4" w:space="0" w:color="auto"/>
              <w:right w:val="single" w:sz="4" w:space="0" w:color="auto"/>
            </w:tcBorders>
            <w:shd w:val="clear" w:color="auto" w:fill="auto"/>
            <w:noWrap/>
            <w:vAlign w:val="center"/>
            <w:hideMark/>
          </w:tcPr>
          <w:p w14:paraId="5E84040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99B325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21E6C87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8.694.892,77</w:t>
            </w:r>
          </w:p>
        </w:tc>
      </w:tr>
      <w:tr w:rsidR="003E19A2" w:rsidRPr="00A81CB8" w14:paraId="5EA56E9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FE6501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19B041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2F853E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0BB86AB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3CE2AA2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238.373,93</w:t>
            </w:r>
          </w:p>
        </w:tc>
      </w:tr>
      <w:tr w:rsidR="003E19A2" w:rsidRPr="00A81CB8" w14:paraId="4508476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B8FC99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SE-N_60</w:t>
            </w:r>
          </w:p>
        </w:tc>
        <w:tc>
          <w:tcPr>
            <w:tcW w:w="3969" w:type="dxa"/>
            <w:tcBorders>
              <w:top w:val="nil"/>
              <w:left w:val="nil"/>
              <w:bottom w:val="single" w:sz="4" w:space="0" w:color="auto"/>
              <w:right w:val="single" w:sz="4" w:space="0" w:color="auto"/>
            </w:tcBorders>
            <w:shd w:val="clear" w:color="auto" w:fill="auto"/>
            <w:vAlign w:val="center"/>
            <w:hideMark/>
          </w:tcPr>
          <w:p w14:paraId="26360EB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PUNTA COLORADA</w:t>
            </w:r>
          </w:p>
        </w:tc>
        <w:tc>
          <w:tcPr>
            <w:tcW w:w="1077" w:type="dxa"/>
            <w:tcBorders>
              <w:top w:val="nil"/>
              <w:left w:val="nil"/>
              <w:bottom w:val="single" w:sz="4" w:space="0" w:color="auto"/>
              <w:right w:val="single" w:sz="4" w:space="0" w:color="auto"/>
            </w:tcBorders>
            <w:shd w:val="clear" w:color="auto" w:fill="auto"/>
            <w:noWrap/>
            <w:vAlign w:val="center"/>
            <w:hideMark/>
          </w:tcPr>
          <w:p w14:paraId="02E00A7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67FDDAE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0C3DD2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2.259.503,50</w:t>
            </w:r>
          </w:p>
        </w:tc>
      </w:tr>
      <w:tr w:rsidR="003E19A2" w:rsidRPr="00A81CB8" w14:paraId="4C43C8F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9A9497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SE-N_62</w:t>
            </w:r>
          </w:p>
        </w:tc>
        <w:tc>
          <w:tcPr>
            <w:tcW w:w="3969" w:type="dxa"/>
            <w:tcBorders>
              <w:top w:val="nil"/>
              <w:left w:val="nil"/>
              <w:bottom w:val="single" w:sz="4" w:space="0" w:color="auto"/>
              <w:right w:val="single" w:sz="4" w:space="0" w:color="auto"/>
            </w:tcBorders>
            <w:shd w:val="clear" w:color="auto" w:fill="auto"/>
            <w:vAlign w:val="center"/>
            <w:hideMark/>
          </w:tcPr>
          <w:p w14:paraId="1E7503E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CENTRAL QUILAPILUN</w:t>
            </w:r>
          </w:p>
        </w:tc>
        <w:tc>
          <w:tcPr>
            <w:tcW w:w="1077" w:type="dxa"/>
            <w:tcBorders>
              <w:top w:val="nil"/>
              <w:left w:val="nil"/>
              <w:bottom w:val="single" w:sz="4" w:space="0" w:color="auto"/>
              <w:right w:val="single" w:sz="4" w:space="0" w:color="auto"/>
            </w:tcBorders>
            <w:shd w:val="clear" w:color="auto" w:fill="auto"/>
            <w:noWrap/>
            <w:vAlign w:val="center"/>
            <w:hideMark/>
          </w:tcPr>
          <w:p w14:paraId="0A24417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P_235</w:t>
            </w:r>
          </w:p>
        </w:tc>
        <w:tc>
          <w:tcPr>
            <w:tcW w:w="3969" w:type="dxa"/>
            <w:tcBorders>
              <w:top w:val="nil"/>
              <w:left w:val="nil"/>
              <w:bottom w:val="single" w:sz="4" w:space="0" w:color="auto"/>
              <w:right w:val="single" w:sz="4" w:space="0" w:color="auto"/>
            </w:tcBorders>
            <w:shd w:val="clear" w:color="auto" w:fill="auto"/>
            <w:noWrap/>
            <w:vAlign w:val="center"/>
            <w:hideMark/>
          </w:tcPr>
          <w:p w14:paraId="2BF025B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Chungungo</w:t>
            </w:r>
          </w:p>
        </w:tc>
        <w:tc>
          <w:tcPr>
            <w:tcW w:w="1967" w:type="dxa"/>
            <w:tcBorders>
              <w:top w:val="nil"/>
              <w:left w:val="nil"/>
              <w:bottom w:val="single" w:sz="4" w:space="0" w:color="auto"/>
              <w:right w:val="single" w:sz="4" w:space="0" w:color="auto"/>
            </w:tcBorders>
            <w:shd w:val="clear" w:color="auto" w:fill="auto"/>
            <w:noWrap/>
            <w:vAlign w:val="center"/>
            <w:hideMark/>
          </w:tcPr>
          <w:p w14:paraId="36E3626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409.942,88</w:t>
            </w:r>
          </w:p>
        </w:tc>
      </w:tr>
      <w:tr w:rsidR="003E19A2" w:rsidRPr="00A81CB8" w14:paraId="36D3132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F82602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SE-N_63</w:t>
            </w:r>
          </w:p>
        </w:tc>
        <w:tc>
          <w:tcPr>
            <w:tcW w:w="3969" w:type="dxa"/>
            <w:tcBorders>
              <w:top w:val="nil"/>
              <w:left w:val="nil"/>
              <w:bottom w:val="single" w:sz="4" w:space="0" w:color="auto"/>
              <w:right w:val="single" w:sz="4" w:space="0" w:color="auto"/>
            </w:tcBorders>
            <w:shd w:val="clear" w:color="auto" w:fill="auto"/>
            <w:vAlign w:val="center"/>
            <w:hideMark/>
          </w:tcPr>
          <w:p w14:paraId="27AEEA7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TAP OFF QUILLAGUA</w:t>
            </w:r>
          </w:p>
        </w:tc>
        <w:tc>
          <w:tcPr>
            <w:tcW w:w="1077" w:type="dxa"/>
            <w:tcBorders>
              <w:top w:val="nil"/>
              <w:left w:val="nil"/>
              <w:bottom w:val="single" w:sz="4" w:space="0" w:color="auto"/>
              <w:right w:val="single" w:sz="4" w:space="0" w:color="auto"/>
            </w:tcBorders>
            <w:shd w:val="clear" w:color="auto" w:fill="auto"/>
            <w:noWrap/>
            <w:vAlign w:val="center"/>
            <w:hideMark/>
          </w:tcPr>
          <w:p w14:paraId="7C65C99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P_537</w:t>
            </w:r>
          </w:p>
        </w:tc>
        <w:tc>
          <w:tcPr>
            <w:tcW w:w="3969" w:type="dxa"/>
            <w:tcBorders>
              <w:top w:val="nil"/>
              <w:left w:val="nil"/>
              <w:bottom w:val="single" w:sz="4" w:space="0" w:color="auto"/>
              <w:right w:val="single" w:sz="4" w:space="0" w:color="auto"/>
            </w:tcBorders>
            <w:shd w:val="clear" w:color="auto" w:fill="auto"/>
            <w:noWrap/>
            <w:vAlign w:val="center"/>
            <w:hideMark/>
          </w:tcPr>
          <w:p w14:paraId="67F2C6E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PARQUE QUILLAGUA</w:t>
            </w:r>
          </w:p>
        </w:tc>
        <w:tc>
          <w:tcPr>
            <w:tcW w:w="1967" w:type="dxa"/>
            <w:tcBorders>
              <w:top w:val="nil"/>
              <w:left w:val="nil"/>
              <w:bottom w:val="single" w:sz="4" w:space="0" w:color="auto"/>
              <w:right w:val="single" w:sz="4" w:space="0" w:color="auto"/>
            </w:tcBorders>
            <w:shd w:val="clear" w:color="auto" w:fill="auto"/>
            <w:noWrap/>
            <w:vAlign w:val="center"/>
            <w:hideMark/>
          </w:tcPr>
          <w:p w14:paraId="67C6205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96.558,35</w:t>
            </w:r>
          </w:p>
        </w:tc>
      </w:tr>
      <w:tr w:rsidR="003E19A2" w:rsidRPr="00A81CB8" w14:paraId="510056D9"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919FF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SE-N_64</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FB1E14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QUILLOTA</w:t>
            </w:r>
          </w:p>
        </w:tc>
        <w:tc>
          <w:tcPr>
            <w:tcW w:w="1077" w:type="dxa"/>
            <w:tcBorders>
              <w:top w:val="nil"/>
              <w:left w:val="nil"/>
              <w:bottom w:val="single" w:sz="4" w:space="0" w:color="auto"/>
              <w:right w:val="single" w:sz="4" w:space="0" w:color="auto"/>
            </w:tcBorders>
            <w:shd w:val="clear" w:color="auto" w:fill="auto"/>
            <w:noWrap/>
            <w:vAlign w:val="center"/>
            <w:hideMark/>
          </w:tcPr>
          <w:p w14:paraId="061C3CE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45866A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E6698C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4.173.931,74</w:t>
            </w:r>
          </w:p>
        </w:tc>
      </w:tr>
      <w:tr w:rsidR="003E19A2" w:rsidRPr="00A81CB8" w14:paraId="30EF1C0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510980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8A50C2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2ED0E6B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1F2F3E6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7279423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155.176,21</w:t>
            </w:r>
          </w:p>
        </w:tc>
      </w:tr>
      <w:tr w:rsidR="003E19A2" w:rsidRPr="00A81CB8" w14:paraId="36A64A8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0138B7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8DA3A48"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16FAC52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P_079</w:t>
            </w:r>
          </w:p>
        </w:tc>
        <w:tc>
          <w:tcPr>
            <w:tcW w:w="3969" w:type="dxa"/>
            <w:tcBorders>
              <w:top w:val="nil"/>
              <w:left w:val="nil"/>
              <w:bottom w:val="single" w:sz="4" w:space="0" w:color="auto"/>
              <w:right w:val="single" w:sz="4" w:space="0" w:color="auto"/>
            </w:tcBorders>
            <w:shd w:val="clear" w:color="auto" w:fill="auto"/>
            <w:noWrap/>
            <w:vAlign w:val="center"/>
            <w:hideMark/>
          </w:tcPr>
          <w:p w14:paraId="2D696F3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AES GENER</w:t>
            </w:r>
          </w:p>
        </w:tc>
        <w:tc>
          <w:tcPr>
            <w:tcW w:w="1967" w:type="dxa"/>
            <w:tcBorders>
              <w:top w:val="nil"/>
              <w:left w:val="nil"/>
              <w:bottom w:val="single" w:sz="4" w:space="0" w:color="auto"/>
              <w:right w:val="single" w:sz="4" w:space="0" w:color="auto"/>
            </w:tcBorders>
            <w:shd w:val="clear" w:color="auto" w:fill="auto"/>
            <w:noWrap/>
            <w:vAlign w:val="center"/>
            <w:hideMark/>
          </w:tcPr>
          <w:p w14:paraId="40DB4301"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25.723,54</w:t>
            </w:r>
          </w:p>
        </w:tc>
      </w:tr>
      <w:tr w:rsidR="003E19A2" w:rsidRPr="00A81CB8" w14:paraId="2642B1F7"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866D6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SE-N_65</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5420812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RAHUE</w:t>
            </w:r>
          </w:p>
        </w:tc>
        <w:tc>
          <w:tcPr>
            <w:tcW w:w="1077" w:type="dxa"/>
            <w:tcBorders>
              <w:top w:val="nil"/>
              <w:left w:val="nil"/>
              <w:bottom w:val="single" w:sz="4" w:space="0" w:color="auto"/>
              <w:right w:val="single" w:sz="4" w:space="0" w:color="auto"/>
            </w:tcBorders>
            <w:shd w:val="clear" w:color="auto" w:fill="auto"/>
            <w:noWrap/>
            <w:vAlign w:val="center"/>
            <w:hideMark/>
          </w:tcPr>
          <w:p w14:paraId="7E089D5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2B893EC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B3AB51B"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2.515.684,37</w:t>
            </w:r>
          </w:p>
        </w:tc>
      </w:tr>
      <w:tr w:rsidR="003E19A2" w:rsidRPr="00A81CB8" w14:paraId="053785C9"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7B20C7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49468B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C817B76"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4E6A2EF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5A979B8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4.686,31</w:t>
            </w:r>
          </w:p>
        </w:tc>
      </w:tr>
      <w:tr w:rsidR="003E19A2" w:rsidRPr="00A81CB8" w14:paraId="04507EEA"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14126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SE-N_66</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23132E4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RAPEL</w:t>
            </w:r>
          </w:p>
        </w:tc>
        <w:tc>
          <w:tcPr>
            <w:tcW w:w="1077" w:type="dxa"/>
            <w:tcBorders>
              <w:top w:val="nil"/>
              <w:left w:val="nil"/>
              <w:bottom w:val="single" w:sz="4" w:space="0" w:color="auto"/>
              <w:right w:val="single" w:sz="4" w:space="0" w:color="auto"/>
            </w:tcBorders>
            <w:shd w:val="clear" w:color="auto" w:fill="auto"/>
            <w:noWrap/>
            <w:vAlign w:val="center"/>
            <w:hideMark/>
          </w:tcPr>
          <w:p w14:paraId="31E3DF8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E02B6D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92D9241"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2.755.283,42</w:t>
            </w:r>
          </w:p>
        </w:tc>
      </w:tr>
      <w:tr w:rsidR="003E19A2" w:rsidRPr="00A81CB8" w14:paraId="47CCC52F"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F218C6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515455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C12956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6FF9F54B"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634421AD"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176.901,41</w:t>
            </w:r>
          </w:p>
        </w:tc>
      </w:tr>
      <w:tr w:rsidR="003E19A2" w:rsidRPr="00A81CB8" w14:paraId="15E03E9A"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5B5860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FE367D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214D21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P_315</w:t>
            </w:r>
          </w:p>
        </w:tc>
        <w:tc>
          <w:tcPr>
            <w:tcW w:w="3969" w:type="dxa"/>
            <w:tcBorders>
              <w:top w:val="nil"/>
              <w:left w:val="nil"/>
              <w:bottom w:val="single" w:sz="4" w:space="0" w:color="auto"/>
              <w:right w:val="single" w:sz="4" w:space="0" w:color="auto"/>
            </w:tcBorders>
            <w:shd w:val="clear" w:color="auto" w:fill="auto"/>
            <w:noWrap/>
            <w:vAlign w:val="center"/>
            <w:hideMark/>
          </w:tcPr>
          <w:p w14:paraId="73CCB4C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Enel Generación</w:t>
            </w:r>
          </w:p>
        </w:tc>
        <w:tc>
          <w:tcPr>
            <w:tcW w:w="1967" w:type="dxa"/>
            <w:tcBorders>
              <w:top w:val="nil"/>
              <w:left w:val="nil"/>
              <w:bottom w:val="single" w:sz="4" w:space="0" w:color="auto"/>
              <w:right w:val="single" w:sz="4" w:space="0" w:color="auto"/>
            </w:tcBorders>
            <w:shd w:val="clear" w:color="auto" w:fill="auto"/>
            <w:noWrap/>
            <w:vAlign w:val="center"/>
            <w:hideMark/>
          </w:tcPr>
          <w:p w14:paraId="0F3F991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121,55</w:t>
            </w:r>
          </w:p>
        </w:tc>
      </w:tr>
      <w:tr w:rsidR="003E19A2" w:rsidRPr="00A81CB8" w14:paraId="0ED9B6D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6CE657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tcBorders>
              <w:top w:val="nil"/>
              <w:left w:val="nil"/>
              <w:bottom w:val="single" w:sz="4" w:space="0" w:color="auto"/>
              <w:right w:val="single" w:sz="4" w:space="0" w:color="auto"/>
            </w:tcBorders>
            <w:shd w:val="clear" w:color="auto" w:fill="auto"/>
            <w:vAlign w:val="center"/>
            <w:hideMark/>
          </w:tcPr>
          <w:p w14:paraId="4717B06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RE: RAPEL</w:t>
            </w:r>
          </w:p>
        </w:tc>
        <w:tc>
          <w:tcPr>
            <w:tcW w:w="1077" w:type="dxa"/>
            <w:tcBorders>
              <w:top w:val="nil"/>
              <w:left w:val="nil"/>
              <w:bottom w:val="single" w:sz="4" w:space="0" w:color="auto"/>
              <w:right w:val="single" w:sz="4" w:space="0" w:color="auto"/>
            </w:tcBorders>
            <w:shd w:val="clear" w:color="auto" w:fill="auto"/>
            <w:noWrap/>
            <w:vAlign w:val="center"/>
            <w:hideMark/>
          </w:tcPr>
          <w:p w14:paraId="72D6D99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3765AFC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5316056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408.300,74</w:t>
            </w:r>
          </w:p>
        </w:tc>
      </w:tr>
      <w:tr w:rsidR="003E19A2" w:rsidRPr="00A81CB8" w14:paraId="102F2BBB"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47B34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SE-N_67</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6B4FFC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SAN ANDRES</w:t>
            </w:r>
          </w:p>
        </w:tc>
        <w:tc>
          <w:tcPr>
            <w:tcW w:w="1077" w:type="dxa"/>
            <w:tcBorders>
              <w:top w:val="nil"/>
              <w:left w:val="nil"/>
              <w:bottom w:val="single" w:sz="4" w:space="0" w:color="auto"/>
              <w:right w:val="single" w:sz="4" w:space="0" w:color="auto"/>
            </w:tcBorders>
            <w:shd w:val="clear" w:color="auto" w:fill="auto"/>
            <w:noWrap/>
            <w:vAlign w:val="center"/>
            <w:hideMark/>
          </w:tcPr>
          <w:p w14:paraId="28C591D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P_480</w:t>
            </w:r>
          </w:p>
        </w:tc>
        <w:tc>
          <w:tcPr>
            <w:tcW w:w="3969" w:type="dxa"/>
            <w:tcBorders>
              <w:top w:val="nil"/>
              <w:left w:val="nil"/>
              <w:bottom w:val="single" w:sz="4" w:space="0" w:color="auto"/>
              <w:right w:val="single" w:sz="4" w:space="0" w:color="auto"/>
            </w:tcBorders>
            <w:shd w:val="clear" w:color="auto" w:fill="auto"/>
            <w:noWrap/>
            <w:vAlign w:val="center"/>
            <w:hideMark/>
          </w:tcPr>
          <w:p w14:paraId="3E77E9E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SATT</w:t>
            </w:r>
          </w:p>
        </w:tc>
        <w:tc>
          <w:tcPr>
            <w:tcW w:w="1967" w:type="dxa"/>
            <w:tcBorders>
              <w:top w:val="nil"/>
              <w:left w:val="nil"/>
              <w:bottom w:val="single" w:sz="4" w:space="0" w:color="auto"/>
              <w:right w:val="single" w:sz="4" w:space="0" w:color="auto"/>
            </w:tcBorders>
            <w:shd w:val="clear" w:color="auto" w:fill="auto"/>
            <w:noWrap/>
            <w:vAlign w:val="center"/>
            <w:hideMark/>
          </w:tcPr>
          <w:p w14:paraId="1955EB4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13.681.317,89</w:t>
            </w:r>
          </w:p>
        </w:tc>
      </w:tr>
      <w:tr w:rsidR="003E19A2" w:rsidRPr="00A81CB8" w14:paraId="398D0765"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7CAD55D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20C3CA3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12316C0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D0A56C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60AF20D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4.319,07</w:t>
            </w:r>
          </w:p>
        </w:tc>
      </w:tr>
      <w:tr w:rsidR="003E19A2" w:rsidRPr="00A81CB8" w14:paraId="0CBF2926"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61753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SE-N_68</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1FDBDDA3"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Salar</w:t>
            </w:r>
          </w:p>
        </w:tc>
        <w:tc>
          <w:tcPr>
            <w:tcW w:w="1077" w:type="dxa"/>
            <w:tcBorders>
              <w:top w:val="nil"/>
              <w:left w:val="nil"/>
              <w:bottom w:val="single" w:sz="4" w:space="0" w:color="auto"/>
              <w:right w:val="single" w:sz="4" w:space="0" w:color="auto"/>
            </w:tcBorders>
            <w:shd w:val="clear" w:color="auto" w:fill="auto"/>
            <w:noWrap/>
            <w:vAlign w:val="center"/>
            <w:hideMark/>
          </w:tcPr>
          <w:p w14:paraId="50D2717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P_133</w:t>
            </w:r>
          </w:p>
        </w:tc>
        <w:tc>
          <w:tcPr>
            <w:tcW w:w="3969" w:type="dxa"/>
            <w:tcBorders>
              <w:top w:val="nil"/>
              <w:left w:val="nil"/>
              <w:bottom w:val="single" w:sz="4" w:space="0" w:color="auto"/>
              <w:right w:val="single" w:sz="4" w:space="0" w:color="auto"/>
            </w:tcBorders>
            <w:shd w:val="clear" w:color="auto" w:fill="auto"/>
            <w:noWrap/>
            <w:vAlign w:val="center"/>
            <w:hideMark/>
          </w:tcPr>
          <w:p w14:paraId="34586F8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CODELCO NORTE</w:t>
            </w:r>
          </w:p>
        </w:tc>
        <w:tc>
          <w:tcPr>
            <w:tcW w:w="1967" w:type="dxa"/>
            <w:tcBorders>
              <w:top w:val="nil"/>
              <w:left w:val="nil"/>
              <w:bottom w:val="single" w:sz="4" w:space="0" w:color="auto"/>
              <w:right w:val="single" w:sz="4" w:space="0" w:color="auto"/>
            </w:tcBorders>
            <w:shd w:val="clear" w:color="auto" w:fill="auto"/>
            <w:noWrap/>
            <w:vAlign w:val="center"/>
            <w:hideMark/>
          </w:tcPr>
          <w:p w14:paraId="3FBB3A7A"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2.470.310,22</w:t>
            </w:r>
          </w:p>
        </w:tc>
      </w:tr>
      <w:tr w:rsidR="003E19A2" w:rsidRPr="00A81CB8" w14:paraId="5D43198B"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1C9A4D9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669EF82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BA23A97"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P_164</w:t>
            </w:r>
          </w:p>
        </w:tc>
        <w:tc>
          <w:tcPr>
            <w:tcW w:w="3969" w:type="dxa"/>
            <w:tcBorders>
              <w:top w:val="nil"/>
              <w:left w:val="nil"/>
              <w:bottom w:val="single" w:sz="4" w:space="0" w:color="auto"/>
              <w:right w:val="single" w:sz="4" w:space="0" w:color="auto"/>
            </w:tcBorders>
            <w:shd w:val="clear" w:color="auto" w:fill="auto"/>
            <w:noWrap/>
            <w:vAlign w:val="center"/>
            <w:hideMark/>
          </w:tcPr>
          <w:p w14:paraId="19AEB7E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E-CL</w:t>
            </w:r>
          </w:p>
        </w:tc>
        <w:tc>
          <w:tcPr>
            <w:tcW w:w="1967" w:type="dxa"/>
            <w:tcBorders>
              <w:top w:val="nil"/>
              <w:left w:val="nil"/>
              <w:bottom w:val="single" w:sz="4" w:space="0" w:color="auto"/>
              <w:right w:val="single" w:sz="4" w:space="0" w:color="auto"/>
            </w:tcBorders>
            <w:shd w:val="clear" w:color="auto" w:fill="auto"/>
            <w:noWrap/>
            <w:vAlign w:val="center"/>
            <w:hideMark/>
          </w:tcPr>
          <w:p w14:paraId="5ED2EFB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18.881,45</w:t>
            </w:r>
          </w:p>
        </w:tc>
      </w:tr>
      <w:tr w:rsidR="003E19A2" w:rsidRPr="00A81CB8" w14:paraId="3CCB61B8"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37D01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SE-N_69</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623635E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SAN LUIS</w:t>
            </w:r>
          </w:p>
        </w:tc>
        <w:tc>
          <w:tcPr>
            <w:tcW w:w="1077" w:type="dxa"/>
            <w:tcBorders>
              <w:top w:val="nil"/>
              <w:left w:val="nil"/>
              <w:bottom w:val="single" w:sz="4" w:space="0" w:color="auto"/>
              <w:right w:val="single" w:sz="4" w:space="0" w:color="auto"/>
            </w:tcBorders>
            <w:shd w:val="clear" w:color="auto" w:fill="auto"/>
            <w:noWrap/>
            <w:vAlign w:val="center"/>
            <w:hideMark/>
          </w:tcPr>
          <w:p w14:paraId="54BFBAC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P_113</w:t>
            </w:r>
          </w:p>
        </w:tc>
        <w:tc>
          <w:tcPr>
            <w:tcW w:w="3969" w:type="dxa"/>
            <w:tcBorders>
              <w:top w:val="nil"/>
              <w:left w:val="nil"/>
              <w:bottom w:val="single" w:sz="4" w:space="0" w:color="auto"/>
              <w:right w:val="single" w:sz="4" w:space="0" w:color="auto"/>
            </w:tcBorders>
            <w:shd w:val="clear" w:color="auto" w:fill="auto"/>
            <w:noWrap/>
            <w:vAlign w:val="center"/>
            <w:hideMark/>
          </w:tcPr>
          <w:p w14:paraId="5A6E7EC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CHILQUINTA ENERGIA</w:t>
            </w:r>
          </w:p>
        </w:tc>
        <w:tc>
          <w:tcPr>
            <w:tcW w:w="1967" w:type="dxa"/>
            <w:tcBorders>
              <w:top w:val="nil"/>
              <w:left w:val="nil"/>
              <w:bottom w:val="single" w:sz="4" w:space="0" w:color="auto"/>
              <w:right w:val="single" w:sz="4" w:space="0" w:color="auto"/>
            </w:tcBorders>
            <w:shd w:val="clear" w:color="auto" w:fill="auto"/>
            <w:noWrap/>
            <w:vAlign w:val="center"/>
            <w:hideMark/>
          </w:tcPr>
          <w:p w14:paraId="5C0166A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959.078,61</w:t>
            </w:r>
          </w:p>
        </w:tc>
      </w:tr>
      <w:tr w:rsidR="003E19A2" w:rsidRPr="00A81CB8" w14:paraId="69C290B7"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17095E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7339264"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083C72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P_510</w:t>
            </w:r>
          </w:p>
        </w:tc>
        <w:tc>
          <w:tcPr>
            <w:tcW w:w="3969" w:type="dxa"/>
            <w:tcBorders>
              <w:top w:val="nil"/>
              <w:left w:val="nil"/>
              <w:bottom w:val="single" w:sz="4" w:space="0" w:color="auto"/>
              <w:right w:val="single" w:sz="4" w:space="0" w:color="auto"/>
            </w:tcBorders>
            <w:shd w:val="clear" w:color="auto" w:fill="auto"/>
            <w:noWrap/>
            <w:vAlign w:val="center"/>
            <w:hideMark/>
          </w:tcPr>
          <w:p w14:paraId="6A7B8E7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Transquillota</w:t>
            </w:r>
          </w:p>
        </w:tc>
        <w:tc>
          <w:tcPr>
            <w:tcW w:w="1967" w:type="dxa"/>
            <w:tcBorders>
              <w:top w:val="nil"/>
              <w:left w:val="nil"/>
              <w:bottom w:val="single" w:sz="4" w:space="0" w:color="auto"/>
              <w:right w:val="single" w:sz="4" w:space="0" w:color="auto"/>
            </w:tcBorders>
            <w:shd w:val="clear" w:color="auto" w:fill="auto"/>
            <w:noWrap/>
            <w:vAlign w:val="center"/>
            <w:hideMark/>
          </w:tcPr>
          <w:p w14:paraId="21162628"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748.616,72</w:t>
            </w:r>
          </w:p>
        </w:tc>
      </w:tr>
      <w:tr w:rsidR="003E19A2" w:rsidRPr="00A81CB8" w14:paraId="57F08AE2"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6836A18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12E0C611"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41B28DB"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P_244</w:t>
            </w:r>
          </w:p>
        </w:tc>
        <w:tc>
          <w:tcPr>
            <w:tcW w:w="3969" w:type="dxa"/>
            <w:tcBorders>
              <w:top w:val="nil"/>
              <w:left w:val="nil"/>
              <w:bottom w:val="single" w:sz="4" w:space="0" w:color="auto"/>
              <w:right w:val="single" w:sz="4" w:space="0" w:color="auto"/>
            </w:tcBorders>
            <w:shd w:val="clear" w:color="auto" w:fill="auto"/>
            <w:noWrap/>
            <w:vAlign w:val="center"/>
            <w:hideMark/>
          </w:tcPr>
          <w:p w14:paraId="30FB399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Colbún Transmisión</w:t>
            </w:r>
          </w:p>
        </w:tc>
        <w:tc>
          <w:tcPr>
            <w:tcW w:w="1967" w:type="dxa"/>
            <w:tcBorders>
              <w:top w:val="nil"/>
              <w:left w:val="nil"/>
              <w:bottom w:val="single" w:sz="4" w:space="0" w:color="auto"/>
              <w:right w:val="single" w:sz="4" w:space="0" w:color="auto"/>
            </w:tcBorders>
            <w:shd w:val="clear" w:color="auto" w:fill="auto"/>
            <w:noWrap/>
            <w:vAlign w:val="center"/>
            <w:hideMark/>
          </w:tcPr>
          <w:p w14:paraId="30DE36FE"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17.809,65</w:t>
            </w:r>
          </w:p>
        </w:tc>
      </w:tr>
      <w:tr w:rsidR="003E19A2" w:rsidRPr="00A81CB8" w14:paraId="4DF8A8DE"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20CED6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4FD229A"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7E2523A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1D63A06"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27CEF64"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64.976,21</w:t>
            </w:r>
          </w:p>
        </w:tc>
      </w:tr>
      <w:tr w:rsidR="003E19A2" w:rsidRPr="00A81CB8" w14:paraId="0D927CFB"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577328CF"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tcBorders>
              <w:top w:val="nil"/>
              <w:left w:val="nil"/>
              <w:bottom w:val="single" w:sz="4" w:space="0" w:color="auto"/>
              <w:right w:val="single" w:sz="4" w:space="0" w:color="auto"/>
            </w:tcBorders>
            <w:shd w:val="clear" w:color="auto" w:fill="auto"/>
            <w:vAlign w:val="center"/>
            <w:hideMark/>
          </w:tcPr>
          <w:p w14:paraId="77F1771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RE: SAN LUIS</w:t>
            </w:r>
          </w:p>
        </w:tc>
        <w:tc>
          <w:tcPr>
            <w:tcW w:w="1077" w:type="dxa"/>
            <w:tcBorders>
              <w:top w:val="nil"/>
              <w:left w:val="nil"/>
              <w:bottom w:val="single" w:sz="4" w:space="0" w:color="auto"/>
              <w:right w:val="single" w:sz="4" w:space="0" w:color="auto"/>
            </w:tcBorders>
            <w:shd w:val="clear" w:color="auto" w:fill="auto"/>
            <w:noWrap/>
            <w:vAlign w:val="center"/>
            <w:hideMark/>
          </w:tcPr>
          <w:p w14:paraId="0571E0A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7CC35A53"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6D6D1A2F"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51.030,81</w:t>
            </w:r>
          </w:p>
        </w:tc>
      </w:tr>
      <w:tr w:rsidR="003E19A2" w:rsidRPr="00A81CB8" w14:paraId="0AE14D78"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D15F0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SE-N_78</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46388CEE"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TARAPACA</w:t>
            </w:r>
          </w:p>
        </w:tc>
        <w:tc>
          <w:tcPr>
            <w:tcW w:w="1077" w:type="dxa"/>
            <w:tcBorders>
              <w:top w:val="nil"/>
              <w:left w:val="nil"/>
              <w:bottom w:val="single" w:sz="4" w:space="0" w:color="auto"/>
              <w:right w:val="single" w:sz="4" w:space="0" w:color="auto"/>
            </w:tcBorders>
            <w:shd w:val="clear" w:color="auto" w:fill="auto"/>
            <w:noWrap/>
            <w:vAlign w:val="center"/>
            <w:hideMark/>
          </w:tcPr>
          <w:p w14:paraId="02834F12"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027D196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1443DF7C"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2.483.744,85</w:t>
            </w:r>
          </w:p>
        </w:tc>
      </w:tr>
      <w:tr w:rsidR="003E19A2" w:rsidRPr="00A81CB8" w14:paraId="13FCB50F"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0065B402"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58B74F9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0B762C1A"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P_107</w:t>
            </w:r>
          </w:p>
        </w:tc>
        <w:tc>
          <w:tcPr>
            <w:tcW w:w="3969" w:type="dxa"/>
            <w:tcBorders>
              <w:top w:val="nil"/>
              <w:left w:val="nil"/>
              <w:bottom w:val="single" w:sz="4" w:space="0" w:color="auto"/>
              <w:right w:val="single" w:sz="4" w:space="0" w:color="auto"/>
            </w:tcBorders>
            <w:shd w:val="clear" w:color="auto" w:fill="auto"/>
            <w:noWrap/>
            <w:vAlign w:val="center"/>
            <w:hideMark/>
          </w:tcPr>
          <w:p w14:paraId="4F86869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CELTA</w:t>
            </w:r>
          </w:p>
        </w:tc>
        <w:tc>
          <w:tcPr>
            <w:tcW w:w="1967" w:type="dxa"/>
            <w:tcBorders>
              <w:top w:val="nil"/>
              <w:left w:val="nil"/>
              <w:bottom w:val="single" w:sz="4" w:space="0" w:color="auto"/>
              <w:right w:val="single" w:sz="4" w:space="0" w:color="auto"/>
            </w:tcBorders>
            <w:shd w:val="clear" w:color="auto" w:fill="auto"/>
            <w:noWrap/>
            <w:vAlign w:val="center"/>
            <w:hideMark/>
          </w:tcPr>
          <w:p w14:paraId="76E6EC1B"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0,00</w:t>
            </w:r>
          </w:p>
        </w:tc>
      </w:tr>
      <w:tr w:rsidR="003E19A2" w:rsidRPr="00A81CB8" w14:paraId="2B25092B"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BAADA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SE-N_79</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74A3E7A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TEMUCO</w:t>
            </w:r>
          </w:p>
        </w:tc>
        <w:tc>
          <w:tcPr>
            <w:tcW w:w="1077" w:type="dxa"/>
            <w:tcBorders>
              <w:top w:val="nil"/>
              <w:left w:val="nil"/>
              <w:bottom w:val="single" w:sz="4" w:space="0" w:color="auto"/>
              <w:right w:val="single" w:sz="4" w:space="0" w:color="auto"/>
            </w:tcBorders>
            <w:shd w:val="clear" w:color="auto" w:fill="auto"/>
            <w:noWrap/>
            <w:vAlign w:val="center"/>
            <w:hideMark/>
          </w:tcPr>
          <w:p w14:paraId="4EFA0C2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69B09645"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3681C31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9.533.544,02</w:t>
            </w:r>
          </w:p>
        </w:tc>
      </w:tr>
      <w:tr w:rsidR="003E19A2" w:rsidRPr="00A81CB8" w14:paraId="5305D2E7"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6DD6D9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37C32CAD"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5595C05D"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P_083</w:t>
            </w:r>
          </w:p>
        </w:tc>
        <w:tc>
          <w:tcPr>
            <w:tcW w:w="3969" w:type="dxa"/>
            <w:tcBorders>
              <w:top w:val="nil"/>
              <w:left w:val="nil"/>
              <w:bottom w:val="single" w:sz="4" w:space="0" w:color="auto"/>
              <w:right w:val="single" w:sz="4" w:space="0" w:color="auto"/>
            </w:tcBorders>
            <w:shd w:val="clear" w:color="auto" w:fill="auto"/>
            <w:noWrap/>
            <w:vAlign w:val="center"/>
            <w:hideMark/>
          </w:tcPr>
          <w:p w14:paraId="6D018F9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CGE</w:t>
            </w:r>
          </w:p>
        </w:tc>
        <w:tc>
          <w:tcPr>
            <w:tcW w:w="1967" w:type="dxa"/>
            <w:tcBorders>
              <w:top w:val="nil"/>
              <w:left w:val="nil"/>
              <w:bottom w:val="single" w:sz="4" w:space="0" w:color="auto"/>
              <w:right w:val="single" w:sz="4" w:space="0" w:color="auto"/>
            </w:tcBorders>
            <w:shd w:val="clear" w:color="auto" w:fill="auto"/>
            <w:noWrap/>
            <w:vAlign w:val="center"/>
            <w:hideMark/>
          </w:tcPr>
          <w:p w14:paraId="6FEF8673"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348.939,94</w:t>
            </w:r>
          </w:p>
        </w:tc>
      </w:tr>
      <w:tr w:rsidR="003E19A2" w:rsidRPr="00A81CB8" w14:paraId="5C58E51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178BBC4"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SE-N_80</w:t>
            </w:r>
          </w:p>
        </w:tc>
        <w:tc>
          <w:tcPr>
            <w:tcW w:w="3969" w:type="dxa"/>
            <w:tcBorders>
              <w:top w:val="nil"/>
              <w:left w:val="nil"/>
              <w:bottom w:val="single" w:sz="4" w:space="0" w:color="auto"/>
              <w:right w:val="single" w:sz="4" w:space="0" w:color="auto"/>
            </w:tcBorders>
            <w:shd w:val="clear" w:color="auto" w:fill="auto"/>
            <w:vAlign w:val="center"/>
            <w:hideMark/>
          </w:tcPr>
          <w:p w14:paraId="2FC80B7F"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TINGUIRIRICA</w:t>
            </w:r>
          </w:p>
        </w:tc>
        <w:tc>
          <w:tcPr>
            <w:tcW w:w="1077" w:type="dxa"/>
            <w:tcBorders>
              <w:top w:val="nil"/>
              <w:left w:val="nil"/>
              <w:bottom w:val="single" w:sz="4" w:space="0" w:color="auto"/>
              <w:right w:val="single" w:sz="4" w:space="0" w:color="auto"/>
            </w:tcBorders>
            <w:shd w:val="clear" w:color="auto" w:fill="auto"/>
            <w:noWrap/>
            <w:vAlign w:val="center"/>
            <w:hideMark/>
          </w:tcPr>
          <w:p w14:paraId="286DD0F1"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17F5842C"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40DC3E90"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3.462.104,96</w:t>
            </w:r>
          </w:p>
        </w:tc>
      </w:tr>
      <w:tr w:rsidR="003E19A2" w:rsidRPr="00A81CB8" w14:paraId="3FDAB102" w14:textId="77777777" w:rsidTr="00725CE1">
        <w:trPr>
          <w:jc w:val="center"/>
        </w:trPr>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5987D5"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SE-N_81</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14:paraId="5ABCE678"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VALDIVIA</w:t>
            </w:r>
          </w:p>
        </w:tc>
        <w:tc>
          <w:tcPr>
            <w:tcW w:w="1077" w:type="dxa"/>
            <w:tcBorders>
              <w:top w:val="nil"/>
              <w:left w:val="nil"/>
              <w:bottom w:val="single" w:sz="4" w:space="0" w:color="auto"/>
              <w:right w:val="single" w:sz="4" w:space="0" w:color="auto"/>
            </w:tcBorders>
            <w:shd w:val="clear" w:color="auto" w:fill="auto"/>
            <w:noWrap/>
            <w:vAlign w:val="center"/>
            <w:hideMark/>
          </w:tcPr>
          <w:p w14:paraId="1BE27F9C"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P_032</w:t>
            </w:r>
          </w:p>
        </w:tc>
        <w:tc>
          <w:tcPr>
            <w:tcW w:w="3969" w:type="dxa"/>
            <w:tcBorders>
              <w:top w:val="nil"/>
              <w:left w:val="nil"/>
              <w:bottom w:val="single" w:sz="4" w:space="0" w:color="auto"/>
              <w:right w:val="single" w:sz="4" w:space="0" w:color="auto"/>
            </w:tcBorders>
            <w:shd w:val="clear" w:color="auto" w:fill="auto"/>
            <w:noWrap/>
            <w:vAlign w:val="center"/>
            <w:hideMark/>
          </w:tcPr>
          <w:p w14:paraId="5B463A5E"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TRANSELEC S.A.</w:t>
            </w:r>
          </w:p>
        </w:tc>
        <w:tc>
          <w:tcPr>
            <w:tcW w:w="1967" w:type="dxa"/>
            <w:tcBorders>
              <w:top w:val="nil"/>
              <w:left w:val="nil"/>
              <w:bottom w:val="single" w:sz="4" w:space="0" w:color="auto"/>
              <w:right w:val="single" w:sz="4" w:space="0" w:color="auto"/>
            </w:tcBorders>
            <w:shd w:val="clear" w:color="auto" w:fill="auto"/>
            <w:noWrap/>
            <w:vAlign w:val="center"/>
            <w:hideMark/>
          </w:tcPr>
          <w:p w14:paraId="303A18EB"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3.976.032,89</w:t>
            </w:r>
          </w:p>
        </w:tc>
      </w:tr>
      <w:tr w:rsidR="003E19A2" w:rsidRPr="00A81CB8" w14:paraId="718C1CA0"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43C57810"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099BCB97"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p>
        </w:tc>
        <w:tc>
          <w:tcPr>
            <w:tcW w:w="1077" w:type="dxa"/>
            <w:tcBorders>
              <w:top w:val="nil"/>
              <w:left w:val="nil"/>
              <w:bottom w:val="single" w:sz="4" w:space="0" w:color="auto"/>
              <w:right w:val="single" w:sz="4" w:space="0" w:color="auto"/>
            </w:tcBorders>
            <w:shd w:val="clear" w:color="auto" w:fill="auto"/>
            <w:noWrap/>
            <w:vAlign w:val="center"/>
            <w:hideMark/>
          </w:tcPr>
          <w:p w14:paraId="38DE2829" w14:textId="77777777" w:rsidR="003E19A2" w:rsidRPr="00A81CB8" w:rsidRDefault="003E19A2" w:rsidP="00725CE1">
            <w:pPr>
              <w:spacing w:before="20" w:after="20" w:line="240" w:lineRule="auto"/>
              <w:jc w:val="center"/>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P_100</w:t>
            </w:r>
          </w:p>
        </w:tc>
        <w:tc>
          <w:tcPr>
            <w:tcW w:w="3969" w:type="dxa"/>
            <w:tcBorders>
              <w:top w:val="nil"/>
              <w:left w:val="nil"/>
              <w:bottom w:val="single" w:sz="4" w:space="0" w:color="auto"/>
              <w:right w:val="single" w:sz="4" w:space="0" w:color="auto"/>
            </w:tcBorders>
            <w:shd w:val="clear" w:color="auto" w:fill="auto"/>
            <w:noWrap/>
            <w:vAlign w:val="center"/>
            <w:hideMark/>
          </w:tcPr>
          <w:p w14:paraId="3DB79199" w14:textId="77777777" w:rsidR="003E19A2" w:rsidRPr="00A81CB8" w:rsidRDefault="003E19A2" w:rsidP="00725CE1">
            <w:pPr>
              <w:spacing w:before="20" w:after="20" w:line="240" w:lineRule="auto"/>
              <w:jc w:val="left"/>
              <w:rPr>
                <w:rFonts w:asciiTheme="minorHAnsi" w:eastAsia="Times New Roman" w:hAnsiTheme="minorHAnsi" w:cs="Calibri"/>
                <w:color w:val="000000"/>
                <w:sz w:val="20"/>
                <w:szCs w:val="20"/>
                <w:lang w:eastAsia="es-CL"/>
              </w:rPr>
            </w:pPr>
            <w:r w:rsidRPr="00A81CB8">
              <w:rPr>
                <w:rFonts w:asciiTheme="minorHAnsi" w:eastAsia="Times New Roman" w:hAnsiTheme="minorHAnsi" w:cs="Calibri"/>
                <w:color w:val="000000"/>
                <w:sz w:val="20"/>
                <w:szCs w:val="20"/>
                <w:lang w:eastAsia="es-CL"/>
              </w:rPr>
              <w:t>STS</w:t>
            </w:r>
          </w:p>
        </w:tc>
        <w:tc>
          <w:tcPr>
            <w:tcW w:w="1967" w:type="dxa"/>
            <w:tcBorders>
              <w:top w:val="nil"/>
              <w:left w:val="nil"/>
              <w:bottom w:val="single" w:sz="4" w:space="0" w:color="auto"/>
              <w:right w:val="single" w:sz="4" w:space="0" w:color="auto"/>
            </w:tcBorders>
            <w:shd w:val="clear" w:color="auto" w:fill="auto"/>
            <w:noWrap/>
            <w:vAlign w:val="center"/>
            <w:hideMark/>
          </w:tcPr>
          <w:p w14:paraId="46597937" w14:textId="77777777" w:rsidR="003E19A2" w:rsidRPr="00A81CB8" w:rsidRDefault="003E19A2" w:rsidP="00725CE1">
            <w:pPr>
              <w:spacing w:before="20" w:after="20" w:line="240" w:lineRule="auto"/>
              <w:jc w:val="right"/>
              <w:rPr>
                <w:rFonts w:asciiTheme="minorHAnsi" w:eastAsia="Times New Roman" w:hAnsiTheme="minorHAnsi" w:cs="Calibri"/>
                <w:b/>
                <w:bCs/>
                <w:color w:val="000000"/>
                <w:sz w:val="20"/>
                <w:szCs w:val="20"/>
                <w:lang w:eastAsia="es-CL"/>
              </w:rPr>
            </w:pPr>
            <w:r w:rsidRPr="00A81CB8">
              <w:rPr>
                <w:rFonts w:asciiTheme="minorHAnsi" w:hAnsiTheme="minorHAnsi" w:cs="Calibri"/>
                <w:b/>
                <w:bCs/>
                <w:color w:val="000000"/>
                <w:sz w:val="20"/>
                <w:szCs w:val="20"/>
              </w:rPr>
              <w:t>694.097,82</w:t>
            </w:r>
          </w:p>
        </w:tc>
      </w:tr>
    </w:tbl>
    <w:p w14:paraId="27332AAD" w14:textId="77777777" w:rsidR="003E19A2" w:rsidRDefault="003E19A2" w:rsidP="003E19A2">
      <w:pPr>
        <w:jc w:val="center"/>
      </w:pPr>
    </w:p>
    <w:p w14:paraId="70F8EEC2" w14:textId="77777777" w:rsidR="003E19A2" w:rsidRDefault="003E19A2" w:rsidP="003E19A2">
      <w:pPr>
        <w:spacing w:after="160" w:line="259" w:lineRule="auto"/>
        <w:jc w:val="left"/>
      </w:pPr>
      <w:r>
        <w:br w:type="page"/>
      </w:r>
    </w:p>
    <w:p w14:paraId="18EC865C" w14:textId="77777777" w:rsidR="003E19A2" w:rsidRDefault="003E19A2" w:rsidP="003E19A2">
      <w:pPr>
        <w:pStyle w:val="Ttulo3"/>
      </w:pPr>
      <w:bookmarkStart w:id="308" w:name="_Toc34640159"/>
      <w:bookmarkStart w:id="309" w:name="_Toc34655183"/>
      <w:bookmarkStart w:id="310" w:name="_Toc34687266"/>
      <w:r w:rsidRPr="009B2440">
        <w:t>Valor de Inversión por tramo de transporte y por propietario calificación nacional</w:t>
      </w:r>
      <w:bookmarkEnd w:id="308"/>
      <w:bookmarkEnd w:id="309"/>
      <w:bookmarkEnd w:id="310"/>
    </w:p>
    <w:p w14:paraId="44EB30E4" w14:textId="24032E32" w:rsidR="003E19A2" w:rsidRPr="00E804A2" w:rsidRDefault="003E19A2" w:rsidP="003E19A2">
      <w:pPr>
        <w:pStyle w:val="Descripcin"/>
        <w:spacing w:after="120"/>
        <w:jc w:val="center"/>
        <w:rPr>
          <w:b/>
          <w:i w:val="0"/>
          <w:color w:val="auto"/>
          <w:sz w:val="20"/>
          <w:szCs w:val="20"/>
        </w:rPr>
      </w:pPr>
      <w:bookmarkStart w:id="311" w:name="_Toc34640126"/>
      <w:bookmarkStart w:id="312" w:name="_Toc34655194"/>
      <w:r w:rsidRPr="00E804A2">
        <w:rPr>
          <w:b/>
          <w:i w:val="0"/>
          <w:color w:val="auto"/>
          <w:sz w:val="20"/>
          <w:szCs w:val="20"/>
        </w:rPr>
        <w:t xml:space="preserve">Tabla </w:t>
      </w:r>
      <w:r w:rsidRPr="00E804A2">
        <w:rPr>
          <w:b/>
          <w:i w:val="0"/>
          <w:color w:val="auto"/>
          <w:sz w:val="20"/>
          <w:szCs w:val="20"/>
        </w:rPr>
        <w:fldChar w:fldCharType="begin"/>
      </w:r>
      <w:r w:rsidRPr="00E804A2">
        <w:rPr>
          <w:b/>
          <w:i w:val="0"/>
          <w:color w:val="auto"/>
          <w:sz w:val="20"/>
          <w:szCs w:val="20"/>
        </w:rPr>
        <w:instrText xml:space="preserve"> SEQ Tabla \* ARABIC </w:instrText>
      </w:r>
      <w:r w:rsidRPr="00E804A2">
        <w:rPr>
          <w:b/>
          <w:i w:val="0"/>
          <w:color w:val="auto"/>
          <w:sz w:val="20"/>
          <w:szCs w:val="20"/>
        </w:rPr>
        <w:fldChar w:fldCharType="separate"/>
      </w:r>
      <w:r w:rsidR="00F14BED">
        <w:rPr>
          <w:b/>
          <w:i w:val="0"/>
          <w:noProof/>
          <w:color w:val="auto"/>
          <w:sz w:val="20"/>
          <w:szCs w:val="20"/>
        </w:rPr>
        <w:t>11</w:t>
      </w:r>
      <w:r w:rsidRPr="00E804A2">
        <w:rPr>
          <w:b/>
          <w:i w:val="0"/>
          <w:color w:val="auto"/>
          <w:sz w:val="20"/>
          <w:szCs w:val="20"/>
        </w:rPr>
        <w:fldChar w:fldCharType="end"/>
      </w:r>
      <w:r w:rsidRPr="00E804A2">
        <w:rPr>
          <w:b/>
          <w:i w:val="0"/>
          <w:color w:val="auto"/>
          <w:sz w:val="20"/>
          <w:szCs w:val="20"/>
        </w:rPr>
        <w:t>: Valor de Inversión (V.I.) por tramo de transporte y por propietario calificación nacional</w:t>
      </w:r>
      <w:bookmarkEnd w:id="311"/>
      <w:bookmarkEnd w:id="312"/>
    </w:p>
    <w:tbl>
      <w:tblPr>
        <w:tblW w:w="0" w:type="auto"/>
        <w:jc w:val="center"/>
        <w:tblLayout w:type="fixed"/>
        <w:tblCellMar>
          <w:left w:w="57" w:type="dxa"/>
          <w:right w:w="57" w:type="dxa"/>
        </w:tblCellMar>
        <w:tblLook w:val="04A0" w:firstRow="1" w:lastRow="0" w:firstColumn="1" w:lastColumn="0" w:noHBand="0" w:noVBand="1"/>
      </w:tblPr>
      <w:tblGrid>
        <w:gridCol w:w="1985"/>
        <w:gridCol w:w="3969"/>
        <w:gridCol w:w="1134"/>
        <w:gridCol w:w="3686"/>
        <w:gridCol w:w="2268"/>
      </w:tblGrid>
      <w:tr w:rsidR="003E19A2" w:rsidRPr="0069558B" w14:paraId="516375DD" w14:textId="77777777" w:rsidTr="00725CE1">
        <w:trPr>
          <w:tblHeader/>
          <w:jc w:val="center"/>
        </w:trPr>
        <w:tc>
          <w:tcPr>
            <w:tcW w:w="198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DBF80E2" w14:textId="77777777" w:rsidR="003E19A2" w:rsidRPr="0069558B" w:rsidRDefault="003E19A2" w:rsidP="00725CE1">
            <w:pPr>
              <w:spacing w:before="20" w:after="20" w:line="240" w:lineRule="auto"/>
              <w:jc w:val="center"/>
              <w:rPr>
                <w:rFonts w:eastAsia="Times New Roman" w:cs="Calibri"/>
                <w:b/>
                <w:bCs/>
                <w:color w:val="000000"/>
                <w:sz w:val="20"/>
                <w:szCs w:val="20"/>
                <w:lang w:eastAsia="es-CL"/>
              </w:rPr>
            </w:pPr>
            <w:r w:rsidRPr="0069558B">
              <w:rPr>
                <w:rFonts w:eastAsia="Times New Roman" w:cs="Calibri"/>
                <w:b/>
                <w:bCs/>
                <w:color w:val="000000"/>
                <w:sz w:val="20"/>
                <w:szCs w:val="20"/>
                <w:lang w:eastAsia="es-CL"/>
              </w:rPr>
              <w:t>IdCalificacionCodigo</w:t>
            </w:r>
          </w:p>
        </w:tc>
        <w:tc>
          <w:tcPr>
            <w:tcW w:w="39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6C020B7" w14:textId="77777777" w:rsidR="003E19A2" w:rsidRPr="0069558B" w:rsidRDefault="003E19A2" w:rsidP="00725CE1">
            <w:pPr>
              <w:spacing w:before="20" w:after="20" w:line="240" w:lineRule="auto"/>
              <w:jc w:val="center"/>
              <w:rPr>
                <w:rFonts w:eastAsia="Times New Roman" w:cs="Calibri"/>
                <w:b/>
                <w:bCs/>
                <w:color w:val="000000"/>
                <w:sz w:val="20"/>
                <w:szCs w:val="20"/>
                <w:lang w:eastAsia="es-CL"/>
              </w:rPr>
            </w:pPr>
            <w:r w:rsidRPr="0069558B">
              <w:rPr>
                <w:rFonts w:eastAsia="Times New Roman" w:cs="Calibri"/>
                <w:b/>
                <w:bCs/>
                <w:color w:val="000000"/>
                <w:sz w:val="20"/>
                <w:szCs w:val="20"/>
                <w:lang w:eastAsia="es-CL"/>
              </w:rPr>
              <w:t>Nombre del Tramo</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3B3D251" w14:textId="77777777" w:rsidR="003E19A2" w:rsidRPr="0069558B" w:rsidRDefault="003E19A2" w:rsidP="00725CE1">
            <w:pPr>
              <w:spacing w:before="20" w:after="20" w:line="240" w:lineRule="auto"/>
              <w:jc w:val="center"/>
              <w:rPr>
                <w:rFonts w:eastAsia="Times New Roman" w:cs="Calibri"/>
                <w:b/>
                <w:bCs/>
                <w:color w:val="000000"/>
                <w:sz w:val="20"/>
                <w:szCs w:val="20"/>
                <w:lang w:eastAsia="es-CL"/>
              </w:rPr>
            </w:pPr>
            <w:r w:rsidRPr="0069558B">
              <w:rPr>
                <w:rFonts w:eastAsia="Times New Roman" w:cs="Calibri"/>
                <w:b/>
                <w:bCs/>
                <w:color w:val="000000"/>
                <w:sz w:val="20"/>
                <w:szCs w:val="20"/>
                <w:lang w:eastAsia="es-CL"/>
              </w:rPr>
              <w:t>IdEmpresaPropietaria</w:t>
            </w:r>
          </w:p>
        </w:tc>
        <w:tc>
          <w:tcPr>
            <w:tcW w:w="3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4982BFD" w14:textId="77777777" w:rsidR="003E19A2" w:rsidRPr="0069558B" w:rsidRDefault="003E19A2" w:rsidP="00725CE1">
            <w:pPr>
              <w:spacing w:before="20" w:after="20" w:line="240" w:lineRule="auto"/>
              <w:jc w:val="center"/>
              <w:rPr>
                <w:rFonts w:eastAsia="Times New Roman" w:cs="Calibri"/>
                <w:b/>
                <w:bCs/>
                <w:color w:val="000000"/>
                <w:sz w:val="20"/>
                <w:szCs w:val="20"/>
                <w:lang w:eastAsia="es-CL"/>
              </w:rPr>
            </w:pPr>
            <w:r w:rsidRPr="0069558B">
              <w:rPr>
                <w:rFonts w:eastAsia="Times New Roman" w:cs="Calibri"/>
                <w:b/>
                <w:bCs/>
                <w:color w:val="000000"/>
                <w:sz w:val="20"/>
                <w:szCs w:val="20"/>
                <w:lang w:eastAsia="es-CL"/>
              </w:rPr>
              <w:t>Nombre de Empresa</w:t>
            </w:r>
          </w:p>
        </w:tc>
        <w:tc>
          <w:tcPr>
            <w:tcW w:w="226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CDC7C74" w14:textId="77777777" w:rsidR="003E19A2" w:rsidRPr="0069558B" w:rsidRDefault="003E19A2" w:rsidP="00725CE1">
            <w:pPr>
              <w:spacing w:before="20" w:after="20" w:line="240" w:lineRule="auto"/>
              <w:jc w:val="center"/>
              <w:rPr>
                <w:rFonts w:eastAsia="Times New Roman" w:cs="Calibri"/>
                <w:b/>
                <w:bCs/>
                <w:color w:val="000000"/>
                <w:sz w:val="20"/>
                <w:szCs w:val="20"/>
                <w:lang w:eastAsia="es-CL"/>
              </w:rPr>
            </w:pPr>
            <w:r w:rsidRPr="0069558B">
              <w:rPr>
                <w:rFonts w:eastAsia="Times New Roman" w:cs="Calibri"/>
                <w:b/>
                <w:bCs/>
                <w:color w:val="000000"/>
                <w:sz w:val="20"/>
                <w:szCs w:val="20"/>
                <w:lang w:eastAsia="es-CL"/>
              </w:rPr>
              <w:t>Valor de Inversión (V.I.)</w:t>
            </w:r>
          </w:p>
          <w:p w14:paraId="019F2538" w14:textId="77777777" w:rsidR="003E19A2" w:rsidRPr="0069558B" w:rsidRDefault="003E19A2" w:rsidP="00725CE1">
            <w:pPr>
              <w:spacing w:before="20" w:after="20" w:line="240" w:lineRule="auto"/>
              <w:jc w:val="center"/>
              <w:rPr>
                <w:rFonts w:eastAsia="Times New Roman" w:cs="Calibri"/>
                <w:b/>
                <w:bCs/>
                <w:color w:val="000000"/>
                <w:sz w:val="20"/>
                <w:szCs w:val="20"/>
                <w:lang w:eastAsia="es-CL"/>
              </w:rPr>
            </w:pPr>
            <w:r w:rsidRPr="0069558B">
              <w:rPr>
                <w:rFonts w:eastAsia="Times New Roman" w:cs="Calibri"/>
                <w:b/>
                <w:bCs/>
                <w:color w:val="000000"/>
                <w:sz w:val="20"/>
                <w:szCs w:val="20"/>
                <w:lang w:eastAsia="es-CL"/>
              </w:rPr>
              <w:t>USD (Dólares de USA)</w:t>
            </w:r>
          </w:p>
        </w:tc>
      </w:tr>
      <w:tr w:rsidR="003E19A2" w:rsidRPr="0069558B" w14:paraId="2F018F3A"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AD72A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C1568E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220-&gt;Alto Jahuel 500</w:t>
            </w:r>
          </w:p>
        </w:tc>
        <w:tc>
          <w:tcPr>
            <w:tcW w:w="1134" w:type="dxa"/>
            <w:tcBorders>
              <w:top w:val="nil"/>
              <w:left w:val="nil"/>
              <w:bottom w:val="single" w:sz="4" w:space="0" w:color="auto"/>
              <w:right w:val="single" w:sz="4" w:space="0" w:color="auto"/>
            </w:tcBorders>
            <w:shd w:val="clear" w:color="auto" w:fill="auto"/>
            <w:noWrap/>
            <w:vAlign w:val="center"/>
            <w:hideMark/>
          </w:tcPr>
          <w:p w14:paraId="0C6580B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D06D10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98CF0D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15.845.861,00</w:t>
            </w:r>
          </w:p>
        </w:tc>
      </w:tr>
      <w:tr w:rsidR="003E19A2" w:rsidRPr="0069558B" w14:paraId="64190ACF"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69E0736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62B8B76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361851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P_083</w:t>
            </w:r>
          </w:p>
        </w:tc>
        <w:tc>
          <w:tcPr>
            <w:tcW w:w="3686" w:type="dxa"/>
            <w:tcBorders>
              <w:top w:val="nil"/>
              <w:left w:val="nil"/>
              <w:bottom w:val="single" w:sz="4" w:space="0" w:color="auto"/>
              <w:right w:val="single" w:sz="4" w:space="0" w:color="auto"/>
            </w:tcBorders>
            <w:shd w:val="clear" w:color="auto" w:fill="auto"/>
            <w:noWrap/>
            <w:vAlign w:val="center"/>
            <w:hideMark/>
          </w:tcPr>
          <w:p w14:paraId="2F3CDCC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CGE</w:t>
            </w:r>
          </w:p>
        </w:tc>
        <w:tc>
          <w:tcPr>
            <w:tcW w:w="2268" w:type="dxa"/>
            <w:tcBorders>
              <w:top w:val="nil"/>
              <w:left w:val="nil"/>
              <w:bottom w:val="single" w:sz="4" w:space="0" w:color="auto"/>
              <w:right w:val="single" w:sz="4" w:space="0" w:color="auto"/>
            </w:tcBorders>
            <w:shd w:val="clear" w:color="auto" w:fill="auto"/>
            <w:noWrap/>
            <w:vAlign w:val="center"/>
            <w:hideMark/>
          </w:tcPr>
          <w:p w14:paraId="4CEE114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1.512,36</w:t>
            </w:r>
          </w:p>
        </w:tc>
      </w:tr>
      <w:tr w:rsidR="003E19A2" w:rsidRPr="0069558B" w14:paraId="073D489D"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C08E6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922D74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220-&gt;Buin 220</w:t>
            </w:r>
          </w:p>
        </w:tc>
        <w:tc>
          <w:tcPr>
            <w:tcW w:w="1134" w:type="dxa"/>
            <w:tcBorders>
              <w:top w:val="nil"/>
              <w:left w:val="nil"/>
              <w:bottom w:val="single" w:sz="4" w:space="0" w:color="auto"/>
              <w:right w:val="single" w:sz="4" w:space="0" w:color="auto"/>
            </w:tcBorders>
            <w:shd w:val="clear" w:color="auto" w:fill="auto"/>
            <w:noWrap/>
            <w:vAlign w:val="center"/>
            <w:hideMark/>
          </w:tcPr>
          <w:p w14:paraId="18A9E04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80D54E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27E6D8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352.782,65</w:t>
            </w:r>
          </w:p>
        </w:tc>
      </w:tr>
      <w:tr w:rsidR="003E19A2" w:rsidRPr="0069558B" w14:paraId="5D1A0C29"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5175DB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C73158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60E23B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P_111</w:t>
            </w:r>
          </w:p>
        </w:tc>
        <w:tc>
          <w:tcPr>
            <w:tcW w:w="3686" w:type="dxa"/>
            <w:tcBorders>
              <w:top w:val="nil"/>
              <w:left w:val="nil"/>
              <w:bottom w:val="single" w:sz="4" w:space="0" w:color="auto"/>
              <w:right w:val="single" w:sz="4" w:space="0" w:color="auto"/>
            </w:tcBorders>
            <w:shd w:val="clear" w:color="auto" w:fill="auto"/>
            <w:noWrap/>
            <w:vAlign w:val="center"/>
            <w:hideMark/>
          </w:tcPr>
          <w:p w14:paraId="477D734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ENEL DISTRIBUCION S.A</w:t>
            </w:r>
          </w:p>
        </w:tc>
        <w:tc>
          <w:tcPr>
            <w:tcW w:w="2268" w:type="dxa"/>
            <w:tcBorders>
              <w:top w:val="nil"/>
              <w:left w:val="nil"/>
              <w:bottom w:val="single" w:sz="4" w:space="0" w:color="auto"/>
              <w:right w:val="single" w:sz="4" w:space="0" w:color="auto"/>
            </w:tcBorders>
            <w:shd w:val="clear" w:color="auto" w:fill="auto"/>
            <w:noWrap/>
            <w:vAlign w:val="center"/>
            <w:hideMark/>
          </w:tcPr>
          <w:p w14:paraId="32BB78E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102.542,73</w:t>
            </w:r>
          </w:p>
        </w:tc>
      </w:tr>
      <w:tr w:rsidR="003E19A2" w:rsidRPr="0069558B" w14:paraId="24150AA6"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515D5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B774B7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220-&gt;Chena 220</w:t>
            </w:r>
          </w:p>
        </w:tc>
        <w:tc>
          <w:tcPr>
            <w:tcW w:w="1134" w:type="dxa"/>
            <w:tcBorders>
              <w:top w:val="nil"/>
              <w:left w:val="nil"/>
              <w:bottom w:val="single" w:sz="4" w:space="0" w:color="auto"/>
              <w:right w:val="single" w:sz="4" w:space="0" w:color="auto"/>
            </w:tcBorders>
            <w:shd w:val="clear" w:color="auto" w:fill="auto"/>
            <w:noWrap/>
            <w:vAlign w:val="center"/>
            <w:hideMark/>
          </w:tcPr>
          <w:p w14:paraId="7A9610A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A09D85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6BE782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15.891.807,86</w:t>
            </w:r>
          </w:p>
        </w:tc>
      </w:tr>
      <w:tr w:rsidR="003E19A2" w:rsidRPr="0069558B" w14:paraId="525FAF8D"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64653E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630D975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1B73B6F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P_513</w:t>
            </w:r>
          </w:p>
        </w:tc>
        <w:tc>
          <w:tcPr>
            <w:tcW w:w="3686" w:type="dxa"/>
            <w:tcBorders>
              <w:top w:val="nil"/>
              <w:left w:val="nil"/>
              <w:bottom w:val="single" w:sz="4" w:space="0" w:color="auto"/>
              <w:right w:val="single" w:sz="4" w:space="0" w:color="auto"/>
            </w:tcBorders>
            <w:shd w:val="clear" w:color="auto" w:fill="auto"/>
            <w:noWrap/>
            <w:vAlign w:val="center"/>
            <w:hideMark/>
          </w:tcPr>
          <w:p w14:paraId="413E7A0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Chena S.A.</w:t>
            </w:r>
          </w:p>
        </w:tc>
        <w:tc>
          <w:tcPr>
            <w:tcW w:w="2268" w:type="dxa"/>
            <w:tcBorders>
              <w:top w:val="nil"/>
              <w:left w:val="nil"/>
              <w:bottom w:val="single" w:sz="4" w:space="0" w:color="auto"/>
              <w:right w:val="single" w:sz="4" w:space="0" w:color="auto"/>
            </w:tcBorders>
            <w:shd w:val="clear" w:color="auto" w:fill="auto"/>
            <w:noWrap/>
            <w:vAlign w:val="center"/>
            <w:hideMark/>
          </w:tcPr>
          <w:p w14:paraId="14DBE15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413.800,34</w:t>
            </w:r>
          </w:p>
        </w:tc>
      </w:tr>
      <w:tr w:rsidR="003E19A2" w:rsidRPr="0069558B" w14:paraId="334022E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BDE86D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w:t>
            </w:r>
          </w:p>
        </w:tc>
        <w:tc>
          <w:tcPr>
            <w:tcW w:w="3969" w:type="dxa"/>
            <w:tcBorders>
              <w:top w:val="nil"/>
              <w:left w:val="nil"/>
              <w:bottom w:val="single" w:sz="4" w:space="0" w:color="auto"/>
              <w:right w:val="single" w:sz="4" w:space="0" w:color="auto"/>
            </w:tcBorders>
            <w:shd w:val="clear" w:color="auto" w:fill="auto"/>
            <w:vAlign w:val="center"/>
            <w:hideMark/>
          </w:tcPr>
          <w:p w14:paraId="62E8D9E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220-&gt;Los Almendros 220</w:t>
            </w:r>
          </w:p>
        </w:tc>
        <w:tc>
          <w:tcPr>
            <w:tcW w:w="1134" w:type="dxa"/>
            <w:tcBorders>
              <w:top w:val="nil"/>
              <w:left w:val="nil"/>
              <w:bottom w:val="single" w:sz="4" w:space="0" w:color="auto"/>
              <w:right w:val="single" w:sz="4" w:space="0" w:color="auto"/>
            </w:tcBorders>
            <w:shd w:val="clear" w:color="auto" w:fill="auto"/>
            <w:noWrap/>
            <w:vAlign w:val="center"/>
            <w:hideMark/>
          </w:tcPr>
          <w:p w14:paraId="19FC31E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P_111</w:t>
            </w:r>
          </w:p>
        </w:tc>
        <w:tc>
          <w:tcPr>
            <w:tcW w:w="3686" w:type="dxa"/>
            <w:tcBorders>
              <w:top w:val="nil"/>
              <w:left w:val="nil"/>
              <w:bottom w:val="single" w:sz="4" w:space="0" w:color="auto"/>
              <w:right w:val="single" w:sz="4" w:space="0" w:color="auto"/>
            </w:tcBorders>
            <w:shd w:val="clear" w:color="auto" w:fill="auto"/>
            <w:noWrap/>
            <w:vAlign w:val="center"/>
            <w:hideMark/>
          </w:tcPr>
          <w:p w14:paraId="7B146E7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ENEL DISTRIBUCION S.A</w:t>
            </w:r>
          </w:p>
        </w:tc>
        <w:tc>
          <w:tcPr>
            <w:tcW w:w="2268" w:type="dxa"/>
            <w:tcBorders>
              <w:top w:val="nil"/>
              <w:left w:val="nil"/>
              <w:bottom w:val="single" w:sz="4" w:space="0" w:color="auto"/>
              <w:right w:val="single" w:sz="4" w:space="0" w:color="auto"/>
            </w:tcBorders>
            <w:shd w:val="clear" w:color="auto" w:fill="auto"/>
            <w:noWrap/>
            <w:vAlign w:val="center"/>
            <w:hideMark/>
          </w:tcPr>
          <w:p w14:paraId="59DDF65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31.649.711,00</w:t>
            </w:r>
          </w:p>
        </w:tc>
      </w:tr>
      <w:tr w:rsidR="003E19A2" w:rsidRPr="0069558B" w14:paraId="116DCD5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E86B8D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w:t>
            </w:r>
          </w:p>
        </w:tc>
        <w:tc>
          <w:tcPr>
            <w:tcW w:w="3969" w:type="dxa"/>
            <w:tcBorders>
              <w:top w:val="nil"/>
              <w:left w:val="nil"/>
              <w:bottom w:val="single" w:sz="4" w:space="0" w:color="auto"/>
              <w:right w:val="single" w:sz="4" w:space="0" w:color="auto"/>
            </w:tcBorders>
            <w:shd w:val="clear" w:color="auto" w:fill="auto"/>
            <w:vAlign w:val="center"/>
            <w:hideMark/>
          </w:tcPr>
          <w:p w14:paraId="516E55F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220-&gt;Maipo 220</w:t>
            </w:r>
          </w:p>
        </w:tc>
        <w:tc>
          <w:tcPr>
            <w:tcW w:w="1134" w:type="dxa"/>
            <w:tcBorders>
              <w:top w:val="nil"/>
              <w:left w:val="nil"/>
              <w:bottom w:val="single" w:sz="4" w:space="0" w:color="auto"/>
              <w:right w:val="single" w:sz="4" w:space="0" w:color="auto"/>
            </w:tcBorders>
            <w:shd w:val="clear" w:color="auto" w:fill="auto"/>
            <w:noWrap/>
            <w:vAlign w:val="center"/>
            <w:hideMark/>
          </w:tcPr>
          <w:p w14:paraId="10E5C01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59075C3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0A69A1B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1.859.423,49</w:t>
            </w:r>
          </w:p>
        </w:tc>
      </w:tr>
      <w:tr w:rsidR="003E19A2" w:rsidRPr="0069558B" w14:paraId="4CB72FD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C6C212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w:t>
            </w:r>
          </w:p>
        </w:tc>
        <w:tc>
          <w:tcPr>
            <w:tcW w:w="3969" w:type="dxa"/>
            <w:tcBorders>
              <w:top w:val="nil"/>
              <w:left w:val="nil"/>
              <w:bottom w:val="single" w:sz="4" w:space="0" w:color="auto"/>
              <w:right w:val="single" w:sz="4" w:space="0" w:color="auto"/>
            </w:tcBorders>
            <w:shd w:val="clear" w:color="auto" w:fill="auto"/>
            <w:vAlign w:val="center"/>
            <w:hideMark/>
          </w:tcPr>
          <w:p w14:paraId="1B3FDF9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220-&gt;Tap Central Santa Marta 220</w:t>
            </w:r>
          </w:p>
        </w:tc>
        <w:tc>
          <w:tcPr>
            <w:tcW w:w="1134" w:type="dxa"/>
            <w:tcBorders>
              <w:top w:val="nil"/>
              <w:left w:val="nil"/>
              <w:bottom w:val="single" w:sz="4" w:space="0" w:color="auto"/>
              <w:right w:val="single" w:sz="4" w:space="0" w:color="auto"/>
            </w:tcBorders>
            <w:shd w:val="clear" w:color="auto" w:fill="auto"/>
            <w:noWrap/>
            <w:vAlign w:val="center"/>
            <w:hideMark/>
          </w:tcPr>
          <w:p w14:paraId="7C72175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FF77E1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4AD057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4.217.106,34</w:t>
            </w:r>
          </w:p>
        </w:tc>
      </w:tr>
      <w:tr w:rsidR="003E19A2" w:rsidRPr="0069558B" w14:paraId="37574495"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B26EB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1A4E641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Alto Jahuel 500-&gt;Ancoa 500</w:t>
            </w:r>
          </w:p>
        </w:tc>
        <w:tc>
          <w:tcPr>
            <w:tcW w:w="1134" w:type="dxa"/>
            <w:tcBorders>
              <w:top w:val="nil"/>
              <w:left w:val="nil"/>
              <w:bottom w:val="single" w:sz="4" w:space="0" w:color="auto"/>
              <w:right w:val="single" w:sz="4" w:space="0" w:color="auto"/>
            </w:tcBorders>
            <w:shd w:val="clear" w:color="auto" w:fill="auto"/>
            <w:noWrap/>
            <w:vAlign w:val="center"/>
            <w:hideMark/>
          </w:tcPr>
          <w:p w14:paraId="4C6342C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706173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FB4D4D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247.137.551,72</w:t>
            </w:r>
          </w:p>
        </w:tc>
      </w:tr>
      <w:tr w:rsidR="003E19A2" w:rsidRPr="0069558B" w14:paraId="282D7CCF"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9EECC3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491E1E4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237C1C4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P_208</w:t>
            </w:r>
          </w:p>
        </w:tc>
        <w:tc>
          <w:tcPr>
            <w:tcW w:w="3686" w:type="dxa"/>
            <w:tcBorders>
              <w:top w:val="nil"/>
              <w:left w:val="nil"/>
              <w:bottom w:val="single" w:sz="4" w:space="0" w:color="auto"/>
              <w:right w:val="single" w:sz="4" w:space="0" w:color="auto"/>
            </w:tcBorders>
            <w:shd w:val="clear" w:color="auto" w:fill="auto"/>
            <w:noWrap/>
            <w:vAlign w:val="center"/>
            <w:hideMark/>
          </w:tcPr>
          <w:p w14:paraId="6B568AA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AJTE</w:t>
            </w:r>
          </w:p>
        </w:tc>
        <w:tc>
          <w:tcPr>
            <w:tcW w:w="2268" w:type="dxa"/>
            <w:tcBorders>
              <w:top w:val="nil"/>
              <w:left w:val="nil"/>
              <w:bottom w:val="single" w:sz="4" w:space="0" w:color="auto"/>
              <w:right w:val="single" w:sz="4" w:space="0" w:color="auto"/>
            </w:tcBorders>
            <w:shd w:val="clear" w:color="auto" w:fill="auto"/>
            <w:noWrap/>
            <w:vAlign w:val="center"/>
            <w:hideMark/>
          </w:tcPr>
          <w:p w14:paraId="7211992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62.659.662,07</w:t>
            </w:r>
          </w:p>
        </w:tc>
      </w:tr>
      <w:tr w:rsidR="003E19A2" w:rsidRPr="0069558B" w14:paraId="5A93C93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419CC9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w:t>
            </w:r>
          </w:p>
        </w:tc>
        <w:tc>
          <w:tcPr>
            <w:tcW w:w="3969" w:type="dxa"/>
            <w:tcBorders>
              <w:top w:val="nil"/>
              <w:left w:val="nil"/>
              <w:bottom w:val="single" w:sz="4" w:space="0" w:color="auto"/>
              <w:right w:val="single" w:sz="4" w:space="0" w:color="auto"/>
            </w:tcBorders>
            <w:shd w:val="clear" w:color="auto" w:fill="auto"/>
            <w:vAlign w:val="center"/>
            <w:hideMark/>
          </w:tcPr>
          <w:p w14:paraId="1CCBA4D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Ancoa 220-&gt;Ancoa 500</w:t>
            </w:r>
          </w:p>
        </w:tc>
        <w:tc>
          <w:tcPr>
            <w:tcW w:w="1134" w:type="dxa"/>
            <w:tcBorders>
              <w:top w:val="nil"/>
              <w:left w:val="nil"/>
              <w:bottom w:val="single" w:sz="4" w:space="0" w:color="auto"/>
              <w:right w:val="single" w:sz="4" w:space="0" w:color="auto"/>
            </w:tcBorders>
            <w:shd w:val="clear" w:color="auto" w:fill="auto"/>
            <w:noWrap/>
            <w:vAlign w:val="center"/>
            <w:hideMark/>
          </w:tcPr>
          <w:p w14:paraId="4B7E8A1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5085707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A38A80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8.521.102,27</w:t>
            </w:r>
          </w:p>
        </w:tc>
      </w:tr>
      <w:tr w:rsidR="003E19A2" w:rsidRPr="0069558B" w14:paraId="2B697D6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29C5D8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w:t>
            </w:r>
          </w:p>
        </w:tc>
        <w:tc>
          <w:tcPr>
            <w:tcW w:w="3969" w:type="dxa"/>
            <w:tcBorders>
              <w:top w:val="nil"/>
              <w:left w:val="nil"/>
              <w:bottom w:val="single" w:sz="4" w:space="0" w:color="auto"/>
              <w:right w:val="single" w:sz="4" w:space="0" w:color="auto"/>
            </w:tcBorders>
            <w:shd w:val="clear" w:color="auto" w:fill="auto"/>
            <w:vAlign w:val="center"/>
            <w:hideMark/>
          </w:tcPr>
          <w:p w14:paraId="73BC4C7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Ancoa 220-&gt;Colbun 220</w:t>
            </w:r>
          </w:p>
        </w:tc>
        <w:tc>
          <w:tcPr>
            <w:tcW w:w="1134" w:type="dxa"/>
            <w:tcBorders>
              <w:top w:val="nil"/>
              <w:left w:val="nil"/>
              <w:bottom w:val="single" w:sz="4" w:space="0" w:color="auto"/>
              <w:right w:val="single" w:sz="4" w:space="0" w:color="auto"/>
            </w:tcBorders>
            <w:shd w:val="clear" w:color="auto" w:fill="auto"/>
            <w:noWrap/>
            <w:vAlign w:val="center"/>
            <w:hideMark/>
          </w:tcPr>
          <w:p w14:paraId="19CD93F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7EB17F5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7A6FBB1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299.801,22</w:t>
            </w:r>
          </w:p>
        </w:tc>
      </w:tr>
      <w:tr w:rsidR="003E19A2" w:rsidRPr="0069558B" w14:paraId="4E3A3BA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8FDCC9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w:t>
            </w:r>
          </w:p>
        </w:tc>
        <w:tc>
          <w:tcPr>
            <w:tcW w:w="3969" w:type="dxa"/>
            <w:tcBorders>
              <w:top w:val="nil"/>
              <w:left w:val="nil"/>
              <w:bottom w:val="single" w:sz="4" w:space="0" w:color="auto"/>
              <w:right w:val="single" w:sz="4" w:space="0" w:color="auto"/>
            </w:tcBorders>
            <w:shd w:val="clear" w:color="auto" w:fill="auto"/>
            <w:vAlign w:val="center"/>
            <w:hideMark/>
          </w:tcPr>
          <w:p w14:paraId="0B9E785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Ancoa 220-&gt;Itahue 220</w:t>
            </w:r>
          </w:p>
        </w:tc>
        <w:tc>
          <w:tcPr>
            <w:tcW w:w="1134" w:type="dxa"/>
            <w:tcBorders>
              <w:top w:val="nil"/>
              <w:left w:val="nil"/>
              <w:bottom w:val="single" w:sz="4" w:space="0" w:color="auto"/>
              <w:right w:val="single" w:sz="4" w:space="0" w:color="auto"/>
            </w:tcBorders>
            <w:shd w:val="clear" w:color="auto" w:fill="auto"/>
            <w:noWrap/>
            <w:vAlign w:val="center"/>
            <w:hideMark/>
          </w:tcPr>
          <w:p w14:paraId="597BD0B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E02C2E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AFC5AF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13.843.006,99</w:t>
            </w:r>
          </w:p>
        </w:tc>
      </w:tr>
      <w:tr w:rsidR="003E19A2" w:rsidRPr="0069558B" w14:paraId="5BB578E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B0F368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w:t>
            </w:r>
          </w:p>
        </w:tc>
        <w:tc>
          <w:tcPr>
            <w:tcW w:w="3969" w:type="dxa"/>
            <w:tcBorders>
              <w:top w:val="nil"/>
              <w:left w:val="nil"/>
              <w:bottom w:val="single" w:sz="4" w:space="0" w:color="auto"/>
              <w:right w:val="single" w:sz="4" w:space="0" w:color="auto"/>
            </w:tcBorders>
            <w:shd w:val="clear" w:color="auto" w:fill="auto"/>
            <w:vAlign w:val="center"/>
            <w:hideMark/>
          </w:tcPr>
          <w:p w14:paraId="01ACCAF8" w14:textId="77777777" w:rsidR="003E19A2" w:rsidRPr="0069558B" w:rsidRDefault="003E19A2" w:rsidP="00725CE1">
            <w:pPr>
              <w:spacing w:before="20" w:after="20" w:line="240" w:lineRule="auto"/>
              <w:jc w:val="center"/>
              <w:rPr>
                <w:rFonts w:eastAsia="Times New Roman" w:cs="Calibri"/>
                <w:color w:val="000000"/>
                <w:sz w:val="20"/>
                <w:szCs w:val="20"/>
                <w:lang w:val="en-US" w:eastAsia="es-CL"/>
              </w:rPr>
            </w:pPr>
            <w:r w:rsidRPr="0069558B">
              <w:rPr>
                <w:rFonts w:eastAsia="Times New Roman" w:cs="Calibri"/>
                <w:color w:val="000000"/>
                <w:sz w:val="20"/>
                <w:szCs w:val="20"/>
                <w:lang w:val="en-US" w:eastAsia="es-CL"/>
              </w:rPr>
              <w:t>Ancoa 220-&gt;Tap Off Santa Isabel 220</w:t>
            </w:r>
          </w:p>
        </w:tc>
        <w:tc>
          <w:tcPr>
            <w:tcW w:w="1134" w:type="dxa"/>
            <w:tcBorders>
              <w:top w:val="nil"/>
              <w:left w:val="nil"/>
              <w:bottom w:val="single" w:sz="4" w:space="0" w:color="auto"/>
              <w:right w:val="single" w:sz="4" w:space="0" w:color="auto"/>
            </w:tcBorders>
            <w:shd w:val="clear" w:color="auto" w:fill="auto"/>
            <w:noWrap/>
            <w:vAlign w:val="center"/>
            <w:hideMark/>
          </w:tcPr>
          <w:p w14:paraId="5CF3365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979059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2D976F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5.906.607,07</w:t>
            </w:r>
          </w:p>
        </w:tc>
      </w:tr>
      <w:tr w:rsidR="003E19A2" w:rsidRPr="0069558B" w14:paraId="0A3BC3F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BEB54C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w:t>
            </w:r>
          </w:p>
        </w:tc>
        <w:tc>
          <w:tcPr>
            <w:tcW w:w="3969" w:type="dxa"/>
            <w:tcBorders>
              <w:top w:val="nil"/>
              <w:left w:val="nil"/>
              <w:bottom w:val="single" w:sz="4" w:space="0" w:color="auto"/>
              <w:right w:val="single" w:sz="4" w:space="0" w:color="auto"/>
            </w:tcBorders>
            <w:shd w:val="clear" w:color="auto" w:fill="auto"/>
            <w:vAlign w:val="center"/>
            <w:hideMark/>
          </w:tcPr>
          <w:p w14:paraId="6E2179D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Ancoa 500-&gt;Nueva Charrua 500</w:t>
            </w:r>
          </w:p>
        </w:tc>
        <w:tc>
          <w:tcPr>
            <w:tcW w:w="1134" w:type="dxa"/>
            <w:tcBorders>
              <w:top w:val="nil"/>
              <w:left w:val="nil"/>
              <w:bottom w:val="single" w:sz="4" w:space="0" w:color="auto"/>
              <w:right w:val="single" w:sz="4" w:space="0" w:color="auto"/>
            </w:tcBorders>
            <w:shd w:val="clear" w:color="auto" w:fill="auto"/>
            <w:noWrap/>
            <w:vAlign w:val="center"/>
            <w:hideMark/>
          </w:tcPr>
          <w:p w14:paraId="154B20F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E3D70A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616F82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142.871.375,39</w:t>
            </w:r>
          </w:p>
        </w:tc>
      </w:tr>
      <w:tr w:rsidR="003E19A2" w:rsidRPr="0069558B" w14:paraId="612465D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1D9D0F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N_14</w:t>
            </w:r>
          </w:p>
        </w:tc>
        <w:tc>
          <w:tcPr>
            <w:tcW w:w="3969" w:type="dxa"/>
            <w:tcBorders>
              <w:top w:val="nil"/>
              <w:left w:val="nil"/>
              <w:bottom w:val="single" w:sz="4" w:space="0" w:color="auto"/>
              <w:right w:val="single" w:sz="4" w:space="0" w:color="auto"/>
            </w:tcBorders>
            <w:shd w:val="clear" w:color="auto" w:fill="auto"/>
            <w:vAlign w:val="center"/>
            <w:hideMark/>
          </w:tcPr>
          <w:p w14:paraId="0C3285B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Atacama 220-&gt;Tap Enlace 220</w:t>
            </w:r>
          </w:p>
        </w:tc>
        <w:tc>
          <w:tcPr>
            <w:tcW w:w="1134" w:type="dxa"/>
            <w:tcBorders>
              <w:top w:val="nil"/>
              <w:left w:val="nil"/>
              <w:bottom w:val="single" w:sz="4" w:space="0" w:color="auto"/>
              <w:right w:val="single" w:sz="4" w:space="0" w:color="auto"/>
            </w:tcBorders>
            <w:shd w:val="clear" w:color="auto" w:fill="auto"/>
            <w:noWrap/>
            <w:vAlign w:val="center"/>
            <w:hideMark/>
          </w:tcPr>
          <w:p w14:paraId="093FE21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2D08F4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61650B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25.929.713,77</w:t>
            </w:r>
          </w:p>
        </w:tc>
      </w:tr>
      <w:tr w:rsidR="003E19A2" w:rsidRPr="0069558B" w14:paraId="6CC34601"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6484C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N_15</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4746E10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Bureo 220-&gt;Los Peumos 220</w:t>
            </w:r>
          </w:p>
        </w:tc>
        <w:tc>
          <w:tcPr>
            <w:tcW w:w="1134" w:type="dxa"/>
            <w:tcBorders>
              <w:top w:val="nil"/>
              <w:left w:val="nil"/>
              <w:bottom w:val="single" w:sz="4" w:space="0" w:color="auto"/>
              <w:right w:val="single" w:sz="4" w:space="0" w:color="auto"/>
            </w:tcBorders>
            <w:shd w:val="clear" w:color="auto" w:fill="auto"/>
            <w:noWrap/>
            <w:vAlign w:val="center"/>
            <w:hideMark/>
          </w:tcPr>
          <w:p w14:paraId="05335A0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E1196E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3D63BD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14.343.956,80</w:t>
            </w:r>
          </w:p>
        </w:tc>
      </w:tr>
      <w:tr w:rsidR="003E19A2" w:rsidRPr="0069558B" w14:paraId="208135F9"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A61817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9B0515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C2CC59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P_083</w:t>
            </w:r>
          </w:p>
        </w:tc>
        <w:tc>
          <w:tcPr>
            <w:tcW w:w="3686" w:type="dxa"/>
            <w:tcBorders>
              <w:top w:val="nil"/>
              <w:left w:val="nil"/>
              <w:bottom w:val="single" w:sz="4" w:space="0" w:color="auto"/>
              <w:right w:val="single" w:sz="4" w:space="0" w:color="auto"/>
            </w:tcBorders>
            <w:shd w:val="clear" w:color="auto" w:fill="auto"/>
            <w:noWrap/>
            <w:vAlign w:val="center"/>
            <w:hideMark/>
          </w:tcPr>
          <w:p w14:paraId="0CA586B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CGE</w:t>
            </w:r>
          </w:p>
        </w:tc>
        <w:tc>
          <w:tcPr>
            <w:tcW w:w="2268" w:type="dxa"/>
            <w:tcBorders>
              <w:top w:val="nil"/>
              <w:left w:val="nil"/>
              <w:bottom w:val="single" w:sz="4" w:space="0" w:color="auto"/>
              <w:right w:val="single" w:sz="4" w:space="0" w:color="auto"/>
            </w:tcBorders>
            <w:shd w:val="clear" w:color="auto" w:fill="auto"/>
            <w:noWrap/>
            <w:vAlign w:val="center"/>
            <w:hideMark/>
          </w:tcPr>
          <w:p w14:paraId="452E690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282.458,33</w:t>
            </w:r>
          </w:p>
        </w:tc>
      </w:tr>
      <w:tr w:rsidR="003E19A2" w:rsidRPr="0069558B" w14:paraId="5180EC5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8005CE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N_16</w:t>
            </w:r>
          </w:p>
        </w:tc>
        <w:tc>
          <w:tcPr>
            <w:tcW w:w="3969" w:type="dxa"/>
            <w:tcBorders>
              <w:top w:val="nil"/>
              <w:left w:val="nil"/>
              <w:bottom w:val="single" w:sz="4" w:space="0" w:color="auto"/>
              <w:right w:val="single" w:sz="4" w:space="0" w:color="auto"/>
            </w:tcBorders>
            <w:shd w:val="clear" w:color="auto" w:fill="auto"/>
            <w:vAlign w:val="center"/>
            <w:hideMark/>
          </w:tcPr>
          <w:p w14:paraId="60F92D1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Candelaria 220-&gt;Maipo 220</w:t>
            </w:r>
          </w:p>
        </w:tc>
        <w:tc>
          <w:tcPr>
            <w:tcW w:w="1134" w:type="dxa"/>
            <w:tcBorders>
              <w:top w:val="nil"/>
              <w:left w:val="nil"/>
              <w:bottom w:val="single" w:sz="4" w:space="0" w:color="auto"/>
              <w:right w:val="single" w:sz="4" w:space="0" w:color="auto"/>
            </w:tcBorders>
            <w:shd w:val="clear" w:color="auto" w:fill="auto"/>
            <w:noWrap/>
            <w:vAlign w:val="center"/>
            <w:hideMark/>
          </w:tcPr>
          <w:p w14:paraId="52447C8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286A8D2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1AB5F4E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28.121.364,91</w:t>
            </w:r>
          </w:p>
        </w:tc>
      </w:tr>
      <w:tr w:rsidR="003E19A2" w:rsidRPr="0069558B" w14:paraId="23BDA65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9F7250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N_17</w:t>
            </w:r>
          </w:p>
        </w:tc>
        <w:tc>
          <w:tcPr>
            <w:tcW w:w="3969" w:type="dxa"/>
            <w:tcBorders>
              <w:top w:val="nil"/>
              <w:left w:val="nil"/>
              <w:bottom w:val="single" w:sz="4" w:space="0" w:color="auto"/>
              <w:right w:val="single" w:sz="4" w:space="0" w:color="auto"/>
            </w:tcBorders>
            <w:shd w:val="clear" w:color="auto" w:fill="auto"/>
            <w:vAlign w:val="center"/>
            <w:hideMark/>
          </w:tcPr>
          <w:p w14:paraId="7953BD6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Candelaria 220-&gt;Puente Negro 220</w:t>
            </w:r>
          </w:p>
        </w:tc>
        <w:tc>
          <w:tcPr>
            <w:tcW w:w="1134" w:type="dxa"/>
            <w:tcBorders>
              <w:top w:val="nil"/>
              <w:left w:val="nil"/>
              <w:bottom w:val="single" w:sz="4" w:space="0" w:color="auto"/>
              <w:right w:val="single" w:sz="4" w:space="0" w:color="auto"/>
            </w:tcBorders>
            <w:shd w:val="clear" w:color="auto" w:fill="auto"/>
            <w:noWrap/>
            <w:vAlign w:val="center"/>
            <w:hideMark/>
          </w:tcPr>
          <w:p w14:paraId="1C96060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42727D9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3D488FB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55.020.302,80</w:t>
            </w:r>
          </w:p>
        </w:tc>
      </w:tr>
      <w:tr w:rsidR="003E19A2" w:rsidRPr="0069558B" w14:paraId="0A8D721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DA20E3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N_18</w:t>
            </w:r>
          </w:p>
        </w:tc>
        <w:tc>
          <w:tcPr>
            <w:tcW w:w="3969" w:type="dxa"/>
            <w:tcBorders>
              <w:top w:val="nil"/>
              <w:left w:val="nil"/>
              <w:bottom w:val="single" w:sz="4" w:space="0" w:color="auto"/>
              <w:right w:val="single" w:sz="4" w:space="0" w:color="auto"/>
            </w:tcBorders>
            <w:shd w:val="clear" w:color="auto" w:fill="auto"/>
            <w:vAlign w:val="center"/>
            <w:hideMark/>
          </w:tcPr>
          <w:p w14:paraId="0D078AC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Cardones 220-&gt;Algarrobal 220</w:t>
            </w:r>
          </w:p>
        </w:tc>
        <w:tc>
          <w:tcPr>
            <w:tcW w:w="1134" w:type="dxa"/>
            <w:tcBorders>
              <w:top w:val="nil"/>
              <w:left w:val="nil"/>
              <w:bottom w:val="single" w:sz="4" w:space="0" w:color="auto"/>
              <w:right w:val="single" w:sz="4" w:space="0" w:color="auto"/>
            </w:tcBorders>
            <w:shd w:val="clear" w:color="auto" w:fill="auto"/>
            <w:noWrap/>
            <w:vAlign w:val="center"/>
            <w:hideMark/>
          </w:tcPr>
          <w:p w14:paraId="7563BC5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E3E7EA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E8E778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38.200.059,49</w:t>
            </w:r>
          </w:p>
        </w:tc>
      </w:tr>
      <w:tr w:rsidR="003E19A2" w:rsidRPr="0069558B" w14:paraId="6865EBAC"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5E4DE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FDF21D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Carrera Pinto 220-&gt;Nueva Diego de Almagro 220</w:t>
            </w:r>
          </w:p>
        </w:tc>
        <w:tc>
          <w:tcPr>
            <w:tcW w:w="1134" w:type="dxa"/>
            <w:tcBorders>
              <w:top w:val="nil"/>
              <w:left w:val="nil"/>
              <w:bottom w:val="single" w:sz="4" w:space="0" w:color="auto"/>
              <w:right w:val="single" w:sz="4" w:space="0" w:color="auto"/>
            </w:tcBorders>
            <w:shd w:val="clear" w:color="auto" w:fill="auto"/>
            <w:noWrap/>
            <w:vAlign w:val="center"/>
            <w:hideMark/>
          </w:tcPr>
          <w:p w14:paraId="7E22BC7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5A5801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92EEDD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6.645.403,07</w:t>
            </w:r>
          </w:p>
        </w:tc>
      </w:tr>
      <w:tr w:rsidR="003E19A2" w:rsidRPr="0069558B" w14:paraId="382287BD" w14:textId="77777777" w:rsidTr="00725CE1">
        <w:trPr>
          <w:jc w:val="center"/>
        </w:trPr>
        <w:tc>
          <w:tcPr>
            <w:tcW w:w="1985" w:type="dxa"/>
            <w:vMerge/>
            <w:tcBorders>
              <w:top w:val="nil"/>
              <w:left w:val="single" w:sz="4" w:space="0" w:color="auto"/>
              <w:bottom w:val="single" w:sz="4" w:space="0" w:color="auto"/>
              <w:right w:val="single" w:sz="4" w:space="0" w:color="auto"/>
            </w:tcBorders>
            <w:vAlign w:val="center"/>
            <w:hideMark/>
          </w:tcPr>
          <w:p w14:paraId="290F1EA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auto"/>
              <w:right w:val="single" w:sz="4" w:space="0" w:color="auto"/>
            </w:tcBorders>
            <w:vAlign w:val="center"/>
            <w:hideMark/>
          </w:tcPr>
          <w:p w14:paraId="44176EC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5201325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12F504F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5CCCCEB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4.553.159,20</w:t>
            </w:r>
          </w:p>
        </w:tc>
      </w:tr>
      <w:tr w:rsidR="003E19A2" w:rsidRPr="0069558B" w14:paraId="57210577" w14:textId="77777777" w:rsidTr="00725CE1">
        <w:trPr>
          <w:jc w:val="center"/>
        </w:trPr>
        <w:tc>
          <w:tcPr>
            <w:tcW w:w="1985" w:type="dxa"/>
            <w:tcBorders>
              <w:top w:val="single" w:sz="4" w:space="0" w:color="auto"/>
            </w:tcBorders>
            <w:shd w:val="clear" w:color="auto" w:fill="auto"/>
            <w:noWrap/>
            <w:vAlign w:val="center"/>
          </w:tcPr>
          <w:p w14:paraId="1FBE27E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3969" w:type="dxa"/>
            <w:tcBorders>
              <w:top w:val="single" w:sz="4" w:space="0" w:color="auto"/>
            </w:tcBorders>
            <w:shd w:val="clear" w:color="auto" w:fill="auto"/>
            <w:vAlign w:val="center"/>
          </w:tcPr>
          <w:p w14:paraId="5D0E161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1134" w:type="dxa"/>
            <w:tcBorders>
              <w:top w:val="single" w:sz="4" w:space="0" w:color="auto"/>
            </w:tcBorders>
            <w:shd w:val="clear" w:color="auto" w:fill="auto"/>
            <w:noWrap/>
            <w:vAlign w:val="center"/>
          </w:tcPr>
          <w:p w14:paraId="0071971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3686" w:type="dxa"/>
            <w:tcBorders>
              <w:top w:val="single" w:sz="4" w:space="0" w:color="auto"/>
            </w:tcBorders>
            <w:shd w:val="clear" w:color="auto" w:fill="auto"/>
            <w:noWrap/>
            <w:vAlign w:val="center"/>
          </w:tcPr>
          <w:p w14:paraId="20BF26E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2268" w:type="dxa"/>
            <w:tcBorders>
              <w:top w:val="single" w:sz="4" w:space="0" w:color="auto"/>
            </w:tcBorders>
            <w:shd w:val="clear" w:color="auto" w:fill="auto"/>
            <w:noWrap/>
            <w:vAlign w:val="center"/>
          </w:tcPr>
          <w:p w14:paraId="6045217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p>
        </w:tc>
      </w:tr>
      <w:tr w:rsidR="003E19A2" w:rsidRPr="0069558B" w14:paraId="1C575D1E" w14:textId="77777777" w:rsidTr="00725CE1">
        <w:trPr>
          <w:jc w:val="center"/>
        </w:trPr>
        <w:tc>
          <w:tcPr>
            <w:tcW w:w="1985" w:type="dxa"/>
            <w:vMerge w:val="restart"/>
            <w:tcBorders>
              <w:left w:val="single" w:sz="4" w:space="0" w:color="auto"/>
              <w:bottom w:val="single" w:sz="4" w:space="0" w:color="000000"/>
              <w:right w:val="single" w:sz="4" w:space="0" w:color="auto"/>
            </w:tcBorders>
            <w:shd w:val="clear" w:color="auto" w:fill="auto"/>
            <w:noWrap/>
            <w:vAlign w:val="center"/>
            <w:hideMark/>
          </w:tcPr>
          <w:p w14:paraId="28DB8FB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N_21</w:t>
            </w:r>
          </w:p>
        </w:tc>
        <w:tc>
          <w:tcPr>
            <w:tcW w:w="3969" w:type="dxa"/>
            <w:vMerge w:val="restart"/>
            <w:tcBorders>
              <w:left w:val="single" w:sz="4" w:space="0" w:color="auto"/>
              <w:bottom w:val="single" w:sz="4" w:space="0" w:color="000000"/>
              <w:right w:val="single" w:sz="4" w:space="0" w:color="auto"/>
            </w:tcBorders>
            <w:shd w:val="clear" w:color="auto" w:fill="auto"/>
            <w:vAlign w:val="center"/>
            <w:hideMark/>
          </w:tcPr>
          <w:p w14:paraId="0A25C92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Carrera Pinto 220-&gt;S. San Andres 220</w:t>
            </w:r>
          </w:p>
        </w:tc>
        <w:tc>
          <w:tcPr>
            <w:tcW w:w="1134" w:type="dxa"/>
            <w:tcBorders>
              <w:left w:val="nil"/>
              <w:bottom w:val="single" w:sz="4" w:space="0" w:color="auto"/>
              <w:right w:val="single" w:sz="4" w:space="0" w:color="auto"/>
            </w:tcBorders>
            <w:shd w:val="clear" w:color="auto" w:fill="auto"/>
            <w:noWrap/>
            <w:vAlign w:val="center"/>
            <w:hideMark/>
          </w:tcPr>
          <w:p w14:paraId="66A3D82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left w:val="nil"/>
              <w:bottom w:val="single" w:sz="4" w:space="0" w:color="auto"/>
              <w:right w:val="single" w:sz="4" w:space="0" w:color="auto"/>
            </w:tcBorders>
            <w:shd w:val="clear" w:color="auto" w:fill="auto"/>
            <w:noWrap/>
            <w:vAlign w:val="center"/>
            <w:hideMark/>
          </w:tcPr>
          <w:p w14:paraId="36A8465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left w:val="nil"/>
              <w:bottom w:val="single" w:sz="4" w:space="0" w:color="auto"/>
              <w:right w:val="single" w:sz="4" w:space="0" w:color="auto"/>
            </w:tcBorders>
            <w:shd w:val="clear" w:color="auto" w:fill="auto"/>
            <w:noWrap/>
            <w:vAlign w:val="center"/>
            <w:hideMark/>
          </w:tcPr>
          <w:p w14:paraId="709EEF8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5.543.061,29</w:t>
            </w:r>
          </w:p>
        </w:tc>
      </w:tr>
      <w:tr w:rsidR="003E19A2" w:rsidRPr="0069558B" w14:paraId="4B82722B"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E9C0A5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34649A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5A85856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4F5ACD0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697869D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4.120.262,34</w:t>
            </w:r>
          </w:p>
        </w:tc>
      </w:tr>
      <w:tr w:rsidR="003E19A2" w:rsidRPr="0069558B" w14:paraId="04183993"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6662B38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38D84E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1730635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P_480</w:t>
            </w:r>
          </w:p>
        </w:tc>
        <w:tc>
          <w:tcPr>
            <w:tcW w:w="3686" w:type="dxa"/>
            <w:tcBorders>
              <w:top w:val="nil"/>
              <w:left w:val="nil"/>
              <w:bottom w:val="single" w:sz="4" w:space="0" w:color="auto"/>
              <w:right w:val="single" w:sz="4" w:space="0" w:color="auto"/>
            </w:tcBorders>
            <w:shd w:val="clear" w:color="auto" w:fill="auto"/>
            <w:noWrap/>
            <w:vAlign w:val="center"/>
            <w:hideMark/>
          </w:tcPr>
          <w:p w14:paraId="3660D1B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SATT</w:t>
            </w:r>
          </w:p>
        </w:tc>
        <w:tc>
          <w:tcPr>
            <w:tcW w:w="2268" w:type="dxa"/>
            <w:tcBorders>
              <w:top w:val="nil"/>
              <w:left w:val="nil"/>
              <w:bottom w:val="single" w:sz="4" w:space="0" w:color="auto"/>
              <w:right w:val="single" w:sz="4" w:space="0" w:color="auto"/>
            </w:tcBorders>
            <w:shd w:val="clear" w:color="auto" w:fill="auto"/>
            <w:noWrap/>
            <w:vAlign w:val="center"/>
            <w:hideMark/>
          </w:tcPr>
          <w:p w14:paraId="3B59EE5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670.820,29</w:t>
            </w:r>
          </w:p>
        </w:tc>
      </w:tr>
      <w:tr w:rsidR="003E19A2" w:rsidRPr="0069558B" w14:paraId="4DC792F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0656CF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N_22</w:t>
            </w:r>
          </w:p>
        </w:tc>
        <w:tc>
          <w:tcPr>
            <w:tcW w:w="3969" w:type="dxa"/>
            <w:tcBorders>
              <w:top w:val="nil"/>
              <w:left w:val="nil"/>
              <w:bottom w:val="single" w:sz="4" w:space="0" w:color="auto"/>
              <w:right w:val="single" w:sz="4" w:space="0" w:color="auto"/>
            </w:tcBorders>
            <w:shd w:val="clear" w:color="auto" w:fill="auto"/>
            <w:vAlign w:val="center"/>
            <w:hideMark/>
          </w:tcPr>
          <w:p w14:paraId="3E11C17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Cautin 220-&gt;Metrenco 220</w:t>
            </w:r>
          </w:p>
        </w:tc>
        <w:tc>
          <w:tcPr>
            <w:tcW w:w="1134" w:type="dxa"/>
            <w:tcBorders>
              <w:top w:val="nil"/>
              <w:left w:val="nil"/>
              <w:bottom w:val="single" w:sz="4" w:space="0" w:color="auto"/>
              <w:right w:val="single" w:sz="4" w:space="0" w:color="auto"/>
            </w:tcBorders>
            <w:shd w:val="clear" w:color="auto" w:fill="auto"/>
            <w:noWrap/>
            <w:vAlign w:val="center"/>
            <w:hideMark/>
          </w:tcPr>
          <w:p w14:paraId="4A375FC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962FB1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5475CF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6.097.509,72</w:t>
            </w:r>
          </w:p>
        </w:tc>
      </w:tr>
      <w:tr w:rsidR="003E19A2" w:rsidRPr="0069558B" w14:paraId="482361C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C5D7F4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N_23</w:t>
            </w:r>
          </w:p>
        </w:tc>
        <w:tc>
          <w:tcPr>
            <w:tcW w:w="3969" w:type="dxa"/>
            <w:tcBorders>
              <w:top w:val="nil"/>
              <w:left w:val="nil"/>
              <w:bottom w:val="single" w:sz="4" w:space="0" w:color="auto"/>
              <w:right w:val="single" w:sz="4" w:space="0" w:color="auto"/>
            </w:tcBorders>
            <w:shd w:val="clear" w:color="auto" w:fill="auto"/>
            <w:vAlign w:val="center"/>
            <w:hideMark/>
          </w:tcPr>
          <w:p w14:paraId="29E851B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Cerro Navia 220-&gt;Cerro Navia Desf 220</w:t>
            </w:r>
          </w:p>
        </w:tc>
        <w:tc>
          <w:tcPr>
            <w:tcW w:w="1134" w:type="dxa"/>
            <w:tcBorders>
              <w:top w:val="nil"/>
              <w:left w:val="nil"/>
              <w:bottom w:val="single" w:sz="4" w:space="0" w:color="auto"/>
              <w:right w:val="single" w:sz="4" w:space="0" w:color="auto"/>
            </w:tcBorders>
            <w:shd w:val="clear" w:color="auto" w:fill="auto"/>
            <w:noWrap/>
            <w:vAlign w:val="center"/>
            <w:hideMark/>
          </w:tcPr>
          <w:p w14:paraId="509460D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75476F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E63DD0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19.023.107,93</w:t>
            </w:r>
          </w:p>
        </w:tc>
      </w:tr>
      <w:tr w:rsidR="003E19A2" w:rsidRPr="0069558B" w14:paraId="153970C5"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6C1D3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N_24</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1EAA7B3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Cerro Navia 220-&gt;Chena 220</w:t>
            </w:r>
          </w:p>
        </w:tc>
        <w:tc>
          <w:tcPr>
            <w:tcW w:w="1134" w:type="dxa"/>
            <w:tcBorders>
              <w:top w:val="nil"/>
              <w:left w:val="nil"/>
              <w:bottom w:val="single" w:sz="4" w:space="0" w:color="auto"/>
              <w:right w:val="single" w:sz="4" w:space="0" w:color="auto"/>
            </w:tcBorders>
            <w:shd w:val="clear" w:color="auto" w:fill="auto"/>
            <w:noWrap/>
            <w:vAlign w:val="center"/>
            <w:hideMark/>
          </w:tcPr>
          <w:p w14:paraId="0D4690F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7349B0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682CAEC4"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2.792.134,86</w:t>
            </w:r>
          </w:p>
        </w:tc>
      </w:tr>
      <w:tr w:rsidR="003E19A2" w:rsidRPr="0069558B" w14:paraId="6C41D39C"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7A7E7B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5F705EF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74F9337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P_513</w:t>
            </w:r>
          </w:p>
        </w:tc>
        <w:tc>
          <w:tcPr>
            <w:tcW w:w="3686" w:type="dxa"/>
            <w:tcBorders>
              <w:top w:val="nil"/>
              <w:left w:val="nil"/>
              <w:bottom w:val="single" w:sz="4" w:space="0" w:color="auto"/>
              <w:right w:val="single" w:sz="4" w:space="0" w:color="auto"/>
            </w:tcBorders>
            <w:shd w:val="clear" w:color="auto" w:fill="auto"/>
            <w:noWrap/>
            <w:vAlign w:val="center"/>
            <w:hideMark/>
          </w:tcPr>
          <w:p w14:paraId="1738BD2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Chena S.A.</w:t>
            </w:r>
          </w:p>
        </w:tc>
        <w:tc>
          <w:tcPr>
            <w:tcW w:w="2268" w:type="dxa"/>
            <w:tcBorders>
              <w:top w:val="nil"/>
              <w:left w:val="nil"/>
              <w:bottom w:val="single" w:sz="4" w:space="0" w:color="auto"/>
              <w:right w:val="single" w:sz="4" w:space="0" w:color="auto"/>
            </w:tcBorders>
            <w:shd w:val="clear" w:color="auto" w:fill="auto"/>
            <w:noWrap/>
            <w:vAlign w:val="center"/>
            <w:hideMark/>
          </w:tcPr>
          <w:p w14:paraId="76BDD92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622.318,45</w:t>
            </w:r>
          </w:p>
        </w:tc>
      </w:tr>
      <w:tr w:rsidR="003E19A2" w:rsidRPr="0069558B" w14:paraId="3419224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4600B7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N_25</w:t>
            </w:r>
          </w:p>
        </w:tc>
        <w:tc>
          <w:tcPr>
            <w:tcW w:w="3969" w:type="dxa"/>
            <w:tcBorders>
              <w:top w:val="nil"/>
              <w:left w:val="nil"/>
              <w:bottom w:val="single" w:sz="4" w:space="0" w:color="auto"/>
              <w:right w:val="single" w:sz="4" w:space="0" w:color="auto"/>
            </w:tcBorders>
            <w:shd w:val="clear" w:color="auto" w:fill="auto"/>
            <w:vAlign w:val="center"/>
            <w:hideMark/>
          </w:tcPr>
          <w:p w14:paraId="63A4E7E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Cerro Navia 220-&gt;Neptuno 220</w:t>
            </w:r>
          </w:p>
        </w:tc>
        <w:tc>
          <w:tcPr>
            <w:tcW w:w="1134" w:type="dxa"/>
            <w:tcBorders>
              <w:top w:val="nil"/>
              <w:left w:val="nil"/>
              <w:bottom w:val="single" w:sz="4" w:space="0" w:color="auto"/>
              <w:right w:val="single" w:sz="4" w:space="0" w:color="auto"/>
            </w:tcBorders>
            <w:shd w:val="clear" w:color="auto" w:fill="auto"/>
            <w:noWrap/>
            <w:vAlign w:val="center"/>
            <w:hideMark/>
          </w:tcPr>
          <w:p w14:paraId="4861D65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C69D69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35A8E7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2.173.449,85</w:t>
            </w:r>
          </w:p>
        </w:tc>
      </w:tr>
      <w:tr w:rsidR="003E19A2" w:rsidRPr="0069558B" w14:paraId="7BF22EF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344177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N_26</w:t>
            </w:r>
          </w:p>
        </w:tc>
        <w:tc>
          <w:tcPr>
            <w:tcW w:w="3969" w:type="dxa"/>
            <w:tcBorders>
              <w:top w:val="nil"/>
              <w:left w:val="nil"/>
              <w:bottom w:val="single" w:sz="4" w:space="0" w:color="auto"/>
              <w:right w:val="single" w:sz="4" w:space="0" w:color="auto"/>
            </w:tcBorders>
            <w:shd w:val="clear" w:color="auto" w:fill="auto"/>
            <w:vAlign w:val="center"/>
            <w:hideMark/>
          </w:tcPr>
          <w:p w14:paraId="26441F3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Cerros de Huichahue 220-&gt;Nueva Pichirropulli 220</w:t>
            </w:r>
          </w:p>
        </w:tc>
        <w:tc>
          <w:tcPr>
            <w:tcW w:w="1134" w:type="dxa"/>
            <w:tcBorders>
              <w:top w:val="nil"/>
              <w:left w:val="nil"/>
              <w:bottom w:val="single" w:sz="4" w:space="0" w:color="auto"/>
              <w:right w:val="single" w:sz="4" w:space="0" w:color="auto"/>
            </w:tcBorders>
            <w:shd w:val="clear" w:color="auto" w:fill="auto"/>
            <w:noWrap/>
            <w:vAlign w:val="center"/>
            <w:hideMark/>
          </w:tcPr>
          <w:p w14:paraId="1E6F7B8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35E269A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49FCA27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2.264.220,94</w:t>
            </w:r>
          </w:p>
        </w:tc>
      </w:tr>
      <w:tr w:rsidR="003E19A2" w:rsidRPr="0069558B" w14:paraId="0997E0FA"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5006AE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N_27</w:t>
            </w:r>
          </w:p>
        </w:tc>
        <w:tc>
          <w:tcPr>
            <w:tcW w:w="3969" w:type="dxa"/>
            <w:tcBorders>
              <w:top w:val="nil"/>
              <w:left w:val="nil"/>
              <w:bottom w:val="single" w:sz="4" w:space="0" w:color="auto"/>
              <w:right w:val="single" w:sz="4" w:space="0" w:color="auto"/>
            </w:tcBorders>
            <w:shd w:val="clear" w:color="auto" w:fill="auto"/>
            <w:vAlign w:val="center"/>
            <w:hideMark/>
          </w:tcPr>
          <w:p w14:paraId="4C113FE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220-&gt;Charrua 500</w:t>
            </w:r>
          </w:p>
        </w:tc>
        <w:tc>
          <w:tcPr>
            <w:tcW w:w="1134" w:type="dxa"/>
            <w:tcBorders>
              <w:top w:val="nil"/>
              <w:left w:val="nil"/>
              <w:bottom w:val="single" w:sz="4" w:space="0" w:color="auto"/>
              <w:right w:val="single" w:sz="4" w:space="0" w:color="auto"/>
            </w:tcBorders>
            <w:shd w:val="clear" w:color="auto" w:fill="auto"/>
            <w:noWrap/>
            <w:vAlign w:val="center"/>
            <w:hideMark/>
          </w:tcPr>
          <w:p w14:paraId="4CCE99E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CF20F5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D43B58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26.280.211,40</w:t>
            </w:r>
          </w:p>
        </w:tc>
      </w:tr>
      <w:tr w:rsidR="003E19A2" w:rsidRPr="0069558B" w14:paraId="57DA820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29E7DA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N_28</w:t>
            </w:r>
          </w:p>
        </w:tc>
        <w:tc>
          <w:tcPr>
            <w:tcW w:w="3969" w:type="dxa"/>
            <w:tcBorders>
              <w:top w:val="nil"/>
              <w:left w:val="nil"/>
              <w:bottom w:val="single" w:sz="4" w:space="0" w:color="auto"/>
              <w:right w:val="single" w:sz="4" w:space="0" w:color="auto"/>
            </w:tcBorders>
            <w:shd w:val="clear" w:color="auto" w:fill="auto"/>
            <w:vAlign w:val="center"/>
            <w:hideMark/>
          </w:tcPr>
          <w:p w14:paraId="35468D2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220-&gt;Concepcion 220</w:t>
            </w:r>
          </w:p>
        </w:tc>
        <w:tc>
          <w:tcPr>
            <w:tcW w:w="1134" w:type="dxa"/>
            <w:tcBorders>
              <w:top w:val="nil"/>
              <w:left w:val="nil"/>
              <w:bottom w:val="single" w:sz="4" w:space="0" w:color="auto"/>
              <w:right w:val="single" w:sz="4" w:space="0" w:color="auto"/>
            </w:tcBorders>
            <w:shd w:val="clear" w:color="auto" w:fill="auto"/>
            <w:noWrap/>
            <w:vAlign w:val="center"/>
            <w:hideMark/>
          </w:tcPr>
          <w:p w14:paraId="6EA1570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E945CD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CB99D7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18.229.261,41</w:t>
            </w:r>
          </w:p>
        </w:tc>
      </w:tr>
      <w:tr w:rsidR="003E19A2" w:rsidRPr="0069558B" w14:paraId="49A672A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4BBD97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N_29</w:t>
            </w:r>
          </w:p>
        </w:tc>
        <w:tc>
          <w:tcPr>
            <w:tcW w:w="3969" w:type="dxa"/>
            <w:tcBorders>
              <w:top w:val="nil"/>
              <w:left w:val="nil"/>
              <w:bottom w:val="single" w:sz="4" w:space="0" w:color="auto"/>
              <w:right w:val="single" w:sz="4" w:space="0" w:color="auto"/>
            </w:tcBorders>
            <w:shd w:val="clear" w:color="auto" w:fill="auto"/>
            <w:vAlign w:val="center"/>
            <w:hideMark/>
          </w:tcPr>
          <w:p w14:paraId="659221D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220-&gt;El Rosal 220</w:t>
            </w:r>
          </w:p>
        </w:tc>
        <w:tc>
          <w:tcPr>
            <w:tcW w:w="1134" w:type="dxa"/>
            <w:tcBorders>
              <w:top w:val="nil"/>
              <w:left w:val="nil"/>
              <w:bottom w:val="single" w:sz="4" w:space="0" w:color="auto"/>
              <w:right w:val="single" w:sz="4" w:space="0" w:color="auto"/>
            </w:tcBorders>
            <w:shd w:val="clear" w:color="auto" w:fill="auto"/>
            <w:noWrap/>
            <w:vAlign w:val="center"/>
            <w:hideMark/>
          </w:tcPr>
          <w:p w14:paraId="322901C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A35425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83F262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4.849.491,83</w:t>
            </w:r>
          </w:p>
        </w:tc>
      </w:tr>
      <w:tr w:rsidR="003E19A2" w:rsidRPr="0069558B" w14:paraId="21D3BD2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188CF5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N_30</w:t>
            </w:r>
          </w:p>
        </w:tc>
        <w:tc>
          <w:tcPr>
            <w:tcW w:w="3969" w:type="dxa"/>
            <w:tcBorders>
              <w:top w:val="nil"/>
              <w:left w:val="nil"/>
              <w:bottom w:val="single" w:sz="4" w:space="0" w:color="auto"/>
              <w:right w:val="single" w:sz="4" w:space="0" w:color="auto"/>
            </w:tcBorders>
            <w:shd w:val="clear" w:color="auto" w:fill="auto"/>
            <w:vAlign w:val="center"/>
            <w:hideMark/>
          </w:tcPr>
          <w:p w14:paraId="4886838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220-&gt;Lagunillas 220</w:t>
            </w:r>
          </w:p>
        </w:tc>
        <w:tc>
          <w:tcPr>
            <w:tcW w:w="1134" w:type="dxa"/>
            <w:tcBorders>
              <w:top w:val="nil"/>
              <w:left w:val="nil"/>
              <w:bottom w:val="single" w:sz="4" w:space="0" w:color="auto"/>
              <w:right w:val="single" w:sz="4" w:space="0" w:color="auto"/>
            </w:tcBorders>
            <w:shd w:val="clear" w:color="auto" w:fill="auto"/>
            <w:noWrap/>
            <w:vAlign w:val="center"/>
            <w:hideMark/>
          </w:tcPr>
          <w:p w14:paraId="6B7002B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32432C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EBD5E3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26.516.410,70</w:t>
            </w:r>
          </w:p>
        </w:tc>
      </w:tr>
      <w:tr w:rsidR="003E19A2" w:rsidRPr="0069558B" w14:paraId="5FBAA84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30CF10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N_31</w:t>
            </w:r>
          </w:p>
        </w:tc>
        <w:tc>
          <w:tcPr>
            <w:tcW w:w="3969" w:type="dxa"/>
            <w:tcBorders>
              <w:top w:val="nil"/>
              <w:left w:val="nil"/>
              <w:bottom w:val="single" w:sz="4" w:space="0" w:color="auto"/>
              <w:right w:val="single" w:sz="4" w:space="0" w:color="auto"/>
            </w:tcBorders>
            <w:shd w:val="clear" w:color="auto" w:fill="auto"/>
            <w:vAlign w:val="center"/>
            <w:hideMark/>
          </w:tcPr>
          <w:p w14:paraId="3286EA7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220-&gt;Mulchen 220</w:t>
            </w:r>
          </w:p>
        </w:tc>
        <w:tc>
          <w:tcPr>
            <w:tcW w:w="1134" w:type="dxa"/>
            <w:tcBorders>
              <w:top w:val="nil"/>
              <w:left w:val="nil"/>
              <w:bottom w:val="single" w:sz="4" w:space="0" w:color="auto"/>
              <w:right w:val="single" w:sz="4" w:space="0" w:color="auto"/>
            </w:tcBorders>
            <w:shd w:val="clear" w:color="auto" w:fill="auto"/>
            <w:noWrap/>
            <w:vAlign w:val="center"/>
            <w:hideMark/>
          </w:tcPr>
          <w:p w14:paraId="7CDE948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01F5C89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4D1CAA3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722.372,07</w:t>
            </w:r>
          </w:p>
        </w:tc>
      </w:tr>
      <w:tr w:rsidR="003E19A2" w:rsidRPr="0069558B" w14:paraId="5E3503E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6D72B7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N_32</w:t>
            </w:r>
          </w:p>
        </w:tc>
        <w:tc>
          <w:tcPr>
            <w:tcW w:w="3969" w:type="dxa"/>
            <w:tcBorders>
              <w:top w:val="nil"/>
              <w:left w:val="nil"/>
              <w:bottom w:val="single" w:sz="4" w:space="0" w:color="auto"/>
              <w:right w:val="single" w:sz="4" w:space="0" w:color="auto"/>
            </w:tcBorders>
            <w:shd w:val="clear" w:color="auto" w:fill="auto"/>
            <w:vAlign w:val="center"/>
            <w:hideMark/>
          </w:tcPr>
          <w:p w14:paraId="57AAAB5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220-&gt;Trebol 220</w:t>
            </w:r>
          </w:p>
        </w:tc>
        <w:tc>
          <w:tcPr>
            <w:tcW w:w="1134" w:type="dxa"/>
            <w:tcBorders>
              <w:top w:val="nil"/>
              <w:left w:val="nil"/>
              <w:bottom w:val="single" w:sz="4" w:space="0" w:color="auto"/>
              <w:right w:val="single" w:sz="4" w:space="0" w:color="auto"/>
            </w:tcBorders>
            <w:shd w:val="clear" w:color="auto" w:fill="auto"/>
            <w:noWrap/>
            <w:vAlign w:val="center"/>
            <w:hideMark/>
          </w:tcPr>
          <w:p w14:paraId="497B731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FFBB87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6E1598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23.102.687,14</w:t>
            </w:r>
          </w:p>
        </w:tc>
      </w:tr>
      <w:tr w:rsidR="003E19A2" w:rsidRPr="0069558B" w14:paraId="0E0D1CC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2E4CAE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N_33</w:t>
            </w:r>
          </w:p>
        </w:tc>
        <w:tc>
          <w:tcPr>
            <w:tcW w:w="3969" w:type="dxa"/>
            <w:tcBorders>
              <w:top w:val="nil"/>
              <w:left w:val="nil"/>
              <w:bottom w:val="single" w:sz="4" w:space="0" w:color="auto"/>
              <w:right w:val="single" w:sz="4" w:space="0" w:color="auto"/>
            </w:tcBorders>
            <w:shd w:val="clear" w:color="auto" w:fill="auto"/>
            <w:vAlign w:val="center"/>
            <w:hideMark/>
          </w:tcPr>
          <w:p w14:paraId="0E47F88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Charrua 500-&gt;Nueva Charrua 500</w:t>
            </w:r>
          </w:p>
        </w:tc>
        <w:tc>
          <w:tcPr>
            <w:tcW w:w="1134" w:type="dxa"/>
            <w:tcBorders>
              <w:top w:val="nil"/>
              <w:left w:val="nil"/>
              <w:bottom w:val="single" w:sz="4" w:space="0" w:color="auto"/>
              <w:right w:val="single" w:sz="4" w:space="0" w:color="auto"/>
            </w:tcBorders>
            <w:shd w:val="clear" w:color="auto" w:fill="auto"/>
            <w:noWrap/>
            <w:vAlign w:val="center"/>
            <w:hideMark/>
          </w:tcPr>
          <w:p w14:paraId="7A15FDE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8BA5CD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60894AF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31.209.398,93</w:t>
            </w:r>
          </w:p>
        </w:tc>
      </w:tr>
      <w:tr w:rsidR="003E19A2" w:rsidRPr="0069558B" w14:paraId="56884DDE"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14CEB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N_34</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414BEC1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Chena 220-&gt;Neptuno 220</w:t>
            </w:r>
          </w:p>
        </w:tc>
        <w:tc>
          <w:tcPr>
            <w:tcW w:w="1134" w:type="dxa"/>
            <w:tcBorders>
              <w:top w:val="nil"/>
              <w:left w:val="nil"/>
              <w:bottom w:val="single" w:sz="4" w:space="0" w:color="auto"/>
              <w:right w:val="single" w:sz="4" w:space="0" w:color="auto"/>
            </w:tcBorders>
            <w:shd w:val="clear" w:color="auto" w:fill="auto"/>
            <w:noWrap/>
            <w:vAlign w:val="center"/>
            <w:hideMark/>
          </w:tcPr>
          <w:p w14:paraId="18AD40D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99D561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3FB9B7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2.637.540,56</w:t>
            </w:r>
          </w:p>
        </w:tc>
      </w:tr>
      <w:tr w:rsidR="003E19A2" w:rsidRPr="0069558B" w14:paraId="7E36DC7F"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4620207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598AD89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3EA2E9E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P_513</w:t>
            </w:r>
          </w:p>
        </w:tc>
        <w:tc>
          <w:tcPr>
            <w:tcW w:w="3686" w:type="dxa"/>
            <w:tcBorders>
              <w:top w:val="nil"/>
              <w:left w:val="nil"/>
              <w:bottom w:val="single" w:sz="4" w:space="0" w:color="auto"/>
              <w:right w:val="single" w:sz="4" w:space="0" w:color="auto"/>
            </w:tcBorders>
            <w:shd w:val="clear" w:color="auto" w:fill="auto"/>
            <w:noWrap/>
            <w:vAlign w:val="center"/>
            <w:hideMark/>
          </w:tcPr>
          <w:p w14:paraId="0AF3F16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Chena S.A.</w:t>
            </w:r>
          </w:p>
        </w:tc>
        <w:tc>
          <w:tcPr>
            <w:tcW w:w="2268" w:type="dxa"/>
            <w:tcBorders>
              <w:top w:val="nil"/>
              <w:left w:val="nil"/>
              <w:bottom w:val="single" w:sz="4" w:space="0" w:color="auto"/>
              <w:right w:val="single" w:sz="4" w:space="0" w:color="auto"/>
            </w:tcBorders>
            <w:shd w:val="clear" w:color="auto" w:fill="auto"/>
            <w:noWrap/>
            <w:vAlign w:val="center"/>
            <w:hideMark/>
          </w:tcPr>
          <w:p w14:paraId="4B7FBB0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207.764,00</w:t>
            </w:r>
          </w:p>
        </w:tc>
      </w:tr>
      <w:tr w:rsidR="003E19A2" w:rsidRPr="0069558B" w14:paraId="33CBA4D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9B5F5F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N_35</w:t>
            </w:r>
          </w:p>
        </w:tc>
        <w:tc>
          <w:tcPr>
            <w:tcW w:w="3969" w:type="dxa"/>
            <w:tcBorders>
              <w:top w:val="nil"/>
              <w:left w:val="nil"/>
              <w:bottom w:val="single" w:sz="4" w:space="0" w:color="auto"/>
              <w:right w:val="single" w:sz="4" w:space="0" w:color="auto"/>
            </w:tcBorders>
            <w:shd w:val="clear" w:color="auto" w:fill="auto"/>
            <w:vAlign w:val="center"/>
            <w:hideMark/>
          </w:tcPr>
          <w:p w14:paraId="74AABC8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Chena 220-&gt;Tap Central Santa Marta 220</w:t>
            </w:r>
          </w:p>
        </w:tc>
        <w:tc>
          <w:tcPr>
            <w:tcW w:w="1134" w:type="dxa"/>
            <w:tcBorders>
              <w:top w:val="nil"/>
              <w:left w:val="nil"/>
              <w:bottom w:val="single" w:sz="4" w:space="0" w:color="auto"/>
              <w:right w:val="single" w:sz="4" w:space="0" w:color="auto"/>
            </w:tcBorders>
            <w:shd w:val="clear" w:color="auto" w:fill="auto"/>
            <w:noWrap/>
            <w:vAlign w:val="center"/>
            <w:hideMark/>
          </w:tcPr>
          <w:p w14:paraId="550E99A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C2947A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6AE9D0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7.688.901,23</w:t>
            </w:r>
          </w:p>
        </w:tc>
      </w:tr>
      <w:tr w:rsidR="003E19A2" w:rsidRPr="0069558B" w14:paraId="0962DEC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6805B0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N_36</w:t>
            </w:r>
          </w:p>
        </w:tc>
        <w:tc>
          <w:tcPr>
            <w:tcW w:w="3969" w:type="dxa"/>
            <w:tcBorders>
              <w:top w:val="nil"/>
              <w:left w:val="nil"/>
              <w:bottom w:val="single" w:sz="4" w:space="0" w:color="auto"/>
              <w:right w:val="single" w:sz="4" w:space="0" w:color="auto"/>
            </w:tcBorders>
            <w:shd w:val="clear" w:color="auto" w:fill="auto"/>
            <w:vAlign w:val="center"/>
            <w:hideMark/>
          </w:tcPr>
          <w:p w14:paraId="2531AE0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Chiloe 220-&gt;Nueva Ancud 220</w:t>
            </w:r>
          </w:p>
        </w:tc>
        <w:tc>
          <w:tcPr>
            <w:tcW w:w="1134" w:type="dxa"/>
            <w:tcBorders>
              <w:top w:val="nil"/>
              <w:left w:val="nil"/>
              <w:bottom w:val="single" w:sz="4" w:space="0" w:color="auto"/>
              <w:right w:val="single" w:sz="4" w:space="0" w:color="auto"/>
            </w:tcBorders>
            <w:shd w:val="clear" w:color="auto" w:fill="auto"/>
            <w:noWrap/>
            <w:vAlign w:val="center"/>
            <w:hideMark/>
          </w:tcPr>
          <w:p w14:paraId="7DED439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P_100</w:t>
            </w:r>
          </w:p>
        </w:tc>
        <w:tc>
          <w:tcPr>
            <w:tcW w:w="3686" w:type="dxa"/>
            <w:tcBorders>
              <w:top w:val="nil"/>
              <w:left w:val="nil"/>
              <w:bottom w:val="single" w:sz="4" w:space="0" w:color="auto"/>
              <w:right w:val="single" w:sz="4" w:space="0" w:color="auto"/>
            </w:tcBorders>
            <w:shd w:val="clear" w:color="auto" w:fill="auto"/>
            <w:noWrap/>
            <w:vAlign w:val="center"/>
            <w:hideMark/>
          </w:tcPr>
          <w:p w14:paraId="1247C36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STS</w:t>
            </w:r>
          </w:p>
        </w:tc>
        <w:tc>
          <w:tcPr>
            <w:tcW w:w="2268" w:type="dxa"/>
            <w:tcBorders>
              <w:top w:val="nil"/>
              <w:left w:val="nil"/>
              <w:bottom w:val="single" w:sz="4" w:space="0" w:color="auto"/>
              <w:right w:val="single" w:sz="4" w:space="0" w:color="auto"/>
            </w:tcBorders>
            <w:shd w:val="clear" w:color="auto" w:fill="auto"/>
            <w:noWrap/>
            <w:vAlign w:val="center"/>
            <w:hideMark/>
          </w:tcPr>
          <w:p w14:paraId="66208A34"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3.458.213,30</w:t>
            </w:r>
          </w:p>
        </w:tc>
      </w:tr>
      <w:tr w:rsidR="003E19A2" w:rsidRPr="0069558B" w14:paraId="701C5216"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097C1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N_37</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53EA6B9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Chuquicamata 220-&gt;Nueva Chuquicamata 220</w:t>
            </w:r>
          </w:p>
        </w:tc>
        <w:tc>
          <w:tcPr>
            <w:tcW w:w="1134" w:type="dxa"/>
            <w:tcBorders>
              <w:top w:val="nil"/>
              <w:left w:val="nil"/>
              <w:bottom w:val="single" w:sz="4" w:space="0" w:color="auto"/>
              <w:right w:val="single" w:sz="4" w:space="0" w:color="auto"/>
            </w:tcBorders>
            <w:shd w:val="clear" w:color="auto" w:fill="auto"/>
            <w:noWrap/>
            <w:vAlign w:val="center"/>
            <w:hideMark/>
          </w:tcPr>
          <w:p w14:paraId="632EC65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147BD7D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6E13291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10.026.462,90</w:t>
            </w:r>
          </w:p>
        </w:tc>
      </w:tr>
      <w:tr w:rsidR="003E19A2" w:rsidRPr="0069558B" w14:paraId="72190AC4"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0986043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55C6CF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75CC7E3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P_133</w:t>
            </w:r>
          </w:p>
        </w:tc>
        <w:tc>
          <w:tcPr>
            <w:tcW w:w="3686" w:type="dxa"/>
            <w:tcBorders>
              <w:top w:val="nil"/>
              <w:left w:val="nil"/>
              <w:bottom w:val="single" w:sz="4" w:space="0" w:color="auto"/>
              <w:right w:val="single" w:sz="4" w:space="0" w:color="auto"/>
            </w:tcBorders>
            <w:shd w:val="clear" w:color="auto" w:fill="auto"/>
            <w:noWrap/>
            <w:vAlign w:val="center"/>
            <w:hideMark/>
          </w:tcPr>
          <w:p w14:paraId="4113F3F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CODELCO NORTE</w:t>
            </w:r>
          </w:p>
        </w:tc>
        <w:tc>
          <w:tcPr>
            <w:tcW w:w="2268" w:type="dxa"/>
            <w:tcBorders>
              <w:top w:val="nil"/>
              <w:left w:val="nil"/>
              <w:bottom w:val="single" w:sz="4" w:space="0" w:color="auto"/>
              <w:right w:val="single" w:sz="4" w:space="0" w:color="auto"/>
            </w:tcBorders>
            <w:shd w:val="clear" w:color="auto" w:fill="auto"/>
            <w:noWrap/>
            <w:vAlign w:val="center"/>
            <w:hideMark/>
          </w:tcPr>
          <w:p w14:paraId="3582B2F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270.853,44</w:t>
            </w:r>
          </w:p>
        </w:tc>
      </w:tr>
      <w:tr w:rsidR="003E19A2" w:rsidRPr="0069558B" w14:paraId="66C80B5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5BEFB4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N_38</w:t>
            </w:r>
          </w:p>
        </w:tc>
        <w:tc>
          <w:tcPr>
            <w:tcW w:w="3969" w:type="dxa"/>
            <w:tcBorders>
              <w:top w:val="nil"/>
              <w:left w:val="nil"/>
              <w:bottom w:val="single" w:sz="4" w:space="0" w:color="auto"/>
              <w:right w:val="single" w:sz="4" w:space="0" w:color="auto"/>
            </w:tcBorders>
            <w:shd w:val="clear" w:color="auto" w:fill="auto"/>
            <w:vAlign w:val="center"/>
            <w:hideMark/>
          </w:tcPr>
          <w:p w14:paraId="4ABA0F2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Ciruelos 220-&gt;Cerros de Huichahue 220</w:t>
            </w:r>
          </w:p>
        </w:tc>
        <w:tc>
          <w:tcPr>
            <w:tcW w:w="1134" w:type="dxa"/>
            <w:tcBorders>
              <w:top w:val="nil"/>
              <w:left w:val="nil"/>
              <w:bottom w:val="single" w:sz="4" w:space="0" w:color="auto"/>
              <w:right w:val="single" w:sz="4" w:space="0" w:color="auto"/>
            </w:tcBorders>
            <w:shd w:val="clear" w:color="auto" w:fill="auto"/>
            <w:noWrap/>
            <w:vAlign w:val="center"/>
            <w:hideMark/>
          </w:tcPr>
          <w:p w14:paraId="5EE3645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548E3BE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6F9CA08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3.648.865,38</w:t>
            </w:r>
          </w:p>
        </w:tc>
      </w:tr>
      <w:tr w:rsidR="003E19A2" w:rsidRPr="0069558B" w14:paraId="6C110F0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6761B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N_39</w:t>
            </w:r>
          </w:p>
        </w:tc>
        <w:tc>
          <w:tcPr>
            <w:tcW w:w="3969" w:type="dxa"/>
            <w:tcBorders>
              <w:top w:val="nil"/>
              <w:left w:val="nil"/>
              <w:bottom w:val="single" w:sz="4" w:space="0" w:color="auto"/>
              <w:right w:val="single" w:sz="4" w:space="0" w:color="auto"/>
            </w:tcBorders>
            <w:shd w:val="clear" w:color="auto" w:fill="auto"/>
            <w:vAlign w:val="center"/>
            <w:hideMark/>
          </w:tcPr>
          <w:p w14:paraId="501C9F4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Ciruelos 220-&gt;Lastarria 220</w:t>
            </w:r>
          </w:p>
        </w:tc>
        <w:tc>
          <w:tcPr>
            <w:tcW w:w="1134" w:type="dxa"/>
            <w:tcBorders>
              <w:top w:val="nil"/>
              <w:left w:val="nil"/>
              <w:bottom w:val="single" w:sz="4" w:space="0" w:color="auto"/>
              <w:right w:val="single" w:sz="4" w:space="0" w:color="auto"/>
            </w:tcBorders>
            <w:shd w:val="clear" w:color="auto" w:fill="auto"/>
            <w:noWrap/>
            <w:vAlign w:val="center"/>
            <w:hideMark/>
          </w:tcPr>
          <w:p w14:paraId="7516E23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9F17B7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01AB7F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10.163.784,67</w:t>
            </w:r>
          </w:p>
        </w:tc>
      </w:tr>
      <w:tr w:rsidR="003E19A2" w:rsidRPr="0069558B" w14:paraId="1A3FBDE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57A0FC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N_40</w:t>
            </w:r>
          </w:p>
        </w:tc>
        <w:tc>
          <w:tcPr>
            <w:tcW w:w="3969" w:type="dxa"/>
            <w:tcBorders>
              <w:top w:val="nil"/>
              <w:left w:val="nil"/>
              <w:bottom w:val="single" w:sz="4" w:space="0" w:color="auto"/>
              <w:right w:val="single" w:sz="4" w:space="0" w:color="auto"/>
            </w:tcBorders>
            <w:shd w:val="clear" w:color="auto" w:fill="auto"/>
            <w:vAlign w:val="center"/>
            <w:hideMark/>
          </w:tcPr>
          <w:p w14:paraId="16BD155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Ciruelos 220-&gt;Valdivia 220</w:t>
            </w:r>
          </w:p>
        </w:tc>
        <w:tc>
          <w:tcPr>
            <w:tcW w:w="1134" w:type="dxa"/>
            <w:tcBorders>
              <w:top w:val="nil"/>
              <w:left w:val="nil"/>
              <w:bottom w:val="single" w:sz="4" w:space="0" w:color="auto"/>
              <w:right w:val="single" w:sz="4" w:space="0" w:color="auto"/>
            </w:tcBorders>
            <w:shd w:val="clear" w:color="auto" w:fill="auto"/>
            <w:noWrap/>
            <w:vAlign w:val="center"/>
            <w:hideMark/>
          </w:tcPr>
          <w:p w14:paraId="6EE8C40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2B64D4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6BFE1A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12.522.039,08</w:t>
            </w:r>
          </w:p>
        </w:tc>
      </w:tr>
      <w:tr w:rsidR="003E19A2" w:rsidRPr="0069558B" w14:paraId="7EC63D3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A65D7C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N_41</w:t>
            </w:r>
          </w:p>
        </w:tc>
        <w:tc>
          <w:tcPr>
            <w:tcW w:w="3969" w:type="dxa"/>
            <w:tcBorders>
              <w:top w:val="nil"/>
              <w:left w:val="nil"/>
              <w:bottom w:val="single" w:sz="4" w:space="0" w:color="auto"/>
              <w:right w:val="single" w:sz="4" w:space="0" w:color="auto"/>
            </w:tcBorders>
            <w:shd w:val="clear" w:color="auto" w:fill="auto"/>
            <w:vAlign w:val="center"/>
            <w:hideMark/>
          </w:tcPr>
          <w:p w14:paraId="5014E83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Condores 220-&gt;Parinacota 220</w:t>
            </w:r>
          </w:p>
        </w:tc>
        <w:tc>
          <w:tcPr>
            <w:tcW w:w="1134" w:type="dxa"/>
            <w:tcBorders>
              <w:top w:val="nil"/>
              <w:left w:val="nil"/>
              <w:bottom w:val="single" w:sz="4" w:space="0" w:color="auto"/>
              <w:right w:val="single" w:sz="4" w:space="0" w:color="auto"/>
            </w:tcBorders>
            <w:shd w:val="clear" w:color="auto" w:fill="auto"/>
            <w:noWrap/>
            <w:vAlign w:val="center"/>
            <w:hideMark/>
          </w:tcPr>
          <w:p w14:paraId="4D1D021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CE5CEB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7395D8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34.655.859,92</w:t>
            </w:r>
          </w:p>
        </w:tc>
      </w:tr>
      <w:tr w:rsidR="003E19A2" w:rsidRPr="0069558B" w14:paraId="4C33C68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626544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N_42</w:t>
            </w:r>
          </w:p>
        </w:tc>
        <w:tc>
          <w:tcPr>
            <w:tcW w:w="3969" w:type="dxa"/>
            <w:tcBorders>
              <w:top w:val="nil"/>
              <w:left w:val="nil"/>
              <w:bottom w:val="single" w:sz="4" w:space="0" w:color="auto"/>
              <w:right w:val="single" w:sz="4" w:space="0" w:color="auto"/>
            </w:tcBorders>
            <w:shd w:val="clear" w:color="auto" w:fill="auto"/>
            <w:vAlign w:val="center"/>
            <w:hideMark/>
          </w:tcPr>
          <w:p w14:paraId="577BC26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Crucero 220-&gt;Kimal 220</w:t>
            </w:r>
          </w:p>
        </w:tc>
        <w:tc>
          <w:tcPr>
            <w:tcW w:w="1134" w:type="dxa"/>
            <w:tcBorders>
              <w:top w:val="nil"/>
              <w:left w:val="nil"/>
              <w:bottom w:val="single" w:sz="4" w:space="0" w:color="auto"/>
              <w:right w:val="single" w:sz="4" w:space="0" w:color="auto"/>
            </w:tcBorders>
            <w:shd w:val="clear" w:color="auto" w:fill="auto"/>
            <w:noWrap/>
            <w:vAlign w:val="center"/>
            <w:hideMark/>
          </w:tcPr>
          <w:p w14:paraId="41DD62A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51F535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DCD68A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1.472.461,84</w:t>
            </w:r>
          </w:p>
        </w:tc>
      </w:tr>
      <w:tr w:rsidR="003E19A2" w:rsidRPr="0069558B" w14:paraId="4BF22E7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953DB0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N_43</w:t>
            </w:r>
          </w:p>
        </w:tc>
        <w:tc>
          <w:tcPr>
            <w:tcW w:w="3969" w:type="dxa"/>
            <w:tcBorders>
              <w:top w:val="nil"/>
              <w:left w:val="nil"/>
              <w:bottom w:val="single" w:sz="4" w:space="0" w:color="auto"/>
              <w:right w:val="single" w:sz="4" w:space="0" w:color="auto"/>
            </w:tcBorders>
            <w:shd w:val="clear" w:color="auto" w:fill="auto"/>
            <w:vAlign w:val="center"/>
            <w:hideMark/>
          </w:tcPr>
          <w:p w14:paraId="21062E9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Cumbre 500-&gt;Nueva Cardones 500</w:t>
            </w:r>
          </w:p>
        </w:tc>
        <w:tc>
          <w:tcPr>
            <w:tcW w:w="1134" w:type="dxa"/>
            <w:tcBorders>
              <w:top w:val="nil"/>
              <w:left w:val="nil"/>
              <w:bottom w:val="single" w:sz="4" w:space="0" w:color="auto"/>
              <w:right w:val="single" w:sz="4" w:space="0" w:color="auto"/>
            </w:tcBorders>
            <w:shd w:val="clear" w:color="auto" w:fill="auto"/>
            <w:noWrap/>
            <w:vAlign w:val="center"/>
            <w:hideMark/>
          </w:tcPr>
          <w:p w14:paraId="05359CA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P_514</w:t>
            </w:r>
          </w:p>
        </w:tc>
        <w:tc>
          <w:tcPr>
            <w:tcW w:w="3686" w:type="dxa"/>
            <w:tcBorders>
              <w:top w:val="nil"/>
              <w:left w:val="nil"/>
              <w:bottom w:val="single" w:sz="4" w:space="0" w:color="auto"/>
              <w:right w:val="single" w:sz="4" w:space="0" w:color="auto"/>
            </w:tcBorders>
            <w:shd w:val="clear" w:color="auto" w:fill="auto"/>
            <w:noWrap/>
            <w:vAlign w:val="center"/>
            <w:hideMark/>
          </w:tcPr>
          <w:p w14:paraId="74C6EDE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TEN</w:t>
            </w:r>
          </w:p>
        </w:tc>
        <w:tc>
          <w:tcPr>
            <w:tcW w:w="2268" w:type="dxa"/>
            <w:tcBorders>
              <w:top w:val="nil"/>
              <w:left w:val="nil"/>
              <w:bottom w:val="single" w:sz="4" w:space="0" w:color="auto"/>
              <w:right w:val="single" w:sz="4" w:space="0" w:color="auto"/>
            </w:tcBorders>
            <w:shd w:val="clear" w:color="auto" w:fill="auto"/>
            <w:noWrap/>
            <w:vAlign w:val="center"/>
            <w:hideMark/>
          </w:tcPr>
          <w:p w14:paraId="0EA0DAA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203.125.551,55</w:t>
            </w:r>
          </w:p>
        </w:tc>
      </w:tr>
      <w:tr w:rsidR="003E19A2" w:rsidRPr="0069558B" w14:paraId="5826405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4EE2CC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N_44</w:t>
            </w:r>
          </w:p>
        </w:tc>
        <w:tc>
          <w:tcPr>
            <w:tcW w:w="3969" w:type="dxa"/>
            <w:tcBorders>
              <w:top w:val="nil"/>
              <w:left w:val="nil"/>
              <w:bottom w:val="single" w:sz="4" w:space="0" w:color="auto"/>
              <w:right w:val="single" w:sz="4" w:space="0" w:color="auto"/>
            </w:tcBorders>
            <w:shd w:val="clear" w:color="auto" w:fill="auto"/>
            <w:vAlign w:val="center"/>
            <w:hideMark/>
          </w:tcPr>
          <w:p w14:paraId="6037BC8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Don Goyo 220-&gt;La Cebada 220</w:t>
            </w:r>
          </w:p>
        </w:tc>
        <w:tc>
          <w:tcPr>
            <w:tcW w:w="1134" w:type="dxa"/>
            <w:tcBorders>
              <w:top w:val="nil"/>
              <w:left w:val="nil"/>
              <w:bottom w:val="single" w:sz="4" w:space="0" w:color="auto"/>
              <w:right w:val="single" w:sz="4" w:space="0" w:color="auto"/>
            </w:tcBorders>
            <w:shd w:val="clear" w:color="auto" w:fill="auto"/>
            <w:noWrap/>
            <w:vAlign w:val="center"/>
            <w:hideMark/>
          </w:tcPr>
          <w:p w14:paraId="5549889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10B315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57016C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14.061.837,33</w:t>
            </w:r>
          </w:p>
        </w:tc>
      </w:tr>
      <w:tr w:rsidR="003E19A2" w:rsidRPr="0069558B" w14:paraId="235287D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7EEE2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N_45</w:t>
            </w:r>
          </w:p>
        </w:tc>
        <w:tc>
          <w:tcPr>
            <w:tcW w:w="3969" w:type="dxa"/>
            <w:tcBorders>
              <w:top w:val="nil"/>
              <w:left w:val="nil"/>
              <w:bottom w:val="single" w:sz="4" w:space="0" w:color="auto"/>
              <w:right w:val="single" w:sz="4" w:space="0" w:color="auto"/>
            </w:tcBorders>
            <w:shd w:val="clear" w:color="auto" w:fill="auto"/>
            <w:vAlign w:val="center"/>
            <w:hideMark/>
          </w:tcPr>
          <w:p w14:paraId="76826A1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Don Hector 220-&gt;Punta Colorada 220</w:t>
            </w:r>
          </w:p>
        </w:tc>
        <w:tc>
          <w:tcPr>
            <w:tcW w:w="1134" w:type="dxa"/>
            <w:tcBorders>
              <w:top w:val="nil"/>
              <w:left w:val="nil"/>
              <w:bottom w:val="single" w:sz="4" w:space="0" w:color="auto"/>
              <w:right w:val="single" w:sz="4" w:space="0" w:color="auto"/>
            </w:tcBorders>
            <w:shd w:val="clear" w:color="auto" w:fill="auto"/>
            <w:noWrap/>
            <w:vAlign w:val="center"/>
            <w:hideMark/>
          </w:tcPr>
          <w:p w14:paraId="042BCE3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F93DFB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6F9418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17.361.509,74</w:t>
            </w:r>
          </w:p>
        </w:tc>
      </w:tr>
      <w:tr w:rsidR="003E19A2" w:rsidRPr="0069558B" w14:paraId="6E0BF4AB"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313F3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N_46</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C53A04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Duqueco 220-&gt;Bureo 220</w:t>
            </w:r>
          </w:p>
        </w:tc>
        <w:tc>
          <w:tcPr>
            <w:tcW w:w="1134" w:type="dxa"/>
            <w:tcBorders>
              <w:top w:val="nil"/>
              <w:left w:val="nil"/>
              <w:bottom w:val="single" w:sz="4" w:space="0" w:color="auto"/>
              <w:right w:val="single" w:sz="4" w:space="0" w:color="auto"/>
            </w:tcBorders>
            <w:shd w:val="clear" w:color="auto" w:fill="auto"/>
            <w:noWrap/>
            <w:vAlign w:val="center"/>
            <w:hideMark/>
          </w:tcPr>
          <w:p w14:paraId="5F37FE6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227D47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D0FB12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7.526.842,98</w:t>
            </w:r>
          </w:p>
        </w:tc>
      </w:tr>
      <w:tr w:rsidR="003E19A2" w:rsidRPr="0069558B" w14:paraId="1ADAE18E"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BB62A3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67FA2E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199966F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P_120</w:t>
            </w:r>
          </w:p>
        </w:tc>
        <w:tc>
          <w:tcPr>
            <w:tcW w:w="3686" w:type="dxa"/>
            <w:tcBorders>
              <w:top w:val="nil"/>
              <w:left w:val="nil"/>
              <w:bottom w:val="single" w:sz="4" w:space="0" w:color="auto"/>
              <w:right w:val="single" w:sz="4" w:space="0" w:color="auto"/>
            </w:tcBorders>
            <w:shd w:val="clear" w:color="auto" w:fill="auto"/>
            <w:noWrap/>
            <w:vAlign w:val="center"/>
            <w:hideMark/>
          </w:tcPr>
          <w:p w14:paraId="2D0FCCB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TRANSEMEL</w:t>
            </w:r>
          </w:p>
        </w:tc>
        <w:tc>
          <w:tcPr>
            <w:tcW w:w="2268" w:type="dxa"/>
            <w:tcBorders>
              <w:top w:val="nil"/>
              <w:left w:val="nil"/>
              <w:bottom w:val="single" w:sz="4" w:space="0" w:color="auto"/>
              <w:right w:val="single" w:sz="4" w:space="0" w:color="auto"/>
            </w:tcBorders>
            <w:shd w:val="clear" w:color="auto" w:fill="auto"/>
            <w:noWrap/>
            <w:vAlign w:val="center"/>
            <w:hideMark/>
          </w:tcPr>
          <w:p w14:paraId="522CC6F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219.764,02</w:t>
            </w:r>
          </w:p>
        </w:tc>
      </w:tr>
      <w:tr w:rsidR="003E19A2" w:rsidRPr="0069558B" w14:paraId="1214266A"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0BD1E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N_47</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1280C2D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Duqueco 220-&gt;Los Varones 220</w:t>
            </w:r>
          </w:p>
        </w:tc>
        <w:tc>
          <w:tcPr>
            <w:tcW w:w="1134" w:type="dxa"/>
            <w:tcBorders>
              <w:top w:val="nil"/>
              <w:left w:val="nil"/>
              <w:bottom w:val="single" w:sz="4" w:space="0" w:color="auto"/>
              <w:right w:val="single" w:sz="4" w:space="0" w:color="auto"/>
            </w:tcBorders>
            <w:shd w:val="clear" w:color="auto" w:fill="auto"/>
            <w:noWrap/>
            <w:vAlign w:val="center"/>
            <w:hideMark/>
          </w:tcPr>
          <w:p w14:paraId="70C095B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73C69D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3B6422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2.745.462,98</w:t>
            </w:r>
          </w:p>
        </w:tc>
      </w:tr>
      <w:tr w:rsidR="003E19A2" w:rsidRPr="0069558B" w14:paraId="731D210B"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A1260F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1E1F916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3C198E1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P_120</w:t>
            </w:r>
          </w:p>
        </w:tc>
        <w:tc>
          <w:tcPr>
            <w:tcW w:w="3686" w:type="dxa"/>
            <w:tcBorders>
              <w:top w:val="nil"/>
              <w:left w:val="nil"/>
              <w:bottom w:val="single" w:sz="4" w:space="0" w:color="auto"/>
              <w:right w:val="single" w:sz="4" w:space="0" w:color="auto"/>
            </w:tcBorders>
            <w:shd w:val="clear" w:color="auto" w:fill="auto"/>
            <w:noWrap/>
            <w:vAlign w:val="center"/>
            <w:hideMark/>
          </w:tcPr>
          <w:p w14:paraId="3B6D876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TRANSEMEL</w:t>
            </w:r>
          </w:p>
        </w:tc>
        <w:tc>
          <w:tcPr>
            <w:tcW w:w="2268" w:type="dxa"/>
            <w:tcBorders>
              <w:top w:val="nil"/>
              <w:left w:val="nil"/>
              <w:bottom w:val="single" w:sz="4" w:space="0" w:color="auto"/>
              <w:right w:val="single" w:sz="4" w:space="0" w:color="auto"/>
            </w:tcBorders>
            <w:shd w:val="clear" w:color="auto" w:fill="auto"/>
            <w:noWrap/>
            <w:vAlign w:val="center"/>
            <w:hideMark/>
          </w:tcPr>
          <w:p w14:paraId="73F0ACA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219.210,55</w:t>
            </w:r>
          </w:p>
        </w:tc>
      </w:tr>
      <w:tr w:rsidR="003E19A2" w:rsidRPr="0069558B" w14:paraId="4D55E343"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3F8985D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19DFDFF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3CA011A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P_083</w:t>
            </w:r>
          </w:p>
        </w:tc>
        <w:tc>
          <w:tcPr>
            <w:tcW w:w="3686" w:type="dxa"/>
            <w:tcBorders>
              <w:top w:val="nil"/>
              <w:left w:val="nil"/>
              <w:bottom w:val="single" w:sz="4" w:space="0" w:color="auto"/>
              <w:right w:val="single" w:sz="4" w:space="0" w:color="auto"/>
            </w:tcBorders>
            <w:shd w:val="clear" w:color="auto" w:fill="auto"/>
            <w:noWrap/>
            <w:vAlign w:val="center"/>
            <w:hideMark/>
          </w:tcPr>
          <w:p w14:paraId="63D1DE0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CGE</w:t>
            </w:r>
          </w:p>
        </w:tc>
        <w:tc>
          <w:tcPr>
            <w:tcW w:w="2268" w:type="dxa"/>
            <w:tcBorders>
              <w:top w:val="nil"/>
              <w:left w:val="nil"/>
              <w:bottom w:val="single" w:sz="4" w:space="0" w:color="auto"/>
              <w:right w:val="single" w:sz="4" w:space="0" w:color="auto"/>
            </w:tcBorders>
            <w:shd w:val="clear" w:color="auto" w:fill="auto"/>
            <w:noWrap/>
            <w:vAlign w:val="center"/>
            <w:hideMark/>
          </w:tcPr>
          <w:p w14:paraId="053E97E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33.860,16</w:t>
            </w:r>
          </w:p>
        </w:tc>
      </w:tr>
      <w:tr w:rsidR="003E19A2" w:rsidRPr="0069558B" w14:paraId="0DF82791"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FC6E9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N_48</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592B43E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El Cobre 220-&gt;Esperanza SING 220</w:t>
            </w:r>
          </w:p>
        </w:tc>
        <w:tc>
          <w:tcPr>
            <w:tcW w:w="1134" w:type="dxa"/>
            <w:tcBorders>
              <w:top w:val="nil"/>
              <w:left w:val="nil"/>
              <w:bottom w:val="single" w:sz="4" w:space="0" w:color="auto"/>
              <w:right w:val="single" w:sz="4" w:space="0" w:color="auto"/>
            </w:tcBorders>
            <w:shd w:val="clear" w:color="auto" w:fill="auto"/>
            <w:noWrap/>
            <w:vAlign w:val="center"/>
            <w:hideMark/>
          </w:tcPr>
          <w:p w14:paraId="6BD83BB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P_578</w:t>
            </w:r>
          </w:p>
        </w:tc>
        <w:tc>
          <w:tcPr>
            <w:tcW w:w="3686" w:type="dxa"/>
            <w:tcBorders>
              <w:top w:val="nil"/>
              <w:left w:val="nil"/>
              <w:bottom w:val="single" w:sz="4" w:space="0" w:color="auto"/>
              <w:right w:val="single" w:sz="4" w:space="0" w:color="auto"/>
            </w:tcBorders>
            <w:shd w:val="clear" w:color="auto" w:fill="auto"/>
            <w:noWrap/>
            <w:vAlign w:val="center"/>
            <w:hideMark/>
          </w:tcPr>
          <w:p w14:paraId="6178F7E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ANTOFAGASTA MINERALS S.A.</w:t>
            </w:r>
          </w:p>
        </w:tc>
        <w:tc>
          <w:tcPr>
            <w:tcW w:w="2268" w:type="dxa"/>
            <w:tcBorders>
              <w:top w:val="nil"/>
              <w:left w:val="nil"/>
              <w:bottom w:val="single" w:sz="4" w:space="0" w:color="auto"/>
              <w:right w:val="single" w:sz="4" w:space="0" w:color="auto"/>
            </w:tcBorders>
            <w:shd w:val="clear" w:color="auto" w:fill="auto"/>
            <w:noWrap/>
            <w:vAlign w:val="center"/>
            <w:hideMark/>
          </w:tcPr>
          <w:p w14:paraId="78CA8FB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18.965.469,92</w:t>
            </w:r>
          </w:p>
        </w:tc>
      </w:tr>
      <w:tr w:rsidR="003E19A2" w:rsidRPr="0069558B" w14:paraId="75D3E275"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04128F4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570ECFE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E4AFDE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4DFC569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6492FBD4"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119.788,10</w:t>
            </w:r>
          </w:p>
        </w:tc>
      </w:tr>
      <w:tr w:rsidR="003E19A2" w:rsidRPr="0069558B" w14:paraId="7976547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CA398A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N_49</w:t>
            </w:r>
          </w:p>
        </w:tc>
        <w:tc>
          <w:tcPr>
            <w:tcW w:w="3969" w:type="dxa"/>
            <w:tcBorders>
              <w:top w:val="nil"/>
              <w:left w:val="nil"/>
              <w:bottom w:val="single" w:sz="4" w:space="0" w:color="auto"/>
              <w:right w:val="single" w:sz="4" w:space="0" w:color="auto"/>
            </w:tcBorders>
            <w:shd w:val="clear" w:color="auto" w:fill="auto"/>
            <w:vAlign w:val="center"/>
            <w:hideMark/>
          </w:tcPr>
          <w:p w14:paraId="0B249CD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El Rosal 220-&gt;Los Varones 220</w:t>
            </w:r>
          </w:p>
        </w:tc>
        <w:tc>
          <w:tcPr>
            <w:tcW w:w="1134" w:type="dxa"/>
            <w:tcBorders>
              <w:top w:val="nil"/>
              <w:left w:val="nil"/>
              <w:bottom w:val="single" w:sz="4" w:space="0" w:color="auto"/>
              <w:right w:val="single" w:sz="4" w:space="0" w:color="auto"/>
            </w:tcBorders>
            <w:shd w:val="clear" w:color="auto" w:fill="auto"/>
            <w:noWrap/>
            <w:vAlign w:val="center"/>
            <w:hideMark/>
          </w:tcPr>
          <w:p w14:paraId="16A1608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8003FD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C9E8C3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5.213.949,65</w:t>
            </w:r>
          </w:p>
        </w:tc>
      </w:tr>
      <w:tr w:rsidR="003E19A2" w:rsidRPr="0069558B" w14:paraId="75A992C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B93AA2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N_50</w:t>
            </w:r>
          </w:p>
        </w:tc>
        <w:tc>
          <w:tcPr>
            <w:tcW w:w="3969" w:type="dxa"/>
            <w:tcBorders>
              <w:top w:val="nil"/>
              <w:left w:val="nil"/>
              <w:bottom w:val="single" w:sz="4" w:space="0" w:color="auto"/>
              <w:right w:val="single" w:sz="4" w:space="0" w:color="auto"/>
            </w:tcBorders>
            <w:shd w:val="clear" w:color="auto" w:fill="auto"/>
            <w:vAlign w:val="center"/>
            <w:hideMark/>
          </w:tcPr>
          <w:p w14:paraId="7AF29DB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El Salto 220-&gt;Tap Chicureo 220</w:t>
            </w:r>
          </w:p>
        </w:tc>
        <w:tc>
          <w:tcPr>
            <w:tcW w:w="1134" w:type="dxa"/>
            <w:tcBorders>
              <w:top w:val="nil"/>
              <w:left w:val="nil"/>
              <w:bottom w:val="single" w:sz="4" w:space="0" w:color="auto"/>
              <w:right w:val="single" w:sz="4" w:space="0" w:color="auto"/>
            </w:tcBorders>
            <w:shd w:val="clear" w:color="auto" w:fill="auto"/>
            <w:noWrap/>
            <w:vAlign w:val="center"/>
            <w:hideMark/>
          </w:tcPr>
          <w:p w14:paraId="4899344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P_111</w:t>
            </w:r>
          </w:p>
        </w:tc>
        <w:tc>
          <w:tcPr>
            <w:tcW w:w="3686" w:type="dxa"/>
            <w:tcBorders>
              <w:top w:val="nil"/>
              <w:left w:val="nil"/>
              <w:bottom w:val="single" w:sz="4" w:space="0" w:color="auto"/>
              <w:right w:val="single" w:sz="4" w:space="0" w:color="auto"/>
            </w:tcBorders>
            <w:shd w:val="clear" w:color="auto" w:fill="auto"/>
            <w:noWrap/>
            <w:vAlign w:val="center"/>
            <w:hideMark/>
          </w:tcPr>
          <w:p w14:paraId="38771D4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ENEL DISTRIBUCION S.A</w:t>
            </w:r>
          </w:p>
        </w:tc>
        <w:tc>
          <w:tcPr>
            <w:tcW w:w="2268" w:type="dxa"/>
            <w:tcBorders>
              <w:top w:val="nil"/>
              <w:left w:val="nil"/>
              <w:bottom w:val="single" w:sz="4" w:space="0" w:color="auto"/>
              <w:right w:val="single" w:sz="4" w:space="0" w:color="auto"/>
            </w:tcBorders>
            <w:shd w:val="clear" w:color="auto" w:fill="auto"/>
            <w:noWrap/>
            <w:vAlign w:val="center"/>
            <w:hideMark/>
          </w:tcPr>
          <w:p w14:paraId="4CABCB7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6.590.379,79</w:t>
            </w:r>
          </w:p>
        </w:tc>
      </w:tr>
      <w:tr w:rsidR="003E19A2" w:rsidRPr="0069558B" w14:paraId="6FDF33A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570FAD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N_51</w:t>
            </w:r>
          </w:p>
        </w:tc>
        <w:tc>
          <w:tcPr>
            <w:tcW w:w="3969" w:type="dxa"/>
            <w:tcBorders>
              <w:top w:val="nil"/>
              <w:left w:val="nil"/>
              <w:bottom w:val="single" w:sz="4" w:space="0" w:color="auto"/>
              <w:right w:val="single" w:sz="4" w:space="0" w:color="auto"/>
            </w:tcBorders>
            <w:shd w:val="clear" w:color="auto" w:fill="auto"/>
            <w:vAlign w:val="center"/>
            <w:hideMark/>
          </w:tcPr>
          <w:p w14:paraId="5A53F16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Encuentro 220-&gt;Kimal 220</w:t>
            </w:r>
          </w:p>
        </w:tc>
        <w:tc>
          <w:tcPr>
            <w:tcW w:w="1134" w:type="dxa"/>
            <w:tcBorders>
              <w:top w:val="nil"/>
              <w:left w:val="nil"/>
              <w:bottom w:val="single" w:sz="4" w:space="0" w:color="auto"/>
              <w:right w:val="single" w:sz="4" w:space="0" w:color="auto"/>
            </w:tcBorders>
            <w:shd w:val="clear" w:color="auto" w:fill="auto"/>
            <w:noWrap/>
            <w:vAlign w:val="center"/>
            <w:hideMark/>
          </w:tcPr>
          <w:p w14:paraId="6161F54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60CA43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E0423D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1.124.724,97</w:t>
            </w:r>
          </w:p>
        </w:tc>
      </w:tr>
      <w:tr w:rsidR="003E19A2" w:rsidRPr="0069558B" w14:paraId="5A0396B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CEBF3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N_52</w:t>
            </w:r>
          </w:p>
        </w:tc>
        <w:tc>
          <w:tcPr>
            <w:tcW w:w="3969" w:type="dxa"/>
            <w:tcBorders>
              <w:top w:val="nil"/>
              <w:left w:val="nil"/>
              <w:bottom w:val="single" w:sz="4" w:space="0" w:color="auto"/>
              <w:right w:val="single" w:sz="4" w:space="0" w:color="auto"/>
            </w:tcBorders>
            <w:shd w:val="clear" w:color="auto" w:fill="auto"/>
            <w:vAlign w:val="center"/>
            <w:hideMark/>
          </w:tcPr>
          <w:p w14:paraId="768A06D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Encuentro 220-&gt;Miraje 220</w:t>
            </w:r>
          </w:p>
        </w:tc>
        <w:tc>
          <w:tcPr>
            <w:tcW w:w="1134" w:type="dxa"/>
            <w:tcBorders>
              <w:top w:val="nil"/>
              <w:left w:val="nil"/>
              <w:bottom w:val="single" w:sz="4" w:space="0" w:color="auto"/>
              <w:right w:val="single" w:sz="4" w:space="0" w:color="auto"/>
            </w:tcBorders>
            <w:shd w:val="clear" w:color="auto" w:fill="auto"/>
            <w:noWrap/>
            <w:vAlign w:val="center"/>
            <w:hideMark/>
          </w:tcPr>
          <w:p w14:paraId="2834E42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021B72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87C778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9.340.475,60</w:t>
            </w:r>
          </w:p>
        </w:tc>
      </w:tr>
      <w:tr w:rsidR="003E19A2" w:rsidRPr="0069558B" w14:paraId="675C99B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6B9EEB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N_53</w:t>
            </w:r>
          </w:p>
        </w:tc>
        <w:tc>
          <w:tcPr>
            <w:tcW w:w="3969" w:type="dxa"/>
            <w:tcBorders>
              <w:top w:val="nil"/>
              <w:left w:val="nil"/>
              <w:bottom w:val="single" w:sz="4" w:space="0" w:color="auto"/>
              <w:right w:val="single" w:sz="4" w:space="0" w:color="auto"/>
            </w:tcBorders>
            <w:shd w:val="clear" w:color="auto" w:fill="auto"/>
            <w:vAlign w:val="center"/>
            <w:hideMark/>
          </w:tcPr>
          <w:p w14:paraId="3608464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Encuentro 220-&gt;Tap off Sierra Gorda Eolico 220</w:t>
            </w:r>
          </w:p>
        </w:tc>
        <w:tc>
          <w:tcPr>
            <w:tcW w:w="1134" w:type="dxa"/>
            <w:tcBorders>
              <w:top w:val="nil"/>
              <w:left w:val="nil"/>
              <w:bottom w:val="single" w:sz="4" w:space="0" w:color="auto"/>
              <w:right w:val="single" w:sz="4" w:space="0" w:color="auto"/>
            </w:tcBorders>
            <w:shd w:val="clear" w:color="auto" w:fill="auto"/>
            <w:noWrap/>
            <w:vAlign w:val="center"/>
            <w:hideMark/>
          </w:tcPr>
          <w:p w14:paraId="767C595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P_578</w:t>
            </w:r>
          </w:p>
        </w:tc>
        <w:tc>
          <w:tcPr>
            <w:tcW w:w="3686" w:type="dxa"/>
            <w:tcBorders>
              <w:top w:val="nil"/>
              <w:left w:val="nil"/>
              <w:bottom w:val="single" w:sz="4" w:space="0" w:color="auto"/>
              <w:right w:val="single" w:sz="4" w:space="0" w:color="auto"/>
            </w:tcBorders>
            <w:shd w:val="clear" w:color="auto" w:fill="auto"/>
            <w:noWrap/>
            <w:vAlign w:val="center"/>
            <w:hideMark/>
          </w:tcPr>
          <w:p w14:paraId="1B7D73F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ANTOFAGASTA MINERALS S.A.</w:t>
            </w:r>
          </w:p>
        </w:tc>
        <w:tc>
          <w:tcPr>
            <w:tcW w:w="2268" w:type="dxa"/>
            <w:tcBorders>
              <w:top w:val="nil"/>
              <w:left w:val="nil"/>
              <w:bottom w:val="single" w:sz="4" w:space="0" w:color="auto"/>
              <w:right w:val="single" w:sz="4" w:space="0" w:color="auto"/>
            </w:tcBorders>
            <w:shd w:val="clear" w:color="auto" w:fill="auto"/>
            <w:noWrap/>
            <w:vAlign w:val="center"/>
            <w:hideMark/>
          </w:tcPr>
          <w:p w14:paraId="36D6BEA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11.307.708,27</w:t>
            </w:r>
          </w:p>
        </w:tc>
      </w:tr>
      <w:tr w:rsidR="003E19A2" w:rsidRPr="0069558B" w14:paraId="4AA3CC9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6817F7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N_54</w:t>
            </w:r>
          </w:p>
        </w:tc>
        <w:tc>
          <w:tcPr>
            <w:tcW w:w="3969" w:type="dxa"/>
            <w:tcBorders>
              <w:top w:val="nil"/>
              <w:left w:val="nil"/>
              <w:bottom w:val="single" w:sz="4" w:space="0" w:color="auto"/>
              <w:right w:val="single" w:sz="4" w:space="0" w:color="auto"/>
            </w:tcBorders>
            <w:shd w:val="clear" w:color="auto" w:fill="auto"/>
            <w:vAlign w:val="center"/>
            <w:hideMark/>
          </w:tcPr>
          <w:p w14:paraId="1103890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Esperanza SING 220-&gt;Centinela 220</w:t>
            </w:r>
          </w:p>
        </w:tc>
        <w:tc>
          <w:tcPr>
            <w:tcW w:w="1134" w:type="dxa"/>
            <w:tcBorders>
              <w:top w:val="nil"/>
              <w:left w:val="nil"/>
              <w:bottom w:val="single" w:sz="4" w:space="0" w:color="auto"/>
              <w:right w:val="single" w:sz="4" w:space="0" w:color="auto"/>
            </w:tcBorders>
            <w:shd w:val="clear" w:color="auto" w:fill="auto"/>
            <w:noWrap/>
            <w:vAlign w:val="center"/>
            <w:hideMark/>
          </w:tcPr>
          <w:p w14:paraId="4FAC2C4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P_578</w:t>
            </w:r>
          </w:p>
        </w:tc>
        <w:tc>
          <w:tcPr>
            <w:tcW w:w="3686" w:type="dxa"/>
            <w:tcBorders>
              <w:top w:val="nil"/>
              <w:left w:val="nil"/>
              <w:bottom w:val="single" w:sz="4" w:space="0" w:color="auto"/>
              <w:right w:val="single" w:sz="4" w:space="0" w:color="auto"/>
            </w:tcBorders>
            <w:shd w:val="clear" w:color="auto" w:fill="auto"/>
            <w:noWrap/>
            <w:vAlign w:val="center"/>
            <w:hideMark/>
          </w:tcPr>
          <w:p w14:paraId="1B2C7B9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ANTOFAGASTA MINERALS S.A.</w:t>
            </w:r>
          </w:p>
        </w:tc>
        <w:tc>
          <w:tcPr>
            <w:tcW w:w="2268" w:type="dxa"/>
            <w:tcBorders>
              <w:top w:val="nil"/>
              <w:left w:val="nil"/>
              <w:bottom w:val="single" w:sz="4" w:space="0" w:color="auto"/>
              <w:right w:val="single" w:sz="4" w:space="0" w:color="auto"/>
            </w:tcBorders>
            <w:shd w:val="clear" w:color="auto" w:fill="auto"/>
            <w:noWrap/>
            <w:vAlign w:val="center"/>
            <w:hideMark/>
          </w:tcPr>
          <w:p w14:paraId="148EF04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2.220.626,72</w:t>
            </w:r>
          </w:p>
        </w:tc>
      </w:tr>
      <w:tr w:rsidR="003E19A2" w:rsidRPr="0069558B" w14:paraId="43BB8D3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8EDD5E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N_55</w:t>
            </w:r>
          </w:p>
        </w:tc>
        <w:tc>
          <w:tcPr>
            <w:tcW w:w="3969" w:type="dxa"/>
            <w:tcBorders>
              <w:top w:val="nil"/>
              <w:left w:val="nil"/>
              <w:bottom w:val="single" w:sz="4" w:space="0" w:color="auto"/>
              <w:right w:val="single" w:sz="4" w:space="0" w:color="auto"/>
            </w:tcBorders>
            <w:shd w:val="clear" w:color="auto" w:fill="auto"/>
            <w:vAlign w:val="center"/>
            <w:hideMark/>
          </w:tcPr>
          <w:p w14:paraId="2733556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Hualpen 220-&gt;Guindo 220</w:t>
            </w:r>
          </w:p>
        </w:tc>
        <w:tc>
          <w:tcPr>
            <w:tcW w:w="1134" w:type="dxa"/>
            <w:tcBorders>
              <w:top w:val="nil"/>
              <w:left w:val="nil"/>
              <w:bottom w:val="single" w:sz="4" w:space="0" w:color="auto"/>
              <w:right w:val="single" w:sz="4" w:space="0" w:color="auto"/>
            </w:tcBorders>
            <w:shd w:val="clear" w:color="auto" w:fill="auto"/>
            <w:noWrap/>
            <w:vAlign w:val="center"/>
            <w:hideMark/>
          </w:tcPr>
          <w:p w14:paraId="77605ED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723DCD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5DCD3F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3.162.767,36</w:t>
            </w:r>
          </w:p>
        </w:tc>
      </w:tr>
      <w:tr w:rsidR="003E19A2" w:rsidRPr="0069558B" w14:paraId="1A3ADCA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D25F19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N_56</w:t>
            </w:r>
          </w:p>
        </w:tc>
        <w:tc>
          <w:tcPr>
            <w:tcW w:w="3969" w:type="dxa"/>
            <w:tcBorders>
              <w:top w:val="nil"/>
              <w:left w:val="nil"/>
              <w:bottom w:val="single" w:sz="4" w:space="0" w:color="auto"/>
              <w:right w:val="single" w:sz="4" w:space="0" w:color="auto"/>
            </w:tcBorders>
            <w:shd w:val="clear" w:color="auto" w:fill="auto"/>
            <w:vAlign w:val="center"/>
            <w:hideMark/>
          </w:tcPr>
          <w:p w14:paraId="03B3046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Hualpen 220-&gt;Trebol 220</w:t>
            </w:r>
          </w:p>
        </w:tc>
        <w:tc>
          <w:tcPr>
            <w:tcW w:w="1134" w:type="dxa"/>
            <w:tcBorders>
              <w:top w:val="nil"/>
              <w:left w:val="nil"/>
              <w:bottom w:val="single" w:sz="4" w:space="0" w:color="auto"/>
              <w:right w:val="single" w:sz="4" w:space="0" w:color="auto"/>
            </w:tcBorders>
            <w:shd w:val="clear" w:color="auto" w:fill="auto"/>
            <w:noWrap/>
            <w:vAlign w:val="center"/>
            <w:hideMark/>
          </w:tcPr>
          <w:p w14:paraId="05BDB52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59DA32D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2DD2E0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3.723.906,51</w:t>
            </w:r>
          </w:p>
        </w:tc>
      </w:tr>
      <w:tr w:rsidR="003E19A2" w:rsidRPr="0069558B" w14:paraId="2D32229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F2F583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N_58</w:t>
            </w:r>
          </w:p>
        </w:tc>
        <w:tc>
          <w:tcPr>
            <w:tcW w:w="3969" w:type="dxa"/>
            <w:tcBorders>
              <w:top w:val="nil"/>
              <w:left w:val="nil"/>
              <w:bottom w:val="single" w:sz="4" w:space="0" w:color="auto"/>
              <w:right w:val="single" w:sz="4" w:space="0" w:color="auto"/>
            </w:tcBorders>
            <w:shd w:val="clear" w:color="auto" w:fill="auto"/>
            <w:vAlign w:val="center"/>
            <w:hideMark/>
          </w:tcPr>
          <w:p w14:paraId="3658319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Kimal 220-&gt;Nueva Chuquicamata 220</w:t>
            </w:r>
          </w:p>
        </w:tc>
        <w:tc>
          <w:tcPr>
            <w:tcW w:w="1134" w:type="dxa"/>
            <w:tcBorders>
              <w:top w:val="nil"/>
              <w:left w:val="nil"/>
              <w:bottom w:val="single" w:sz="4" w:space="0" w:color="auto"/>
              <w:right w:val="single" w:sz="4" w:space="0" w:color="auto"/>
            </w:tcBorders>
            <w:shd w:val="clear" w:color="auto" w:fill="auto"/>
            <w:noWrap/>
            <w:vAlign w:val="center"/>
            <w:hideMark/>
          </w:tcPr>
          <w:p w14:paraId="707422A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32618F7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63C8E62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26.741.368,79</w:t>
            </w:r>
          </w:p>
        </w:tc>
      </w:tr>
      <w:tr w:rsidR="003E19A2" w:rsidRPr="0069558B" w14:paraId="3E3255A1"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64B13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N_59</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CEFB96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Laberinto 220-&gt;El Cobre 220</w:t>
            </w:r>
          </w:p>
        </w:tc>
        <w:tc>
          <w:tcPr>
            <w:tcW w:w="1134" w:type="dxa"/>
            <w:tcBorders>
              <w:top w:val="nil"/>
              <w:left w:val="nil"/>
              <w:bottom w:val="single" w:sz="4" w:space="0" w:color="auto"/>
              <w:right w:val="single" w:sz="4" w:space="0" w:color="auto"/>
            </w:tcBorders>
            <w:shd w:val="clear" w:color="auto" w:fill="auto"/>
            <w:noWrap/>
            <w:vAlign w:val="center"/>
            <w:hideMark/>
          </w:tcPr>
          <w:p w14:paraId="43A8EBF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P_133</w:t>
            </w:r>
          </w:p>
        </w:tc>
        <w:tc>
          <w:tcPr>
            <w:tcW w:w="3686" w:type="dxa"/>
            <w:tcBorders>
              <w:top w:val="nil"/>
              <w:left w:val="nil"/>
              <w:bottom w:val="single" w:sz="4" w:space="0" w:color="auto"/>
              <w:right w:val="single" w:sz="4" w:space="0" w:color="auto"/>
            </w:tcBorders>
            <w:shd w:val="clear" w:color="auto" w:fill="auto"/>
            <w:noWrap/>
            <w:vAlign w:val="center"/>
            <w:hideMark/>
          </w:tcPr>
          <w:p w14:paraId="4270BE6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CODELCO NORTE</w:t>
            </w:r>
          </w:p>
        </w:tc>
        <w:tc>
          <w:tcPr>
            <w:tcW w:w="2268" w:type="dxa"/>
            <w:tcBorders>
              <w:top w:val="nil"/>
              <w:left w:val="nil"/>
              <w:bottom w:val="single" w:sz="4" w:space="0" w:color="auto"/>
              <w:right w:val="single" w:sz="4" w:space="0" w:color="auto"/>
            </w:tcBorders>
            <w:shd w:val="clear" w:color="auto" w:fill="auto"/>
            <w:noWrap/>
            <w:vAlign w:val="center"/>
            <w:hideMark/>
          </w:tcPr>
          <w:p w14:paraId="7A44D87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1.095.598,84</w:t>
            </w:r>
          </w:p>
        </w:tc>
      </w:tr>
      <w:tr w:rsidR="003E19A2" w:rsidRPr="0069558B" w14:paraId="04736B5A"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C0BE51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5F5FA66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737E8B9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58BEDE9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2D6E886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307.376,88</w:t>
            </w:r>
          </w:p>
        </w:tc>
      </w:tr>
      <w:tr w:rsidR="003E19A2" w:rsidRPr="0069558B" w14:paraId="37D46753"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EA1B4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N_60</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22687B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Laberinto 220-&gt;Kapatur 220</w:t>
            </w:r>
          </w:p>
        </w:tc>
        <w:tc>
          <w:tcPr>
            <w:tcW w:w="1134" w:type="dxa"/>
            <w:tcBorders>
              <w:top w:val="nil"/>
              <w:left w:val="nil"/>
              <w:bottom w:val="single" w:sz="4" w:space="0" w:color="auto"/>
              <w:right w:val="single" w:sz="4" w:space="0" w:color="auto"/>
            </w:tcBorders>
            <w:shd w:val="clear" w:color="auto" w:fill="auto"/>
            <w:noWrap/>
            <w:vAlign w:val="center"/>
            <w:hideMark/>
          </w:tcPr>
          <w:p w14:paraId="7B30F4B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P_079</w:t>
            </w:r>
          </w:p>
        </w:tc>
        <w:tc>
          <w:tcPr>
            <w:tcW w:w="3686" w:type="dxa"/>
            <w:tcBorders>
              <w:top w:val="nil"/>
              <w:left w:val="nil"/>
              <w:bottom w:val="single" w:sz="4" w:space="0" w:color="auto"/>
              <w:right w:val="single" w:sz="4" w:space="0" w:color="auto"/>
            </w:tcBorders>
            <w:shd w:val="clear" w:color="auto" w:fill="auto"/>
            <w:noWrap/>
            <w:vAlign w:val="center"/>
            <w:hideMark/>
          </w:tcPr>
          <w:p w14:paraId="2028A84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AES GENER</w:t>
            </w:r>
          </w:p>
        </w:tc>
        <w:tc>
          <w:tcPr>
            <w:tcW w:w="2268" w:type="dxa"/>
            <w:tcBorders>
              <w:top w:val="nil"/>
              <w:left w:val="nil"/>
              <w:bottom w:val="single" w:sz="4" w:space="0" w:color="auto"/>
              <w:right w:val="single" w:sz="4" w:space="0" w:color="auto"/>
            </w:tcBorders>
            <w:shd w:val="clear" w:color="auto" w:fill="auto"/>
            <w:noWrap/>
            <w:vAlign w:val="center"/>
            <w:hideMark/>
          </w:tcPr>
          <w:p w14:paraId="52CDAF8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51.708.645,08</w:t>
            </w:r>
          </w:p>
        </w:tc>
      </w:tr>
      <w:tr w:rsidR="003E19A2" w:rsidRPr="0069558B" w14:paraId="5069D7F4"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6A8CB05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32560DF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2A62891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P_476</w:t>
            </w:r>
          </w:p>
        </w:tc>
        <w:tc>
          <w:tcPr>
            <w:tcW w:w="3686" w:type="dxa"/>
            <w:tcBorders>
              <w:top w:val="nil"/>
              <w:left w:val="nil"/>
              <w:bottom w:val="single" w:sz="4" w:space="0" w:color="auto"/>
              <w:right w:val="single" w:sz="4" w:space="0" w:color="auto"/>
            </w:tcBorders>
            <w:shd w:val="clear" w:color="auto" w:fill="auto"/>
            <w:noWrap/>
            <w:vAlign w:val="center"/>
            <w:hideMark/>
          </w:tcPr>
          <w:p w14:paraId="2131C7F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STN</w:t>
            </w:r>
          </w:p>
        </w:tc>
        <w:tc>
          <w:tcPr>
            <w:tcW w:w="2268" w:type="dxa"/>
            <w:tcBorders>
              <w:top w:val="nil"/>
              <w:left w:val="nil"/>
              <w:bottom w:val="single" w:sz="4" w:space="0" w:color="auto"/>
              <w:right w:val="single" w:sz="4" w:space="0" w:color="auto"/>
            </w:tcBorders>
            <w:shd w:val="clear" w:color="auto" w:fill="auto"/>
            <w:noWrap/>
            <w:vAlign w:val="center"/>
            <w:hideMark/>
          </w:tcPr>
          <w:p w14:paraId="0DD21B3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1.978.052,37</w:t>
            </w:r>
          </w:p>
        </w:tc>
      </w:tr>
      <w:tr w:rsidR="003E19A2" w:rsidRPr="0069558B" w14:paraId="1E581C90" w14:textId="77777777" w:rsidTr="00725CE1">
        <w:trPr>
          <w:jc w:val="center"/>
        </w:trPr>
        <w:tc>
          <w:tcPr>
            <w:tcW w:w="1985" w:type="dxa"/>
            <w:vMerge w:val="restart"/>
            <w:tcBorders>
              <w:top w:val="nil"/>
              <w:left w:val="single" w:sz="4" w:space="0" w:color="auto"/>
              <w:right w:val="single" w:sz="4" w:space="0" w:color="auto"/>
            </w:tcBorders>
            <w:shd w:val="clear" w:color="auto" w:fill="auto"/>
            <w:noWrap/>
            <w:vAlign w:val="center"/>
            <w:hideMark/>
          </w:tcPr>
          <w:p w14:paraId="078E8B7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N_61</w:t>
            </w:r>
          </w:p>
        </w:tc>
        <w:tc>
          <w:tcPr>
            <w:tcW w:w="3969" w:type="dxa"/>
            <w:vMerge w:val="restart"/>
            <w:tcBorders>
              <w:top w:val="nil"/>
              <w:left w:val="nil"/>
              <w:right w:val="single" w:sz="4" w:space="0" w:color="auto"/>
            </w:tcBorders>
            <w:shd w:val="clear" w:color="auto" w:fill="auto"/>
            <w:vAlign w:val="center"/>
            <w:hideMark/>
          </w:tcPr>
          <w:p w14:paraId="0289870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Laberinto 220-&gt;Kimal 220</w:t>
            </w:r>
          </w:p>
        </w:tc>
        <w:tc>
          <w:tcPr>
            <w:tcW w:w="1134" w:type="dxa"/>
            <w:tcBorders>
              <w:top w:val="nil"/>
              <w:left w:val="nil"/>
              <w:bottom w:val="single" w:sz="4" w:space="0" w:color="auto"/>
              <w:right w:val="single" w:sz="4" w:space="0" w:color="auto"/>
            </w:tcBorders>
            <w:shd w:val="clear" w:color="auto" w:fill="auto"/>
            <w:noWrap/>
            <w:vAlign w:val="center"/>
            <w:hideMark/>
          </w:tcPr>
          <w:p w14:paraId="710D40B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P_079</w:t>
            </w:r>
          </w:p>
        </w:tc>
        <w:tc>
          <w:tcPr>
            <w:tcW w:w="3686" w:type="dxa"/>
            <w:tcBorders>
              <w:top w:val="nil"/>
              <w:left w:val="nil"/>
              <w:bottom w:val="single" w:sz="4" w:space="0" w:color="auto"/>
              <w:right w:val="single" w:sz="4" w:space="0" w:color="auto"/>
            </w:tcBorders>
            <w:shd w:val="clear" w:color="auto" w:fill="auto"/>
            <w:noWrap/>
            <w:vAlign w:val="center"/>
            <w:hideMark/>
          </w:tcPr>
          <w:p w14:paraId="2477FF3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cs="Calibri"/>
                <w:color w:val="000000"/>
                <w:sz w:val="20"/>
                <w:szCs w:val="20"/>
              </w:rPr>
              <w:t>AES GENER</w:t>
            </w:r>
          </w:p>
        </w:tc>
        <w:tc>
          <w:tcPr>
            <w:tcW w:w="2268" w:type="dxa"/>
            <w:tcBorders>
              <w:top w:val="nil"/>
              <w:left w:val="nil"/>
              <w:bottom w:val="single" w:sz="4" w:space="0" w:color="auto"/>
              <w:right w:val="single" w:sz="4" w:space="0" w:color="auto"/>
            </w:tcBorders>
            <w:shd w:val="clear" w:color="auto" w:fill="auto"/>
            <w:noWrap/>
            <w:vAlign w:val="center"/>
            <w:hideMark/>
          </w:tcPr>
          <w:p w14:paraId="2A8729B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cs="Calibri"/>
                <w:b/>
                <w:bCs/>
                <w:color w:val="000000"/>
                <w:sz w:val="20"/>
                <w:szCs w:val="20"/>
              </w:rPr>
              <w:t>691.732,95</w:t>
            </w:r>
          </w:p>
        </w:tc>
      </w:tr>
      <w:tr w:rsidR="003E19A2" w:rsidRPr="0069558B" w14:paraId="684404D3" w14:textId="77777777" w:rsidTr="00725CE1">
        <w:trPr>
          <w:jc w:val="center"/>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354C73F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3969" w:type="dxa"/>
            <w:vMerge/>
            <w:tcBorders>
              <w:left w:val="nil"/>
              <w:bottom w:val="single" w:sz="4" w:space="0" w:color="auto"/>
              <w:right w:val="single" w:sz="4" w:space="0" w:color="auto"/>
            </w:tcBorders>
            <w:shd w:val="clear" w:color="auto" w:fill="auto"/>
            <w:vAlign w:val="center"/>
            <w:hideMark/>
          </w:tcPr>
          <w:p w14:paraId="51089DC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529A6C4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P_418</w:t>
            </w:r>
          </w:p>
        </w:tc>
        <w:tc>
          <w:tcPr>
            <w:tcW w:w="3686" w:type="dxa"/>
            <w:tcBorders>
              <w:top w:val="nil"/>
              <w:left w:val="nil"/>
              <w:bottom w:val="single" w:sz="4" w:space="0" w:color="auto"/>
              <w:right w:val="single" w:sz="4" w:space="0" w:color="auto"/>
            </w:tcBorders>
            <w:shd w:val="clear" w:color="auto" w:fill="auto"/>
            <w:noWrap/>
            <w:vAlign w:val="center"/>
            <w:hideMark/>
          </w:tcPr>
          <w:p w14:paraId="0937EEF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cs="Calibri"/>
                <w:color w:val="000000"/>
                <w:sz w:val="20"/>
                <w:szCs w:val="20"/>
              </w:rPr>
              <w:t>Minera Escondida</w:t>
            </w:r>
          </w:p>
        </w:tc>
        <w:tc>
          <w:tcPr>
            <w:tcW w:w="2268" w:type="dxa"/>
            <w:tcBorders>
              <w:top w:val="nil"/>
              <w:left w:val="nil"/>
              <w:bottom w:val="single" w:sz="4" w:space="0" w:color="auto"/>
              <w:right w:val="single" w:sz="4" w:space="0" w:color="auto"/>
            </w:tcBorders>
            <w:shd w:val="clear" w:color="auto" w:fill="auto"/>
            <w:noWrap/>
            <w:vAlign w:val="center"/>
            <w:hideMark/>
          </w:tcPr>
          <w:p w14:paraId="41D6CB5A"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cs="Calibri"/>
                <w:b/>
                <w:bCs/>
                <w:color w:val="000000"/>
                <w:sz w:val="20"/>
                <w:szCs w:val="20"/>
              </w:rPr>
              <w:t>36.116.566,20</w:t>
            </w:r>
          </w:p>
        </w:tc>
      </w:tr>
      <w:tr w:rsidR="003E19A2" w:rsidRPr="0069558B" w14:paraId="5112102E" w14:textId="77777777" w:rsidTr="00725CE1">
        <w:trPr>
          <w:jc w:val="center"/>
        </w:trPr>
        <w:tc>
          <w:tcPr>
            <w:tcW w:w="1985" w:type="dxa"/>
            <w:vMerge w:val="restart"/>
            <w:tcBorders>
              <w:top w:val="nil"/>
              <w:left w:val="single" w:sz="4" w:space="0" w:color="auto"/>
              <w:right w:val="single" w:sz="4" w:space="0" w:color="auto"/>
            </w:tcBorders>
            <w:shd w:val="clear" w:color="auto" w:fill="auto"/>
            <w:noWrap/>
            <w:vAlign w:val="center"/>
          </w:tcPr>
          <w:p w14:paraId="1479F74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N_62</w:t>
            </w:r>
          </w:p>
        </w:tc>
        <w:tc>
          <w:tcPr>
            <w:tcW w:w="3969" w:type="dxa"/>
            <w:vMerge w:val="restart"/>
            <w:tcBorders>
              <w:top w:val="nil"/>
              <w:left w:val="nil"/>
              <w:right w:val="single" w:sz="4" w:space="0" w:color="auto"/>
            </w:tcBorders>
            <w:shd w:val="clear" w:color="auto" w:fill="auto"/>
            <w:vAlign w:val="center"/>
          </w:tcPr>
          <w:p w14:paraId="26105CD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Laberinto 220-&gt;Nueva Zaldivar 220</w:t>
            </w:r>
          </w:p>
        </w:tc>
        <w:tc>
          <w:tcPr>
            <w:tcW w:w="1134" w:type="dxa"/>
            <w:tcBorders>
              <w:top w:val="nil"/>
              <w:left w:val="nil"/>
              <w:bottom w:val="single" w:sz="4" w:space="0" w:color="auto"/>
              <w:right w:val="single" w:sz="4" w:space="0" w:color="auto"/>
            </w:tcBorders>
            <w:shd w:val="clear" w:color="auto" w:fill="auto"/>
            <w:noWrap/>
            <w:vAlign w:val="center"/>
          </w:tcPr>
          <w:p w14:paraId="5CC5D20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P_079</w:t>
            </w:r>
          </w:p>
        </w:tc>
        <w:tc>
          <w:tcPr>
            <w:tcW w:w="3686" w:type="dxa"/>
            <w:tcBorders>
              <w:top w:val="nil"/>
              <w:left w:val="nil"/>
              <w:bottom w:val="single" w:sz="4" w:space="0" w:color="auto"/>
              <w:right w:val="single" w:sz="4" w:space="0" w:color="auto"/>
            </w:tcBorders>
            <w:shd w:val="clear" w:color="auto" w:fill="auto"/>
            <w:noWrap/>
            <w:vAlign w:val="center"/>
          </w:tcPr>
          <w:p w14:paraId="2C18674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cs="Calibri"/>
                <w:color w:val="000000"/>
                <w:sz w:val="20"/>
                <w:szCs w:val="20"/>
              </w:rPr>
              <w:t>AES GENER</w:t>
            </w:r>
          </w:p>
        </w:tc>
        <w:tc>
          <w:tcPr>
            <w:tcW w:w="2268" w:type="dxa"/>
            <w:tcBorders>
              <w:top w:val="nil"/>
              <w:left w:val="nil"/>
              <w:bottom w:val="single" w:sz="4" w:space="0" w:color="auto"/>
              <w:right w:val="single" w:sz="4" w:space="0" w:color="auto"/>
            </w:tcBorders>
            <w:shd w:val="clear" w:color="auto" w:fill="auto"/>
            <w:noWrap/>
            <w:vAlign w:val="center"/>
          </w:tcPr>
          <w:p w14:paraId="3F3E38B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cs="Calibri"/>
                <w:b/>
                <w:bCs/>
                <w:color w:val="000000"/>
                <w:sz w:val="20"/>
                <w:szCs w:val="20"/>
              </w:rPr>
              <w:t>1.283.939,29</w:t>
            </w:r>
          </w:p>
        </w:tc>
      </w:tr>
      <w:tr w:rsidR="003E19A2" w:rsidRPr="0069558B" w14:paraId="431D3940" w14:textId="77777777" w:rsidTr="00725CE1">
        <w:trPr>
          <w:jc w:val="center"/>
        </w:trPr>
        <w:tc>
          <w:tcPr>
            <w:tcW w:w="1985" w:type="dxa"/>
            <w:vMerge/>
            <w:tcBorders>
              <w:left w:val="single" w:sz="4" w:space="0" w:color="auto"/>
              <w:bottom w:val="single" w:sz="4" w:space="0" w:color="auto"/>
              <w:right w:val="single" w:sz="4" w:space="0" w:color="auto"/>
            </w:tcBorders>
            <w:shd w:val="clear" w:color="auto" w:fill="auto"/>
            <w:noWrap/>
            <w:vAlign w:val="center"/>
          </w:tcPr>
          <w:p w14:paraId="3D0396C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3969" w:type="dxa"/>
            <w:vMerge/>
            <w:tcBorders>
              <w:left w:val="nil"/>
              <w:bottom w:val="single" w:sz="4" w:space="0" w:color="auto"/>
              <w:right w:val="single" w:sz="4" w:space="0" w:color="auto"/>
            </w:tcBorders>
            <w:shd w:val="clear" w:color="auto" w:fill="auto"/>
            <w:vAlign w:val="center"/>
          </w:tcPr>
          <w:p w14:paraId="4DBCBAA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tcPr>
          <w:p w14:paraId="5C52128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cs="Calibri"/>
                <w:color w:val="000000"/>
                <w:sz w:val="20"/>
                <w:szCs w:val="20"/>
              </w:rPr>
              <w:t>P_418</w:t>
            </w:r>
          </w:p>
        </w:tc>
        <w:tc>
          <w:tcPr>
            <w:tcW w:w="3686" w:type="dxa"/>
            <w:tcBorders>
              <w:top w:val="nil"/>
              <w:left w:val="nil"/>
              <w:bottom w:val="single" w:sz="4" w:space="0" w:color="auto"/>
              <w:right w:val="single" w:sz="4" w:space="0" w:color="auto"/>
            </w:tcBorders>
            <w:shd w:val="clear" w:color="auto" w:fill="auto"/>
            <w:noWrap/>
            <w:vAlign w:val="center"/>
          </w:tcPr>
          <w:p w14:paraId="539EA2A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cs="Calibri"/>
                <w:color w:val="000000"/>
                <w:sz w:val="20"/>
                <w:szCs w:val="20"/>
              </w:rPr>
              <w:t>Minera Escondida</w:t>
            </w:r>
          </w:p>
        </w:tc>
        <w:tc>
          <w:tcPr>
            <w:tcW w:w="2268" w:type="dxa"/>
            <w:tcBorders>
              <w:top w:val="nil"/>
              <w:left w:val="nil"/>
              <w:bottom w:val="single" w:sz="4" w:space="0" w:color="auto"/>
              <w:right w:val="single" w:sz="4" w:space="0" w:color="auto"/>
            </w:tcBorders>
            <w:shd w:val="clear" w:color="auto" w:fill="auto"/>
            <w:noWrap/>
            <w:vAlign w:val="center"/>
          </w:tcPr>
          <w:p w14:paraId="07D2F56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cs="Calibri"/>
                <w:b/>
                <w:bCs/>
                <w:color w:val="000000"/>
                <w:sz w:val="20"/>
                <w:szCs w:val="20"/>
              </w:rPr>
              <w:t>24.470.587,20</w:t>
            </w:r>
          </w:p>
        </w:tc>
      </w:tr>
      <w:tr w:rsidR="003E19A2" w:rsidRPr="0069558B" w14:paraId="0EE885B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32A150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N_63</w:t>
            </w:r>
          </w:p>
        </w:tc>
        <w:tc>
          <w:tcPr>
            <w:tcW w:w="3969" w:type="dxa"/>
            <w:tcBorders>
              <w:top w:val="nil"/>
              <w:left w:val="nil"/>
              <w:bottom w:val="single" w:sz="4" w:space="0" w:color="auto"/>
              <w:right w:val="single" w:sz="4" w:space="0" w:color="auto"/>
            </w:tcBorders>
            <w:shd w:val="clear" w:color="auto" w:fill="auto"/>
            <w:vAlign w:val="center"/>
            <w:hideMark/>
          </w:tcPr>
          <w:p w14:paraId="1074AF8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Lagunas 220-&gt;Encuentro 220</w:t>
            </w:r>
          </w:p>
        </w:tc>
        <w:tc>
          <w:tcPr>
            <w:tcW w:w="1134" w:type="dxa"/>
            <w:tcBorders>
              <w:top w:val="nil"/>
              <w:left w:val="nil"/>
              <w:bottom w:val="single" w:sz="4" w:space="0" w:color="auto"/>
              <w:right w:val="single" w:sz="4" w:space="0" w:color="auto"/>
            </w:tcBorders>
            <w:shd w:val="clear" w:color="auto" w:fill="auto"/>
            <w:noWrap/>
            <w:vAlign w:val="center"/>
            <w:hideMark/>
          </w:tcPr>
          <w:p w14:paraId="677E20D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P_530</w:t>
            </w:r>
          </w:p>
        </w:tc>
        <w:tc>
          <w:tcPr>
            <w:tcW w:w="3686" w:type="dxa"/>
            <w:tcBorders>
              <w:top w:val="nil"/>
              <w:left w:val="nil"/>
              <w:bottom w:val="single" w:sz="4" w:space="0" w:color="auto"/>
              <w:right w:val="single" w:sz="4" w:space="0" w:color="auto"/>
            </w:tcBorders>
            <w:shd w:val="clear" w:color="auto" w:fill="auto"/>
            <w:noWrap/>
            <w:vAlign w:val="center"/>
            <w:hideMark/>
          </w:tcPr>
          <w:p w14:paraId="6CBF83D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INTERCHILE</w:t>
            </w:r>
          </w:p>
        </w:tc>
        <w:tc>
          <w:tcPr>
            <w:tcW w:w="2268" w:type="dxa"/>
            <w:tcBorders>
              <w:top w:val="nil"/>
              <w:left w:val="nil"/>
              <w:bottom w:val="single" w:sz="4" w:space="0" w:color="auto"/>
              <w:right w:val="single" w:sz="4" w:space="0" w:color="auto"/>
            </w:tcBorders>
            <w:shd w:val="clear" w:color="auto" w:fill="auto"/>
            <w:noWrap/>
            <w:vAlign w:val="center"/>
            <w:hideMark/>
          </w:tcPr>
          <w:p w14:paraId="0A30D85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15.221.846,57</w:t>
            </w:r>
          </w:p>
        </w:tc>
      </w:tr>
      <w:tr w:rsidR="003E19A2" w:rsidRPr="0069558B" w14:paraId="6EC1ED7D"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5E2D2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N_64</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7CF6CDB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Lagunas 220-&gt;Nueva Pozo Almonte 220</w:t>
            </w:r>
          </w:p>
        </w:tc>
        <w:tc>
          <w:tcPr>
            <w:tcW w:w="1134" w:type="dxa"/>
            <w:tcBorders>
              <w:top w:val="nil"/>
              <w:left w:val="nil"/>
              <w:bottom w:val="single" w:sz="4" w:space="0" w:color="auto"/>
              <w:right w:val="single" w:sz="4" w:space="0" w:color="auto"/>
            </w:tcBorders>
            <w:shd w:val="clear" w:color="auto" w:fill="auto"/>
            <w:noWrap/>
            <w:vAlign w:val="center"/>
            <w:hideMark/>
          </w:tcPr>
          <w:p w14:paraId="233EC73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3A6C50E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6867BCC6"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11.742.538,41</w:t>
            </w:r>
          </w:p>
        </w:tc>
      </w:tr>
      <w:tr w:rsidR="003E19A2" w:rsidRPr="0069558B" w14:paraId="52874DA2"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0C0D46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0A0BD1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5183277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F8E1A0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98A87C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383.981,29</w:t>
            </w:r>
          </w:p>
        </w:tc>
      </w:tr>
      <w:tr w:rsidR="003E19A2" w:rsidRPr="0069558B" w14:paraId="12CEF40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BBA1B3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N_65</w:t>
            </w:r>
          </w:p>
        </w:tc>
        <w:tc>
          <w:tcPr>
            <w:tcW w:w="3969" w:type="dxa"/>
            <w:tcBorders>
              <w:top w:val="nil"/>
              <w:left w:val="nil"/>
              <w:bottom w:val="single" w:sz="4" w:space="0" w:color="auto"/>
              <w:right w:val="single" w:sz="4" w:space="0" w:color="auto"/>
            </w:tcBorders>
            <w:shd w:val="clear" w:color="auto" w:fill="auto"/>
            <w:vAlign w:val="center"/>
            <w:hideMark/>
          </w:tcPr>
          <w:p w14:paraId="1DB1EA6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Lagunas 220-&gt;Nueva Victoria 220</w:t>
            </w:r>
          </w:p>
        </w:tc>
        <w:tc>
          <w:tcPr>
            <w:tcW w:w="1134" w:type="dxa"/>
            <w:tcBorders>
              <w:top w:val="nil"/>
              <w:left w:val="nil"/>
              <w:bottom w:val="single" w:sz="4" w:space="0" w:color="auto"/>
              <w:right w:val="single" w:sz="4" w:space="0" w:color="auto"/>
            </w:tcBorders>
            <w:shd w:val="clear" w:color="auto" w:fill="auto"/>
            <w:noWrap/>
            <w:vAlign w:val="center"/>
            <w:hideMark/>
          </w:tcPr>
          <w:p w14:paraId="4D79ABA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FBB481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ECA529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3.135.645,48</w:t>
            </w:r>
          </w:p>
        </w:tc>
      </w:tr>
      <w:tr w:rsidR="003E19A2" w:rsidRPr="0069558B" w14:paraId="1255612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8735D9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N_66</w:t>
            </w:r>
          </w:p>
        </w:tc>
        <w:tc>
          <w:tcPr>
            <w:tcW w:w="3969" w:type="dxa"/>
            <w:tcBorders>
              <w:top w:val="nil"/>
              <w:left w:val="nil"/>
              <w:bottom w:val="single" w:sz="4" w:space="0" w:color="auto"/>
              <w:right w:val="single" w:sz="4" w:space="0" w:color="auto"/>
            </w:tcBorders>
            <w:shd w:val="clear" w:color="auto" w:fill="auto"/>
            <w:vAlign w:val="center"/>
            <w:hideMark/>
          </w:tcPr>
          <w:p w14:paraId="6CDB6A6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Lagunas 220-&gt;San Simon 220</w:t>
            </w:r>
          </w:p>
        </w:tc>
        <w:tc>
          <w:tcPr>
            <w:tcW w:w="1134" w:type="dxa"/>
            <w:tcBorders>
              <w:top w:val="nil"/>
              <w:left w:val="nil"/>
              <w:bottom w:val="single" w:sz="4" w:space="0" w:color="auto"/>
              <w:right w:val="single" w:sz="4" w:space="0" w:color="auto"/>
            </w:tcBorders>
            <w:shd w:val="clear" w:color="auto" w:fill="auto"/>
            <w:noWrap/>
            <w:vAlign w:val="center"/>
            <w:hideMark/>
          </w:tcPr>
          <w:p w14:paraId="388D38B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CC4F1B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A78AB6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7.188.274,09</w:t>
            </w:r>
          </w:p>
        </w:tc>
      </w:tr>
      <w:tr w:rsidR="003E19A2" w:rsidRPr="0069558B" w14:paraId="7BA867B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07D900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N_67</w:t>
            </w:r>
          </w:p>
        </w:tc>
        <w:tc>
          <w:tcPr>
            <w:tcW w:w="3969" w:type="dxa"/>
            <w:tcBorders>
              <w:top w:val="nil"/>
              <w:left w:val="nil"/>
              <w:bottom w:val="single" w:sz="4" w:space="0" w:color="auto"/>
              <w:right w:val="single" w:sz="4" w:space="0" w:color="auto"/>
            </w:tcBorders>
            <w:shd w:val="clear" w:color="auto" w:fill="auto"/>
            <w:vAlign w:val="center"/>
            <w:hideMark/>
          </w:tcPr>
          <w:p w14:paraId="1C0B3B7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Lagunillas 220-&gt;Guindo 220</w:t>
            </w:r>
          </w:p>
        </w:tc>
        <w:tc>
          <w:tcPr>
            <w:tcW w:w="1134" w:type="dxa"/>
            <w:tcBorders>
              <w:top w:val="nil"/>
              <w:left w:val="nil"/>
              <w:bottom w:val="single" w:sz="4" w:space="0" w:color="auto"/>
              <w:right w:val="single" w:sz="4" w:space="0" w:color="auto"/>
            </w:tcBorders>
            <w:shd w:val="clear" w:color="auto" w:fill="auto"/>
            <w:noWrap/>
            <w:vAlign w:val="center"/>
            <w:hideMark/>
          </w:tcPr>
          <w:p w14:paraId="75F5968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99D9A4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E33935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4.048.762,13</w:t>
            </w:r>
          </w:p>
        </w:tc>
      </w:tr>
      <w:tr w:rsidR="003E19A2" w:rsidRPr="0069558B" w14:paraId="044E210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6A0B68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N_69</w:t>
            </w:r>
          </w:p>
        </w:tc>
        <w:tc>
          <w:tcPr>
            <w:tcW w:w="3969" w:type="dxa"/>
            <w:tcBorders>
              <w:top w:val="nil"/>
              <w:left w:val="nil"/>
              <w:bottom w:val="single" w:sz="4" w:space="0" w:color="auto"/>
              <w:right w:val="single" w:sz="4" w:space="0" w:color="auto"/>
            </w:tcBorders>
            <w:shd w:val="clear" w:color="auto" w:fill="auto"/>
            <w:vAlign w:val="center"/>
            <w:hideMark/>
          </w:tcPr>
          <w:p w14:paraId="5E86E5B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 Aguirre 220-&gt;Nueva Alto Melipilla 220</w:t>
            </w:r>
          </w:p>
        </w:tc>
        <w:tc>
          <w:tcPr>
            <w:tcW w:w="1134" w:type="dxa"/>
            <w:tcBorders>
              <w:top w:val="nil"/>
              <w:left w:val="nil"/>
              <w:bottom w:val="single" w:sz="4" w:space="0" w:color="auto"/>
              <w:right w:val="single" w:sz="4" w:space="0" w:color="auto"/>
            </w:tcBorders>
            <w:shd w:val="clear" w:color="auto" w:fill="auto"/>
            <w:noWrap/>
            <w:vAlign w:val="center"/>
            <w:hideMark/>
          </w:tcPr>
          <w:p w14:paraId="78271EF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FDC4EF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1CD193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13.242.796,64</w:t>
            </w:r>
          </w:p>
        </w:tc>
      </w:tr>
      <w:tr w:rsidR="003E19A2" w:rsidRPr="0069558B" w14:paraId="4E10FFD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455407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N_70</w:t>
            </w:r>
          </w:p>
        </w:tc>
        <w:tc>
          <w:tcPr>
            <w:tcW w:w="3969" w:type="dxa"/>
            <w:tcBorders>
              <w:top w:val="nil"/>
              <w:left w:val="nil"/>
              <w:bottom w:val="single" w:sz="4" w:space="0" w:color="auto"/>
              <w:right w:val="single" w:sz="4" w:space="0" w:color="auto"/>
            </w:tcBorders>
            <w:shd w:val="clear" w:color="auto" w:fill="auto"/>
            <w:vAlign w:val="center"/>
            <w:hideMark/>
          </w:tcPr>
          <w:p w14:paraId="1597D16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 Aguirre 500-&gt;Alto Jahuel 500</w:t>
            </w:r>
          </w:p>
        </w:tc>
        <w:tc>
          <w:tcPr>
            <w:tcW w:w="1134" w:type="dxa"/>
            <w:tcBorders>
              <w:top w:val="nil"/>
              <w:left w:val="nil"/>
              <w:bottom w:val="single" w:sz="4" w:space="0" w:color="auto"/>
              <w:right w:val="single" w:sz="4" w:space="0" w:color="auto"/>
            </w:tcBorders>
            <w:shd w:val="clear" w:color="auto" w:fill="auto"/>
            <w:noWrap/>
            <w:vAlign w:val="center"/>
            <w:hideMark/>
          </w:tcPr>
          <w:p w14:paraId="7C4A308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53423B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C4A6BA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44.370.496,83</w:t>
            </w:r>
          </w:p>
        </w:tc>
      </w:tr>
      <w:tr w:rsidR="003E19A2" w:rsidRPr="0069558B" w14:paraId="01E5B0B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D34E0F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N_72</w:t>
            </w:r>
          </w:p>
        </w:tc>
        <w:tc>
          <w:tcPr>
            <w:tcW w:w="3969" w:type="dxa"/>
            <w:tcBorders>
              <w:top w:val="nil"/>
              <w:left w:val="nil"/>
              <w:bottom w:val="single" w:sz="4" w:space="0" w:color="auto"/>
              <w:right w:val="single" w:sz="4" w:space="0" w:color="auto"/>
            </w:tcBorders>
            <w:shd w:val="clear" w:color="auto" w:fill="auto"/>
            <w:vAlign w:val="center"/>
            <w:hideMark/>
          </w:tcPr>
          <w:p w14:paraId="70A6F3C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Los Changos 500-&gt;Cumbre 500</w:t>
            </w:r>
          </w:p>
        </w:tc>
        <w:tc>
          <w:tcPr>
            <w:tcW w:w="1134" w:type="dxa"/>
            <w:tcBorders>
              <w:top w:val="nil"/>
              <w:left w:val="nil"/>
              <w:bottom w:val="single" w:sz="4" w:space="0" w:color="auto"/>
              <w:right w:val="single" w:sz="4" w:space="0" w:color="auto"/>
            </w:tcBorders>
            <w:shd w:val="clear" w:color="auto" w:fill="auto"/>
            <w:noWrap/>
            <w:vAlign w:val="center"/>
            <w:hideMark/>
          </w:tcPr>
          <w:p w14:paraId="4FE27B3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P_514</w:t>
            </w:r>
          </w:p>
        </w:tc>
        <w:tc>
          <w:tcPr>
            <w:tcW w:w="3686" w:type="dxa"/>
            <w:tcBorders>
              <w:top w:val="nil"/>
              <w:left w:val="nil"/>
              <w:bottom w:val="single" w:sz="4" w:space="0" w:color="auto"/>
              <w:right w:val="single" w:sz="4" w:space="0" w:color="auto"/>
            </w:tcBorders>
            <w:shd w:val="clear" w:color="auto" w:fill="auto"/>
            <w:noWrap/>
            <w:vAlign w:val="center"/>
            <w:hideMark/>
          </w:tcPr>
          <w:p w14:paraId="3E9F000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TEN</w:t>
            </w:r>
          </w:p>
        </w:tc>
        <w:tc>
          <w:tcPr>
            <w:tcW w:w="2268" w:type="dxa"/>
            <w:tcBorders>
              <w:top w:val="nil"/>
              <w:left w:val="nil"/>
              <w:bottom w:val="single" w:sz="4" w:space="0" w:color="auto"/>
              <w:right w:val="single" w:sz="4" w:space="0" w:color="auto"/>
            </w:tcBorders>
            <w:shd w:val="clear" w:color="auto" w:fill="auto"/>
            <w:noWrap/>
            <w:vAlign w:val="center"/>
            <w:hideMark/>
          </w:tcPr>
          <w:p w14:paraId="74D09B6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371.067.446,88</w:t>
            </w:r>
          </w:p>
        </w:tc>
      </w:tr>
      <w:tr w:rsidR="003E19A2" w:rsidRPr="0069558B" w14:paraId="05CA9A9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3B9BD5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N_73</w:t>
            </w:r>
          </w:p>
        </w:tc>
        <w:tc>
          <w:tcPr>
            <w:tcW w:w="3969" w:type="dxa"/>
            <w:tcBorders>
              <w:top w:val="nil"/>
              <w:left w:val="nil"/>
              <w:bottom w:val="single" w:sz="4" w:space="0" w:color="auto"/>
              <w:right w:val="single" w:sz="4" w:space="0" w:color="auto"/>
            </w:tcBorders>
            <w:shd w:val="clear" w:color="auto" w:fill="auto"/>
            <w:vAlign w:val="center"/>
            <w:hideMark/>
          </w:tcPr>
          <w:p w14:paraId="67A1906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Los Changos 500-&gt;Los Changos 220</w:t>
            </w:r>
          </w:p>
        </w:tc>
        <w:tc>
          <w:tcPr>
            <w:tcW w:w="1134" w:type="dxa"/>
            <w:tcBorders>
              <w:top w:val="nil"/>
              <w:left w:val="nil"/>
              <w:bottom w:val="single" w:sz="4" w:space="0" w:color="auto"/>
              <w:right w:val="single" w:sz="4" w:space="0" w:color="auto"/>
            </w:tcBorders>
            <w:shd w:val="clear" w:color="auto" w:fill="auto"/>
            <w:noWrap/>
            <w:vAlign w:val="center"/>
            <w:hideMark/>
          </w:tcPr>
          <w:p w14:paraId="3C2E333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P_514</w:t>
            </w:r>
          </w:p>
        </w:tc>
        <w:tc>
          <w:tcPr>
            <w:tcW w:w="3686" w:type="dxa"/>
            <w:tcBorders>
              <w:top w:val="nil"/>
              <w:left w:val="nil"/>
              <w:bottom w:val="single" w:sz="4" w:space="0" w:color="auto"/>
              <w:right w:val="single" w:sz="4" w:space="0" w:color="auto"/>
            </w:tcBorders>
            <w:shd w:val="clear" w:color="auto" w:fill="auto"/>
            <w:noWrap/>
            <w:vAlign w:val="center"/>
            <w:hideMark/>
          </w:tcPr>
          <w:p w14:paraId="537060E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TEN</w:t>
            </w:r>
          </w:p>
        </w:tc>
        <w:tc>
          <w:tcPr>
            <w:tcW w:w="2268" w:type="dxa"/>
            <w:tcBorders>
              <w:top w:val="nil"/>
              <w:left w:val="nil"/>
              <w:bottom w:val="single" w:sz="4" w:space="0" w:color="auto"/>
              <w:right w:val="single" w:sz="4" w:space="0" w:color="auto"/>
            </w:tcBorders>
            <w:shd w:val="clear" w:color="auto" w:fill="auto"/>
            <w:noWrap/>
            <w:vAlign w:val="center"/>
            <w:hideMark/>
          </w:tcPr>
          <w:p w14:paraId="1941A10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17.548.478,85</w:t>
            </w:r>
          </w:p>
        </w:tc>
      </w:tr>
      <w:tr w:rsidR="003E19A2" w:rsidRPr="0069558B" w14:paraId="361DBED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898D2D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N_74</w:t>
            </w:r>
          </w:p>
        </w:tc>
        <w:tc>
          <w:tcPr>
            <w:tcW w:w="3969" w:type="dxa"/>
            <w:tcBorders>
              <w:top w:val="nil"/>
              <w:left w:val="nil"/>
              <w:bottom w:val="single" w:sz="4" w:space="0" w:color="auto"/>
              <w:right w:val="single" w:sz="4" w:space="0" w:color="auto"/>
            </w:tcBorders>
            <w:shd w:val="clear" w:color="auto" w:fill="auto"/>
            <w:vAlign w:val="center"/>
            <w:hideMark/>
          </w:tcPr>
          <w:p w14:paraId="29DE63D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Los Maquis 220-&gt;Quilapilun 220</w:t>
            </w:r>
          </w:p>
        </w:tc>
        <w:tc>
          <w:tcPr>
            <w:tcW w:w="1134" w:type="dxa"/>
            <w:tcBorders>
              <w:top w:val="nil"/>
              <w:left w:val="nil"/>
              <w:bottom w:val="single" w:sz="4" w:space="0" w:color="auto"/>
              <w:right w:val="single" w:sz="4" w:space="0" w:color="auto"/>
            </w:tcBorders>
            <w:shd w:val="clear" w:color="auto" w:fill="auto"/>
            <w:noWrap/>
            <w:vAlign w:val="center"/>
            <w:hideMark/>
          </w:tcPr>
          <w:p w14:paraId="53A91D1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19CE3AC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17B2817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31.496.352,70</w:t>
            </w:r>
          </w:p>
        </w:tc>
      </w:tr>
      <w:tr w:rsidR="003E19A2" w:rsidRPr="0069558B" w14:paraId="0CD34A4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E30488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N_75</w:t>
            </w:r>
          </w:p>
        </w:tc>
        <w:tc>
          <w:tcPr>
            <w:tcW w:w="3969" w:type="dxa"/>
            <w:tcBorders>
              <w:top w:val="nil"/>
              <w:left w:val="nil"/>
              <w:bottom w:val="single" w:sz="4" w:space="0" w:color="auto"/>
              <w:right w:val="single" w:sz="4" w:space="0" w:color="auto"/>
            </w:tcBorders>
            <w:shd w:val="clear" w:color="auto" w:fill="auto"/>
            <w:vAlign w:val="center"/>
            <w:hideMark/>
          </w:tcPr>
          <w:p w14:paraId="0D5B42E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Los Vilos 220-&gt;Las Palmas 220</w:t>
            </w:r>
          </w:p>
        </w:tc>
        <w:tc>
          <w:tcPr>
            <w:tcW w:w="1134" w:type="dxa"/>
            <w:tcBorders>
              <w:top w:val="nil"/>
              <w:left w:val="nil"/>
              <w:bottom w:val="single" w:sz="4" w:space="0" w:color="auto"/>
              <w:right w:val="single" w:sz="4" w:space="0" w:color="auto"/>
            </w:tcBorders>
            <w:shd w:val="clear" w:color="auto" w:fill="auto"/>
            <w:noWrap/>
            <w:vAlign w:val="center"/>
            <w:hideMark/>
          </w:tcPr>
          <w:p w14:paraId="0121716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B094B9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EA50C3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21.141.022,72</w:t>
            </w:r>
          </w:p>
        </w:tc>
      </w:tr>
      <w:tr w:rsidR="003E19A2" w:rsidRPr="0069558B" w14:paraId="709131C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0D4DED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N_76</w:t>
            </w:r>
          </w:p>
        </w:tc>
        <w:tc>
          <w:tcPr>
            <w:tcW w:w="3969" w:type="dxa"/>
            <w:tcBorders>
              <w:top w:val="nil"/>
              <w:left w:val="nil"/>
              <w:bottom w:val="single" w:sz="4" w:space="0" w:color="auto"/>
              <w:right w:val="single" w:sz="4" w:space="0" w:color="auto"/>
            </w:tcBorders>
            <w:shd w:val="clear" w:color="auto" w:fill="auto"/>
            <w:vAlign w:val="center"/>
            <w:hideMark/>
          </w:tcPr>
          <w:p w14:paraId="217559D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Los Vilos 220-&gt;Nogales 220</w:t>
            </w:r>
          </w:p>
        </w:tc>
        <w:tc>
          <w:tcPr>
            <w:tcW w:w="1134" w:type="dxa"/>
            <w:tcBorders>
              <w:top w:val="nil"/>
              <w:left w:val="nil"/>
              <w:bottom w:val="single" w:sz="4" w:space="0" w:color="auto"/>
              <w:right w:val="single" w:sz="4" w:space="0" w:color="auto"/>
            </w:tcBorders>
            <w:shd w:val="clear" w:color="auto" w:fill="auto"/>
            <w:noWrap/>
            <w:vAlign w:val="center"/>
            <w:hideMark/>
          </w:tcPr>
          <w:p w14:paraId="2E04330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2261D3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B3B64A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13.891.559,64</w:t>
            </w:r>
          </w:p>
        </w:tc>
      </w:tr>
      <w:tr w:rsidR="003E19A2" w:rsidRPr="0069558B" w14:paraId="428B721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D30B58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N_77</w:t>
            </w:r>
          </w:p>
        </w:tc>
        <w:tc>
          <w:tcPr>
            <w:tcW w:w="3969" w:type="dxa"/>
            <w:tcBorders>
              <w:top w:val="nil"/>
              <w:left w:val="nil"/>
              <w:bottom w:val="single" w:sz="4" w:space="0" w:color="auto"/>
              <w:right w:val="single" w:sz="4" w:space="0" w:color="auto"/>
            </w:tcBorders>
            <w:shd w:val="clear" w:color="auto" w:fill="auto"/>
            <w:vAlign w:val="center"/>
            <w:hideMark/>
          </w:tcPr>
          <w:p w14:paraId="20B1DD0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Los Vilos 220-&gt;Tap Doña Carmen 220</w:t>
            </w:r>
          </w:p>
        </w:tc>
        <w:tc>
          <w:tcPr>
            <w:tcW w:w="1134" w:type="dxa"/>
            <w:tcBorders>
              <w:top w:val="nil"/>
              <w:left w:val="nil"/>
              <w:bottom w:val="single" w:sz="4" w:space="0" w:color="auto"/>
              <w:right w:val="single" w:sz="4" w:space="0" w:color="auto"/>
            </w:tcBorders>
            <w:shd w:val="clear" w:color="auto" w:fill="auto"/>
            <w:noWrap/>
            <w:vAlign w:val="center"/>
            <w:hideMark/>
          </w:tcPr>
          <w:p w14:paraId="62794A9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22F055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0EC412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9.293.621,42</w:t>
            </w:r>
          </w:p>
        </w:tc>
      </w:tr>
      <w:tr w:rsidR="003E19A2" w:rsidRPr="0069558B" w14:paraId="7819E84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AA5CEA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N_78</w:t>
            </w:r>
          </w:p>
        </w:tc>
        <w:tc>
          <w:tcPr>
            <w:tcW w:w="3969" w:type="dxa"/>
            <w:tcBorders>
              <w:top w:val="nil"/>
              <w:left w:val="nil"/>
              <w:bottom w:val="single" w:sz="4" w:space="0" w:color="auto"/>
              <w:right w:val="single" w:sz="4" w:space="0" w:color="auto"/>
            </w:tcBorders>
            <w:shd w:val="clear" w:color="auto" w:fill="auto"/>
            <w:vAlign w:val="center"/>
            <w:hideMark/>
          </w:tcPr>
          <w:p w14:paraId="45F5A9C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Maitencillo 220-&gt;Algarrobal 220</w:t>
            </w:r>
          </w:p>
        </w:tc>
        <w:tc>
          <w:tcPr>
            <w:tcW w:w="1134" w:type="dxa"/>
            <w:tcBorders>
              <w:top w:val="nil"/>
              <w:left w:val="nil"/>
              <w:bottom w:val="single" w:sz="4" w:space="0" w:color="auto"/>
              <w:right w:val="single" w:sz="4" w:space="0" w:color="auto"/>
            </w:tcBorders>
            <w:shd w:val="clear" w:color="auto" w:fill="auto"/>
            <w:noWrap/>
            <w:vAlign w:val="center"/>
            <w:hideMark/>
          </w:tcPr>
          <w:p w14:paraId="7C7EC0F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5BD616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6D4E838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28.011.190,10</w:t>
            </w:r>
          </w:p>
        </w:tc>
      </w:tr>
      <w:tr w:rsidR="003E19A2" w:rsidRPr="0069558B" w14:paraId="490B7AA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4F1CCC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N_79</w:t>
            </w:r>
          </w:p>
        </w:tc>
        <w:tc>
          <w:tcPr>
            <w:tcW w:w="3969" w:type="dxa"/>
            <w:tcBorders>
              <w:top w:val="nil"/>
              <w:left w:val="nil"/>
              <w:bottom w:val="single" w:sz="4" w:space="0" w:color="auto"/>
              <w:right w:val="single" w:sz="4" w:space="0" w:color="auto"/>
            </w:tcBorders>
            <w:shd w:val="clear" w:color="auto" w:fill="auto"/>
            <w:vAlign w:val="center"/>
            <w:hideMark/>
          </w:tcPr>
          <w:p w14:paraId="1B49E36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Maitencillo 220-&gt;Don Hector 220</w:t>
            </w:r>
          </w:p>
        </w:tc>
        <w:tc>
          <w:tcPr>
            <w:tcW w:w="1134" w:type="dxa"/>
            <w:tcBorders>
              <w:top w:val="nil"/>
              <w:left w:val="nil"/>
              <w:bottom w:val="single" w:sz="4" w:space="0" w:color="auto"/>
              <w:right w:val="single" w:sz="4" w:space="0" w:color="auto"/>
            </w:tcBorders>
            <w:shd w:val="clear" w:color="auto" w:fill="auto"/>
            <w:noWrap/>
            <w:vAlign w:val="center"/>
            <w:hideMark/>
          </w:tcPr>
          <w:p w14:paraId="7CA5E2F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30059C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F80BE2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8.914.631,41</w:t>
            </w:r>
          </w:p>
        </w:tc>
      </w:tr>
      <w:tr w:rsidR="003E19A2" w:rsidRPr="0069558B" w14:paraId="13C31E5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86CD75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N_80</w:t>
            </w:r>
          </w:p>
        </w:tc>
        <w:tc>
          <w:tcPr>
            <w:tcW w:w="3969" w:type="dxa"/>
            <w:tcBorders>
              <w:top w:val="nil"/>
              <w:left w:val="nil"/>
              <w:bottom w:val="single" w:sz="4" w:space="0" w:color="auto"/>
              <w:right w:val="single" w:sz="4" w:space="0" w:color="auto"/>
            </w:tcBorders>
            <w:shd w:val="clear" w:color="auto" w:fill="auto"/>
            <w:vAlign w:val="center"/>
            <w:hideMark/>
          </w:tcPr>
          <w:p w14:paraId="628D344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Maitencillo 220-&gt;Tap El Romero 220</w:t>
            </w:r>
          </w:p>
        </w:tc>
        <w:tc>
          <w:tcPr>
            <w:tcW w:w="1134" w:type="dxa"/>
            <w:tcBorders>
              <w:top w:val="nil"/>
              <w:left w:val="nil"/>
              <w:bottom w:val="single" w:sz="4" w:space="0" w:color="auto"/>
              <w:right w:val="single" w:sz="4" w:space="0" w:color="auto"/>
            </w:tcBorders>
            <w:shd w:val="clear" w:color="auto" w:fill="auto"/>
            <w:noWrap/>
            <w:vAlign w:val="center"/>
            <w:hideMark/>
          </w:tcPr>
          <w:p w14:paraId="5E1BCA0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B21815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F6D00C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8.189.813,01</w:t>
            </w:r>
          </w:p>
        </w:tc>
      </w:tr>
      <w:tr w:rsidR="003E19A2" w:rsidRPr="0069558B" w14:paraId="3E7E963D"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70DAC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N_81</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786144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Maria Elena 220-&gt;Kimal 220</w:t>
            </w:r>
          </w:p>
        </w:tc>
        <w:tc>
          <w:tcPr>
            <w:tcW w:w="1134" w:type="dxa"/>
            <w:tcBorders>
              <w:top w:val="nil"/>
              <w:left w:val="nil"/>
              <w:bottom w:val="single" w:sz="4" w:space="0" w:color="auto"/>
              <w:right w:val="single" w:sz="4" w:space="0" w:color="auto"/>
            </w:tcBorders>
            <w:shd w:val="clear" w:color="auto" w:fill="auto"/>
            <w:noWrap/>
            <w:vAlign w:val="center"/>
            <w:hideMark/>
          </w:tcPr>
          <w:p w14:paraId="1DC5D28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92A1E8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6FE1A4D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2.501.396,99</w:t>
            </w:r>
          </w:p>
        </w:tc>
      </w:tr>
      <w:tr w:rsidR="003E19A2" w:rsidRPr="0069558B" w14:paraId="5D669209"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95687F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7ABC8F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044A176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P_480</w:t>
            </w:r>
          </w:p>
        </w:tc>
        <w:tc>
          <w:tcPr>
            <w:tcW w:w="3686" w:type="dxa"/>
            <w:tcBorders>
              <w:top w:val="nil"/>
              <w:left w:val="nil"/>
              <w:bottom w:val="single" w:sz="4" w:space="0" w:color="auto"/>
              <w:right w:val="single" w:sz="4" w:space="0" w:color="auto"/>
            </w:tcBorders>
            <w:shd w:val="clear" w:color="auto" w:fill="auto"/>
            <w:noWrap/>
            <w:vAlign w:val="center"/>
            <w:hideMark/>
          </w:tcPr>
          <w:p w14:paraId="296FC80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SATT</w:t>
            </w:r>
          </w:p>
        </w:tc>
        <w:tc>
          <w:tcPr>
            <w:tcW w:w="2268" w:type="dxa"/>
            <w:tcBorders>
              <w:top w:val="nil"/>
              <w:left w:val="nil"/>
              <w:bottom w:val="single" w:sz="4" w:space="0" w:color="auto"/>
              <w:right w:val="single" w:sz="4" w:space="0" w:color="auto"/>
            </w:tcBorders>
            <w:shd w:val="clear" w:color="auto" w:fill="auto"/>
            <w:noWrap/>
            <w:vAlign w:val="center"/>
            <w:hideMark/>
          </w:tcPr>
          <w:p w14:paraId="405A25B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586.386,29</w:t>
            </w:r>
          </w:p>
        </w:tc>
      </w:tr>
      <w:tr w:rsidR="003E19A2" w:rsidRPr="0069558B" w14:paraId="6EE9921C"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FD3CF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N_82</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8186D1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Maria Elena 220-&gt;Quillagua 220</w:t>
            </w:r>
          </w:p>
        </w:tc>
        <w:tc>
          <w:tcPr>
            <w:tcW w:w="1134" w:type="dxa"/>
            <w:tcBorders>
              <w:top w:val="nil"/>
              <w:left w:val="nil"/>
              <w:bottom w:val="single" w:sz="4" w:space="0" w:color="auto"/>
              <w:right w:val="single" w:sz="4" w:space="0" w:color="auto"/>
            </w:tcBorders>
            <w:shd w:val="clear" w:color="auto" w:fill="auto"/>
            <w:noWrap/>
            <w:vAlign w:val="center"/>
            <w:hideMark/>
          </w:tcPr>
          <w:p w14:paraId="2C1E601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458ACB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8E7C7D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17.899.212,51</w:t>
            </w:r>
          </w:p>
        </w:tc>
      </w:tr>
      <w:tr w:rsidR="003E19A2" w:rsidRPr="0069558B" w14:paraId="74B684E9"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1973FA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2727AE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2CE2E74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P_480</w:t>
            </w:r>
          </w:p>
        </w:tc>
        <w:tc>
          <w:tcPr>
            <w:tcW w:w="3686" w:type="dxa"/>
            <w:tcBorders>
              <w:top w:val="nil"/>
              <w:left w:val="nil"/>
              <w:bottom w:val="single" w:sz="4" w:space="0" w:color="auto"/>
              <w:right w:val="single" w:sz="4" w:space="0" w:color="auto"/>
            </w:tcBorders>
            <w:shd w:val="clear" w:color="auto" w:fill="auto"/>
            <w:noWrap/>
            <w:vAlign w:val="center"/>
            <w:hideMark/>
          </w:tcPr>
          <w:p w14:paraId="17D09C7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SATT</w:t>
            </w:r>
          </w:p>
        </w:tc>
        <w:tc>
          <w:tcPr>
            <w:tcW w:w="2268" w:type="dxa"/>
            <w:tcBorders>
              <w:top w:val="nil"/>
              <w:left w:val="nil"/>
              <w:bottom w:val="single" w:sz="4" w:space="0" w:color="auto"/>
              <w:right w:val="single" w:sz="4" w:space="0" w:color="auto"/>
            </w:tcBorders>
            <w:shd w:val="clear" w:color="auto" w:fill="auto"/>
            <w:noWrap/>
            <w:vAlign w:val="center"/>
            <w:hideMark/>
          </w:tcPr>
          <w:p w14:paraId="390E4D4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586.386,29</w:t>
            </w:r>
          </w:p>
        </w:tc>
      </w:tr>
      <w:tr w:rsidR="003E19A2" w:rsidRPr="0069558B" w14:paraId="355A9F92"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915D7B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601E8C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424C6EA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P_123</w:t>
            </w:r>
          </w:p>
        </w:tc>
        <w:tc>
          <w:tcPr>
            <w:tcW w:w="3686" w:type="dxa"/>
            <w:tcBorders>
              <w:top w:val="nil"/>
              <w:left w:val="nil"/>
              <w:bottom w:val="single" w:sz="4" w:space="0" w:color="auto"/>
              <w:right w:val="single" w:sz="4" w:space="0" w:color="auto"/>
            </w:tcBorders>
            <w:shd w:val="clear" w:color="auto" w:fill="auto"/>
            <w:noWrap/>
            <w:vAlign w:val="center"/>
            <w:hideMark/>
          </w:tcPr>
          <w:p w14:paraId="093D5AB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FRONTEL</w:t>
            </w:r>
          </w:p>
        </w:tc>
        <w:tc>
          <w:tcPr>
            <w:tcW w:w="2268" w:type="dxa"/>
            <w:tcBorders>
              <w:top w:val="nil"/>
              <w:left w:val="nil"/>
              <w:bottom w:val="single" w:sz="4" w:space="0" w:color="auto"/>
              <w:right w:val="single" w:sz="4" w:space="0" w:color="auto"/>
            </w:tcBorders>
            <w:shd w:val="clear" w:color="auto" w:fill="auto"/>
            <w:noWrap/>
            <w:vAlign w:val="center"/>
            <w:hideMark/>
          </w:tcPr>
          <w:p w14:paraId="11CE608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21.291,48</w:t>
            </w:r>
          </w:p>
        </w:tc>
      </w:tr>
      <w:tr w:rsidR="003E19A2" w:rsidRPr="0069558B" w14:paraId="07F5821E"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A86D2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N_83</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870EF4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Melipulli 220-&gt;Pargua 220</w:t>
            </w:r>
          </w:p>
        </w:tc>
        <w:tc>
          <w:tcPr>
            <w:tcW w:w="1134" w:type="dxa"/>
            <w:tcBorders>
              <w:top w:val="nil"/>
              <w:left w:val="nil"/>
              <w:bottom w:val="single" w:sz="4" w:space="0" w:color="auto"/>
              <w:right w:val="single" w:sz="4" w:space="0" w:color="auto"/>
            </w:tcBorders>
            <w:shd w:val="clear" w:color="auto" w:fill="auto"/>
            <w:noWrap/>
            <w:vAlign w:val="center"/>
            <w:hideMark/>
          </w:tcPr>
          <w:p w14:paraId="6F9741F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P_100</w:t>
            </w:r>
          </w:p>
        </w:tc>
        <w:tc>
          <w:tcPr>
            <w:tcW w:w="3686" w:type="dxa"/>
            <w:tcBorders>
              <w:top w:val="nil"/>
              <w:left w:val="nil"/>
              <w:bottom w:val="single" w:sz="4" w:space="0" w:color="auto"/>
              <w:right w:val="single" w:sz="4" w:space="0" w:color="auto"/>
            </w:tcBorders>
            <w:shd w:val="clear" w:color="auto" w:fill="auto"/>
            <w:noWrap/>
            <w:vAlign w:val="center"/>
            <w:hideMark/>
          </w:tcPr>
          <w:p w14:paraId="18CB7BA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STS</w:t>
            </w:r>
          </w:p>
        </w:tc>
        <w:tc>
          <w:tcPr>
            <w:tcW w:w="2268" w:type="dxa"/>
            <w:tcBorders>
              <w:top w:val="nil"/>
              <w:left w:val="nil"/>
              <w:bottom w:val="single" w:sz="4" w:space="0" w:color="auto"/>
              <w:right w:val="single" w:sz="4" w:space="0" w:color="auto"/>
            </w:tcBorders>
            <w:shd w:val="clear" w:color="auto" w:fill="auto"/>
            <w:noWrap/>
            <w:vAlign w:val="center"/>
            <w:hideMark/>
          </w:tcPr>
          <w:p w14:paraId="5153692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13.788.317,81</w:t>
            </w:r>
          </w:p>
        </w:tc>
      </w:tr>
      <w:tr w:rsidR="003E19A2" w:rsidRPr="0069558B" w14:paraId="3100A255"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708D6BE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C72315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43DB08E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P_122</w:t>
            </w:r>
          </w:p>
        </w:tc>
        <w:tc>
          <w:tcPr>
            <w:tcW w:w="3686" w:type="dxa"/>
            <w:tcBorders>
              <w:top w:val="nil"/>
              <w:left w:val="nil"/>
              <w:bottom w:val="single" w:sz="4" w:space="0" w:color="auto"/>
              <w:right w:val="single" w:sz="4" w:space="0" w:color="auto"/>
            </w:tcBorders>
            <w:shd w:val="clear" w:color="auto" w:fill="auto"/>
            <w:noWrap/>
            <w:vAlign w:val="center"/>
            <w:hideMark/>
          </w:tcPr>
          <w:p w14:paraId="44F1785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SAESA</w:t>
            </w:r>
          </w:p>
        </w:tc>
        <w:tc>
          <w:tcPr>
            <w:tcW w:w="2268" w:type="dxa"/>
            <w:tcBorders>
              <w:top w:val="nil"/>
              <w:left w:val="nil"/>
              <w:bottom w:val="single" w:sz="4" w:space="0" w:color="auto"/>
              <w:right w:val="single" w:sz="4" w:space="0" w:color="auto"/>
            </w:tcBorders>
            <w:shd w:val="clear" w:color="auto" w:fill="auto"/>
            <w:noWrap/>
            <w:vAlign w:val="center"/>
            <w:hideMark/>
          </w:tcPr>
          <w:p w14:paraId="7EA23CBA"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2.991.168,31</w:t>
            </w:r>
          </w:p>
        </w:tc>
      </w:tr>
      <w:tr w:rsidR="003E19A2" w:rsidRPr="0069558B" w14:paraId="53C3C66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0606CF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N_84</w:t>
            </w:r>
          </w:p>
        </w:tc>
        <w:tc>
          <w:tcPr>
            <w:tcW w:w="3969" w:type="dxa"/>
            <w:tcBorders>
              <w:top w:val="nil"/>
              <w:left w:val="nil"/>
              <w:bottom w:val="single" w:sz="4" w:space="0" w:color="auto"/>
              <w:right w:val="single" w:sz="4" w:space="0" w:color="auto"/>
            </w:tcBorders>
            <w:shd w:val="clear" w:color="auto" w:fill="auto"/>
            <w:vAlign w:val="center"/>
            <w:hideMark/>
          </w:tcPr>
          <w:p w14:paraId="0E415AF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Melipulli 220-&gt;Puerto Montt 220</w:t>
            </w:r>
          </w:p>
        </w:tc>
        <w:tc>
          <w:tcPr>
            <w:tcW w:w="1134" w:type="dxa"/>
            <w:tcBorders>
              <w:top w:val="nil"/>
              <w:left w:val="nil"/>
              <w:bottom w:val="single" w:sz="4" w:space="0" w:color="auto"/>
              <w:right w:val="single" w:sz="4" w:space="0" w:color="auto"/>
            </w:tcBorders>
            <w:shd w:val="clear" w:color="auto" w:fill="auto"/>
            <w:noWrap/>
            <w:vAlign w:val="center"/>
            <w:hideMark/>
          </w:tcPr>
          <w:p w14:paraId="7C4C36C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P_100</w:t>
            </w:r>
          </w:p>
        </w:tc>
        <w:tc>
          <w:tcPr>
            <w:tcW w:w="3686" w:type="dxa"/>
            <w:tcBorders>
              <w:top w:val="nil"/>
              <w:left w:val="nil"/>
              <w:bottom w:val="single" w:sz="4" w:space="0" w:color="auto"/>
              <w:right w:val="single" w:sz="4" w:space="0" w:color="auto"/>
            </w:tcBorders>
            <w:shd w:val="clear" w:color="auto" w:fill="auto"/>
            <w:noWrap/>
            <w:vAlign w:val="center"/>
            <w:hideMark/>
          </w:tcPr>
          <w:p w14:paraId="12DF936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STS</w:t>
            </w:r>
          </w:p>
        </w:tc>
        <w:tc>
          <w:tcPr>
            <w:tcW w:w="2268" w:type="dxa"/>
            <w:tcBorders>
              <w:top w:val="nil"/>
              <w:left w:val="nil"/>
              <w:bottom w:val="single" w:sz="4" w:space="0" w:color="auto"/>
              <w:right w:val="single" w:sz="4" w:space="0" w:color="auto"/>
            </w:tcBorders>
            <w:shd w:val="clear" w:color="auto" w:fill="auto"/>
            <w:noWrap/>
            <w:vAlign w:val="center"/>
            <w:hideMark/>
          </w:tcPr>
          <w:p w14:paraId="26277BC4"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145.536,88</w:t>
            </w:r>
          </w:p>
        </w:tc>
      </w:tr>
      <w:tr w:rsidR="003E19A2" w:rsidRPr="0069558B" w14:paraId="78CFB2F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89F19B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N_85</w:t>
            </w:r>
          </w:p>
        </w:tc>
        <w:tc>
          <w:tcPr>
            <w:tcW w:w="3969" w:type="dxa"/>
            <w:tcBorders>
              <w:top w:val="nil"/>
              <w:left w:val="nil"/>
              <w:bottom w:val="single" w:sz="4" w:space="0" w:color="auto"/>
              <w:right w:val="single" w:sz="4" w:space="0" w:color="auto"/>
            </w:tcBorders>
            <w:shd w:val="clear" w:color="auto" w:fill="auto"/>
            <w:vAlign w:val="center"/>
            <w:hideMark/>
          </w:tcPr>
          <w:p w14:paraId="2AAB239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Miraje 220-&gt;Atacama 220</w:t>
            </w:r>
          </w:p>
        </w:tc>
        <w:tc>
          <w:tcPr>
            <w:tcW w:w="1134" w:type="dxa"/>
            <w:tcBorders>
              <w:top w:val="nil"/>
              <w:left w:val="nil"/>
              <w:bottom w:val="single" w:sz="4" w:space="0" w:color="auto"/>
              <w:right w:val="single" w:sz="4" w:space="0" w:color="auto"/>
            </w:tcBorders>
            <w:shd w:val="clear" w:color="auto" w:fill="auto"/>
            <w:noWrap/>
            <w:vAlign w:val="center"/>
            <w:hideMark/>
          </w:tcPr>
          <w:p w14:paraId="0281B0C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467700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F40823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32.710.235,45</w:t>
            </w:r>
          </w:p>
        </w:tc>
      </w:tr>
      <w:tr w:rsidR="003E19A2" w:rsidRPr="0069558B" w14:paraId="3AB6E0D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311C92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N_86</w:t>
            </w:r>
          </w:p>
        </w:tc>
        <w:tc>
          <w:tcPr>
            <w:tcW w:w="3969" w:type="dxa"/>
            <w:tcBorders>
              <w:top w:val="nil"/>
              <w:left w:val="nil"/>
              <w:bottom w:val="single" w:sz="4" w:space="0" w:color="auto"/>
              <w:right w:val="single" w:sz="4" w:space="0" w:color="auto"/>
            </w:tcBorders>
            <w:shd w:val="clear" w:color="auto" w:fill="auto"/>
            <w:vAlign w:val="center"/>
            <w:hideMark/>
          </w:tcPr>
          <w:p w14:paraId="6C5DECB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Miraje 220-&gt;Tap Enlace 220</w:t>
            </w:r>
          </w:p>
        </w:tc>
        <w:tc>
          <w:tcPr>
            <w:tcW w:w="1134" w:type="dxa"/>
            <w:tcBorders>
              <w:top w:val="nil"/>
              <w:left w:val="nil"/>
              <w:bottom w:val="single" w:sz="4" w:space="0" w:color="auto"/>
              <w:right w:val="single" w:sz="4" w:space="0" w:color="auto"/>
            </w:tcBorders>
            <w:shd w:val="clear" w:color="auto" w:fill="auto"/>
            <w:noWrap/>
            <w:vAlign w:val="center"/>
            <w:hideMark/>
          </w:tcPr>
          <w:p w14:paraId="6A4E769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5F27E6C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8CE3AEA"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9.234.421,04</w:t>
            </w:r>
          </w:p>
        </w:tc>
      </w:tr>
      <w:tr w:rsidR="003E19A2" w:rsidRPr="0069558B" w14:paraId="0D8E4FA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4DBD2E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N_87</w:t>
            </w:r>
          </w:p>
        </w:tc>
        <w:tc>
          <w:tcPr>
            <w:tcW w:w="3969" w:type="dxa"/>
            <w:tcBorders>
              <w:top w:val="nil"/>
              <w:left w:val="nil"/>
              <w:bottom w:val="single" w:sz="4" w:space="0" w:color="auto"/>
              <w:right w:val="single" w:sz="4" w:space="0" w:color="auto"/>
            </w:tcBorders>
            <w:shd w:val="clear" w:color="auto" w:fill="auto"/>
            <w:vAlign w:val="center"/>
            <w:hideMark/>
          </w:tcPr>
          <w:p w14:paraId="5035952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Mulchen 220-&gt;Rio Malleco 220</w:t>
            </w:r>
          </w:p>
        </w:tc>
        <w:tc>
          <w:tcPr>
            <w:tcW w:w="1134" w:type="dxa"/>
            <w:tcBorders>
              <w:top w:val="nil"/>
              <w:left w:val="nil"/>
              <w:bottom w:val="single" w:sz="4" w:space="0" w:color="auto"/>
              <w:right w:val="single" w:sz="4" w:space="0" w:color="auto"/>
            </w:tcBorders>
            <w:shd w:val="clear" w:color="auto" w:fill="auto"/>
            <w:noWrap/>
            <w:vAlign w:val="center"/>
            <w:hideMark/>
          </w:tcPr>
          <w:p w14:paraId="32A7880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601966D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498BA6E4"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709.107,30</w:t>
            </w:r>
          </w:p>
        </w:tc>
      </w:tr>
      <w:tr w:rsidR="003E19A2" w:rsidRPr="0069558B" w14:paraId="1D7FE4A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79340F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N_88</w:t>
            </w:r>
          </w:p>
        </w:tc>
        <w:tc>
          <w:tcPr>
            <w:tcW w:w="3969" w:type="dxa"/>
            <w:tcBorders>
              <w:top w:val="nil"/>
              <w:left w:val="nil"/>
              <w:bottom w:val="single" w:sz="4" w:space="0" w:color="auto"/>
              <w:right w:val="single" w:sz="4" w:space="0" w:color="auto"/>
            </w:tcBorders>
            <w:shd w:val="clear" w:color="auto" w:fill="auto"/>
            <w:vAlign w:val="center"/>
            <w:hideMark/>
          </w:tcPr>
          <w:p w14:paraId="5730288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Nogales 220-&gt;Quillota 220</w:t>
            </w:r>
          </w:p>
        </w:tc>
        <w:tc>
          <w:tcPr>
            <w:tcW w:w="1134" w:type="dxa"/>
            <w:tcBorders>
              <w:top w:val="nil"/>
              <w:left w:val="nil"/>
              <w:bottom w:val="single" w:sz="4" w:space="0" w:color="auto"/>
              <w:right w:val="single" w:sz="4" w:space="0" w:color="auto"/>
            </w:tcBorders>
            <w:shd w:val="clear" w:color="auto" w:fill="auto"/>
            <w:noWrap/>
            <w:vAlign w:val="center"/>
            <w:hideMark/>
          </w:tcPr>
          <w:p w14:paraId="6D8EE8D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E86F28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A139D2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9.429.460,50</w:t>
            </w:r>
          </w:p>
        </w:tc>
      </w:tr>
      <w:tr w:rsidR="003E19A2" w:rsidRPr="0069558B" w14:paraId="5E79719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731F6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N_90</w:t>
            </w:r>
          </w:p>
        </w:tc>
        <w:tc>
          <w:tcPr>
            <w:tcW w:w="3969" w:type="dxa"/>
            <w:tcBorders>
              <w:top w:val="nil"/>
              <w:left w:val="nil"/>
              <w:bottom w:val="single" w:sz="4" w:space="0" w:color="auto"/>
              <w:right w:val="single" w:sz="4" w:space="0" w:color="auto"/>
            </w:tcBorders>
            <w:shd w:val="clear" w:color="auto" w:fill="auto"/>
            <w:vAlign w:val="center"/>
            <w:hideMark/>
          </w:tcPr>
          <w:p w14:paraId="3188724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Nogales 220-&gt;Tap Doña Carmen 220</w:t>
            </w:r>
          </w:p>
        </w:tc>
        <w:tc>
          <w:tcPr>
            <w:tcW w:w="1134" w:type="dxa"/>
            <w:tcBorders>
              <w:top w:val="nil"/>
              <w:left w:val="nil"/>
              <w:bottom w:val="single" w:sz="4" w:space="0" w:color="auto"/>
              <w:right w:val="single" w:sz="4" w:space="0" w:color="auto"/>
            </w:tcBorders>
            <w:shd w:val="clear" w:color="auto" w:fill="auto"/>
            <w:noWrap/>
            <w:vAlign w:val="center"/>
            <w:hideMark/>
          </w:tcPr>
          <w:p w14:paraId="5A941E8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F63DEA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560D28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4.716.612,08</w:t>
            </w:r>
          </w:p>
        </w:tc>
      </w:tr>
      <w:tr w:rsidR="003E19A2" w:rsidRPr="0069558B" w14:paraId="1BBEE32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408757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N_91</w:t>
            </w:r>
          </w:p>
        </w:tc>
        <w:tc>
          <w:tcPr>
            <w:tcW w:w="3969" w:type="dxa"/>
            <w:tcBorders>
              <w:top w:val="nil"/>
              <w:left w:val="nil"/>
              <w:bottom w:val="single" w:sz="4" w:space="0" w:color="auto"/>
              <w:right w:val="single" w:sz="4" w:space="0" w:color="auto"/>
            </w:tcBorders>
            <w:shd w:val="clear" w:color="auto" w:fill="auto"/>
            <w:vAlign w:val="center"/>
            <w:hideMark/>
          </w:tcPr>
          <w:p w14:paraId="038E4EF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Alto Melipilla 220-&gt;Alto Melipilla 220</w:t>
            </w:r>
          </w:p>
        </w:tc>
        <w:tc>
          <w:tcPr>
            <w:tcW w:w="1134" w:type="dxa"/>
            <w:tcBorders>
              <w:top w:val="nil"/>
              <w:left w:val="nil"/>
              <w:bottom w:val="single" w:sz="4" w:space="0" w:color="auto"/>
              <w:right w:val="single" w:sz="4" w:space="0" w:color="auto"/>
            </w:tcBorders>
            <w:shd w:val="clear" w:color="auto" w:fill="auto"/>
            <w:noWrap/>
            <w:vAlign w:val="center"/>
            <w:hideMark/>
          </w:tcPr>
          <w:p w14:paraId="0578F8C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P_113</w:t>
            </w:r>
          </w:p>
        </w:tc>
        <w:tc>
          <w:tcPr>
            <w:tcW w:w="3686" w:type="dxa"/>
            <w:tcBorders>
              <w:top w:val="nil"/>
              <w:left w:val="nil"/>
              <w:bottom w:val="single" w:sz="4" w:space="0" w:color="auto"/>
              <w:right w:val="single" w:sz="4" w:space="0" w:color="auto"/>
            </w:tcBorders>
            <w:shd w:val="clear" w:color="auto" w:fill="auto"/>
            <w:noWrap/>
            <w:vAlign w:val="center"/>
            <w:hideMark/>
          </w:tcPr>
          <w:p w14:paraId="0CECE55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CHILQUINTA ENERGIA</w:t>
            </w:r>
          </w:p>
        </w:tc>
        <w:tc>
          <w:tcPr>
            <w:tcW w:w="2268" w:type="dxa"/>
            <w:tcBorders>
              <w:top w:val="nil"/>
              <w:left w:val="nil"/>
              <w:bottom w:val="single" w:sz="4" w:space="0" w:color="auto"/>
              <w:right w:val="single" w:sz="4" w:space="0" w:color="auto"/>
            </w:tcBorders>
            <w:shd w:val="clear" w:color="auto" w:fill="auto"/>
            <w:noWrap/>
            <w:vAlign w:val="center"/>
            <w:hideMark/>
          </w:tcPr>
          <w:p w14:paraId="772684B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1.132.749,92</w:t>
            </w:r>
          </w:p>
        </w:tc>
      </w:tr>
      <w:tr w:rsidR="003E19A2" w:rsidRPr="0069558B" w14:paraId="4B02763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51C6A1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N_92</w:t>
            </w:r>
          </w:p>
        </w:tc>
        <w:tc>
          <w:tcPr>
            <w:tcW w:w="3969" w:type="dxa"/>
            <w:tcBorders>
              <w:top w:val="nil"/>
              <w:left w:val="nil"/>
              <w:bottom w:val="single" w:sz="4" w:space="0" w:color="auto"/>
              <w:right w:val="single" w:sz="4" w:space="0" w:color="auto"/>
            </w:tcBorders>
            <w:shd w:val="clear" w:color="auto" w:fill="auto"/>
            <w:vAlign w:val="center"/>
            <w:hideMark/>
          </w:tcPr>
          <w:p w14:paraId="2E1ECCE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Alto Melipilla 220-&gt;Rapel 220</w:t>
            </w:r>
          </w:p>
        </w:tc>
        <w:tc>
          <w:tcPr>
            <w:tcW w:w="1134" w:type="dxa"/>
            <w:tcBorders>
              <w:top w:val="nil"/>
              <w:left w:val="nil"/>
              <w:bottom w:val="single" w:sz="4" w:space="0" w:color="auto"/>
              <w:right w:val="single" w:sz="4" w:space="0" w:color="auto"/>
            </w:tcBorders>
            <w:shd w:val="clear" w:color="auto" w:fill="auto"/>
            <w:noWrap/>
            <w:vAlign w:val="center"/>
            <w:hideMark/>
          </w:tcPr>
          <w:p w14:paraId="6EA8480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8E053F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6102FF2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15.916.695,89</w:t>
            </w:r>
          </w:p>
        </w:tc>
      </w:tr>
      <w:tr w:rsidR="003E19A2" w:rsidRPr="0069558B" w14:paraId="048CD422"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7F1FE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N_94</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7FF7088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Diego de Almagro 220-&gt;Diego de Almagro 220</w:t>
            </w:r>
          </w:p>
        </w:tc>
        <w:tc>
          <w:tcPr>
            <w:tcW w:w="1134" w:type="dxa"/>
            <w:tcBorders>
              <w:top w:val="nil"/>
              <w:left w:val="nil"/>
              <w:bottom w:val="single" w:sz="4" w:space="0" w:color="auto"/>
              <w:right w:val="single" w:sz="4" w:space="0" w:color="auto"/>
            </w:tcBorders>
            <w:shd w:val="clear" w:color="auto" w:fill="auto"/>
            <w:noWrap/>
            <w:vAlign w:val="center"/>
            <w:hideMark/>
          </w:tcPr>
          <w:p w14:paraId="430E09D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C9B5F6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FA6FEE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4.601.113,57</w:t>
            </w:r>
          </w:p>
        </w:tc>
      </w:tr>
      <w:tr w:rsidR="003E19A2" w:rsidRPr="0069558B" w14:paraId="5EE8AE8A"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9B2E06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4E570D1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7C9EA82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6DA6278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1A48336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2.241.732,98</w:t>
            </w:r>
          </w:p>
        </w:tc>
      </w:tr>
      <w:tr w:rsidR="003E19A2" w:rsidRPr="0069558B" w14:paraId="0995393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F7CBFD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N_95</w:t>
            </w:r>
          </w:p>
        </w:tc>
        <w:tc>
          <w:tcPr>
            <w:tcW w:w="3969" w:type="dxa"/>
            <w:tcBorders>
              <w:top w:val="nil"/>
              <w:left w:val="nil"/>
              <w:bottom w:val="single" w:sz="4" w:space="0" w:color="auto"/>
              <w:right w:val="single" w:sz="4" w:space="0" w:color="auto"/>
            </w:tcBorders>
            <w:shd w:val="clear" w:color="auto" w:fill="auto"/>
            <w:vAlign w:val="center"/>
            <w:hideMark/>
          </w:tcPr>
          <w:p w14:paraId="0FD8A7E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Lampa 220-&gt;Cerro Navia Desf 220</w:t>
            </w:r>
          </w:p>
        </w:tc>
        <w:tc>
          <w:tcPr>
            <w:tcW w:w="1134" w:type="dxa"/>
            <w:tcBorders>
              <w:top w:val="nil"/>
              <w:left w:val="nil"/>
              <w:bottom w:val="single" w:sz="4" w:space="0" w:color="auto"/>
              <w:right w:val="single" w:sz="4" w:space="0" w:color="auto"/>
            </w:tcBorders>
            <w:shd w:val="clear" w:color="auto" w:fill="auto"/>
            <w:noWrap/>
            <w:vAlign w:val="center"/>
            <w:hideMark/>
          </w:tcPr>
          <w:p w14:paraId="05ADE1A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AB64E8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EEF9E3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4.908.057,33</w:t>
            </w:r>
          </w:p>
        </w:tc>
      </w:tr>
      <w:tr w:rsidR="003E19A2" w:rsidRPr="0069558B" w14:paraId="6181644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CBFA96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N_96</w:t>
            </w:r>
          </w:p>
        </w:tc>
        <w:tc>
          <w:tcPr>
            <w:tcW w:w="3969" w:type="dxa"/>
            <w:tcBorders>
              <w:top w:val="nil"/>
              <w:left w:val="nil"/>
              <w:bottom w:val="single" w:sz="4" w:space="0" w:color="auto"/>
              <w:right w:val="single" w:sz="4" w:space="0" w:color="auto"/>
            </w:tcBorders>
            <w:shd w:val="clear" w:color="auto" w:fill="auto"/>
            <w:vAlign w:val="center"/>
            <w:hideMark/>
          </w:tcPr>
          <w:p w14:paraId="1FD37CE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Lampa 220-&gt;Polpaico 220</w:t>
            </w:r>
          </w:p>
        </w:tc>
        <w:tc>
          <w:tcPr>
            <w:tcW w:w="1134" w:type="dxa"/>
            <w:tcBorders>
              <w:top w:val="nil"/>
              <w:left w:val="nil"/>
              <w:bottom w:val="single" w:sz="4" w:space="0" w:color="auto"/>
              <w:right w:val="single" w:sz="4" w:space="0" w:color="auto"/>
            </w:tcBorders>
            <w:shd w:val="clear" w:color="auto" w:fill="auto"/>
            <w:noWrap/>
            <w:vAlign w:val="center"/>
            <w:hideMark/>
          </w:tcPr>
          <w:p w14:paraId="0F6BC6F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4BCE72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DFC421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5.983.881,59</w:t>
            </w:r>
          </w:p>
        </w:tc>
      </w:tr>
      <w:tr w:rsidR="003E19A2" w:rsidRPr="0069558B" w14:paraId="5DD650D8"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F0901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N_98</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16D3D6B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Pichirropulli 220-&gt;Nueva Valdivia 220</w:t>
            </w:r>
          </w:p>
        </w:tc>
        <w:tc>
          <w:tcPr>
            <w:tcW w:w="1134" w:type="dxa"/>
            <w:tcBorders>
              <w:top w:val="nil"/>
              <w:left w:val="nil"/>
              <w:bottom w:val="single" w:sz="4" w:space="0" w:color="auto"/>
              <w:right w:val="single" w:sz="4" w:space="0" w:color="auto"/>
            </w:tcBorders>
            <w:shd w:val="clear" w:color="auto" w:fill="auto"/>
            <w:noWrap/>
            <w:vAlign w:val="center"/>
            <w:hideMark/>
          </w:tcPr>
          <w:p w14:paraId="57DFD0B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057C25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1C7821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12.577.283,09</w:t>
            </w:r>
          </w:p>
        </w:tc>
      </w:tr>
      <w:tr w:rsidR="003E19A2" w:rsidRPr="0069558B" w14:paraId="126597E0"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01E859E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49CE68F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0E9E528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6AD0103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4B0B7A74"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726.909,72</w:t>
            </w:r>
          </w:p>
        </w:tc>
      </w:tr>
      <w:tr w:rsidR="003E19A2" w:rsidRPr="0069558B" w14:paraId="3933EA25"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E8016C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N_99</w:t>
            </w:r>
          </w:p>
        </w:tc>
        <w:tc>
          <w:tcPr>
            <w:tcW w:w="3969" w:type="dxa"/>
            <w:tcBorders>
              <w:top w:val="nil"/>
              <w:left w:val="nil"/>
              <w:bottom w:val="single" w:sz="4" w:space="0" w:color="auto"/>
              <w:right w:val="single" w:sz="4" w:space="0" w:color="auto"/>
            </w:tcBorders>
            <w:shd w:val="clear" w:color="auto" w:fill="auto"/>
            <w:vAlign w:val="center"/>
            <w:hideMark/>
          </w:tcPr>
          <w:p w14:paraId="72F6EF8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Puerto Montt 220-&gt;Frutillar Norte 220</w:t>
            </w:r>
          </w:p>
        </w:tc>
        <w:tc>
          <w:tcPr>
            <w:tcW w:w="1134" w:type="dxa"/>
            <w:tcBorders>
              <w:top w:val="nil"/>
              <w:left w:val="nil"/>
              <w:bottom w:val="single" w:sz="4" w:space="0" w:color="auto"/>
              <w:right w:val="single" w:sz="4" w:space="0" w:color="auto"/>
            </w:tcBorders>
            <w:shd w:val="clear" w:color="auto" w:fill="auto"/>
            <w:noWrap/>
            <w:vAlign w:val="center"/>
            <w:hideMark/>
          </w:tcPr>
          <w:p w14:paraId="064F744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12C425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9F93A0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5.889.878,07</w:t>
            </w:r>
          </w:p>
        </w:tc>
      </w:tr>
      <w:tr w:rsidR="003E19A2" w:rsidRPr="0069558B" w14:paraId="46F6D86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7AA71D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N_100</w:t>
            </w:r>
          </w:p>
        </w:tc>
        <w:tc>
          <w:tcPr>
            <w:tcW w:w="3969" w:type="dxa"/>
            <w:tcBorders>
              <w:top w:val="nil"/>
              <w:left w:val="nil"/>
              <w:bottom w:val="single" w:sz="4" w:space="0" w:color="auto"/>
              <w:right w:val="single" w:sz="4" w:space="0" w:color="auto"/>
            </w:tcBorders>
            <w:shd w:val="clear" w:color="auto" w:fill="auto"/>
            <w:vAlign w:val="center"/>
            <w:hideMark/>
          </w:tcPr>
          <w:p w14:paraId="00DE549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Puerto Montt 220-&gt;Llanquihue 220</w:t>
            </w:r>
          </w:p>
        </w:tc>
        <w:tc>
          <w:tcPr>
            <w:tcW w:w="1134" w:type="dxa"/>
            <w:tcBorders>
              <w:top w:val="nil"/>
              <w:left w:val="nil"/>
              <w:bottom w:val="single" w:sz="4" w:space="0" w:color="auto"/>
              <w:right w:val="single" w:sz="4" w:space="0" w:color="auto"/>
            </w:tcBorders>
            <w:shd w:val="clear" w:color="auto" w:fill="auto"/>
            <w:noWrap/>
            <w:vAlign w:val="center"/>
            <w:hideMark/>
          </w:tcPr>
          <w:p w14:paraId="6C601EF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E91AC9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597431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54.769,59</w:t>
            </w:r>
          </w:p>
        </w:tc>
      </w:tr>
      <w:tr w:rsidR="003E19A2" w:rsidRPr="0069558B" w14:paraId="13B4F26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6D9914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N_101</w:t>
            </w:r>
          </w:p>
        </w:tc>
        <w:tc>
          <w:tcPr>
            <w:tcW w:w="3969" w:type="dxa"/>
            <w:tcBorders>
              <w:top w:val="nil"/>
              <w:left w:val="nil"/>
              <w:bottom w:val="single" w:sz="4" w:space="0" w:color="auto"/>
              <w:right w:val="single" w:sz="4" w:space="0" w:color="auto"/>
            </w:tcBorders>
            <w:shd w:val="clear" w:color="auto" w:fill="auto"/>
            <w:vAlign w:val="center"/>
            <w:hideMark/>
          </w:tcPr>
          <w:p w14:paraId="63A66BA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Nueva Puerto Montt 220-&gt;Puerto Montt 220</w:t>
            </w:r>
          </w:p>
        </w:tc>
        <w:tc>
          <w:tcPr>
            <w:tcW w:w="1134" w:type="dxa"/>
            <w:tcBorders>
              <w:top w:val="nil"/>
              <w:left w:val="nil"/>
              <w:bottom w:val="single" w:sz="4" w:space="0" w:color="auto"/>
              <w:right w:val="single" w:sz="4" w:space="0" w:color="auto"/>
            </w:tcBorders>
            <w:shd w:val="clear" w:color="auto" w:fill="auto"/>
            <w:noWrap/>
            <w:vAlign w:val="center"/>
            <w:hideMark/>
          </w:tcPr>
          <w:p w14:paraId="027C442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45044C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66B0BEA"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4.773.652,65</w:t>
            </w:r>
          </w:p>
        </w:tc>
      </w:tr>
      <w:tr w:rsidR="003E19A2" w:rsidRPr="0069558B" w14:paraId="4F7B9FF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FC3ACC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N_102</w:t>
            </w:r>
          </w:p>
        </w:tc>
        <w:tc>
          <w:tcPr>
            <w:tcW w:w="3969" w:type="dxa"/>
            <w:tcBorders>
              <w:top w:val="nil"/>
              <w:left w:val="nil"/>
              <w:bottom w:val="single" w:sz="4" w:space="0" w:color="auto"/>
              <w:right w:val="single" w:sz="4" w:space="0" w:color="auto"/>
            </w:tcBorders>
            <w:shd w:val="clear" w:color="auto" w:fill="auto"/>
            <w:vAlign w:val="center"/>
            <w:hideMark/>
          </w:tcPr>
          <w:p w14:paraId="30C784C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O Higgins 220-&gt;Atacama 220</w:t>
            </w:r>
          </w:p>
        </w:tc>
        <w:tc>
          <w:tcPr>
            <w:tcW w:w="1134" w:type="dxa"/>
            <w:tcBorders>
              <w:top w:val="nil"/>
              <w:left w:val="nil"/>
              <w:bottom w:val="single" w:sz="4" w:space="0" w:color="auto"/>
              <w:right w:val="single" w:sz="4" w:space="0" w:color="auto"/>
            </w:tcBorders>
            <w:shd w:val="clear" w:color="auto" w:fill="auto"/>
            <w:noWrap/>
            <w:vAlign w:val="center"/>
            <w:hideMark/>
          </w:tcPr>
          <w:p w14:paraId="713E0BF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P_418</w:t>
            </w:r>
          </w:p>
        </w:tc>
        <w:tc>
          <w:tcPr>
            <w:tcW w:w="3686" w:type="dxa"/>
            <w:tcBorders>
              <w:top w:val="nil"/>
              <w:left w:val="nil"/>
              <w:bottom w:val="single" w:sz="4" w:space="0" w:color="auto"/>
              <w:right w:val="single" w:sz="4" w:space="0" w:color="auto"/>
            </w:tcBorders>
            <w:shd w:val="clear" w:color="auto" w:fill="auto"/>
            <w:noWrap/>
            <w:vAlign w:val="center"/>
            <w:hideMark/>
          </w:tcPr>
          <w:p w14:paraId="745D6FE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Minera Escondida</w:t>
            </w:r>
          </w:p>
        </w:tc>
        <w:tc>
          <w:tcPr>
            <w:tcW w:w="2268" w:type="dxa"/>
            <w:tcBorders>
              <w:top w:val="nil"/>
              <w:left w:val="nil"/>
              <w:bottom w:val="single" w:sz="4" w:space="0" w:color="auto"/>
              <w:right w:val="single" w:sz="4" w:space="0" w:color="auto"/>
            </w:tcBorders>
            <w:shd w:val="clear" w:color="auto" w:fill="auto"/>
            <w:noWrap/>
            <w:vAlign w:val="center"/>
            <w:hideMark/>
          </w:tcPr>
          <w:p w14:paraId="3F9B9A4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20.451.649,49</w:t>
            </w:r>
          </w:p>
        </w:tc>
      </w:tr>
      <w:tr w:rsidR="003E19A2" w:rsidRPr="0069558B" w14:paraId="73E96257"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B59E3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N_103</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5682FCF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O Higgins 220-&gt;Kapatur 220</w:t>
            </w:r>
          </w:p>
        </w:tc>
        <w:tc>
          <w:tcPr>
            <w:tcW w:w="1134" w:type="dxa"/>
            <w:tcBorders>
              <w:top w:val="nil"/>
              <w:left w:val="nil"/>
              <w:bottom w:val="single" w:sz="4" w:space="0" w:color="auto"/>
              <w:right w:val="single" w:sz="4" w:space="0" w:color="auto"/>
            </w:tcBorders>
            <w:shd w:val="clear" w:color="auto" w:fill="auto"/>
            <w:noWrap/>
            <w:vAlign w:val="center"/>
            <w:hideMark/>
          </w:tcPr>
          <w:p w14:paraId="7A2E916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P_476</w:t>
            </w:r>
          </w:p>
        </w:tc>
        <w:tc>
          <w:tcPr>
            <w:tcW w:w="3686" w:type="dxa"/>
            <w:tcBorders>
              <w:top w:val="nil"/>
              <w:left w:val="nil"/>
              <w:bottom w:val="single" w:sz="4" w:space="0" w:color="auto"/>
              <w:right w:val="single" w:sz="4" w:space="0" w:color="auto"/>
            </w:tcBorders>
            <w:shd w:val="clear" w:color="auto" w:fill="auto"/>
            <w:noWrap/>
            <w:vAlign w:val="center"/>
            <w:hideMark/>
          </w:tcPr>
          <w:p w14:paraId="678CECD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STN</w:t>
            </w:r>
          </w:p>
        </w:tc>
        <w:tc>
          <w:tcPr>
            <w:tcW w:w="2268" w:type="dxa"/>
            <w:tcBorders>
              <w:top w:val="nil"/>
              <w:left w:val="nil"/>
              <w:bottom w:val="single" w:sz="4" w:space="0" w:color="auto"/>
              <w:right w:val="single" w:sz="4" w:space="0" w:color="auto"/>
            </w:tcBorders>
            <w:shd w:val="clear" w:color="auto" w:fill="auto"/>
            <w:noWrap/>
            <w:vAlign w:val="center"/>
            <w:hideMark/>
          </w:tcPr>
          <w:p w14:paraId="2465E40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33.917.054,30</w:t>
            </w:r>
          </w:p>
        </w:tc>
      </w:tr>
      <w:tr w:rsidR="003E19A2" w:rsidRPr="0069558B" w14:paraId="6C62BDB2"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B6E8B3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3AE0385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46DF312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P_418</w:t>
            </w:r>
          </w:p>
        </w:tc>
        <w:tc>
          <w:tcPr>
            <w:tcW w:w="3686" w:type="dxa"/>
            <w:tcBorders>
              <w:top w:val="nil"/>
              <w:left w:val="nil"/>
              <w:bottom w:val="single" w:sz="4" w:space="0" w:color="auto"/>
              <w:right w:val="single" w:sz="4" w:space="0" w:color="auto"/>
            </w:tcBorders>
            <w:shd w:val="clear" w:color="auto" w:fill="auto"/>
            <w:noWrap/>
            <w:vAlign w:val="center"/>
            <w:hideMark/>
          </w:tcPr>
          <w:p w14:paraId="7B6CCE0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Minera Escondida</w:t>
            </w:r>
          </w:p>
        </w:tc>
        <w:tc>
          <w:tcPr>
            <w:tcW w:w="2268" w:type="dxa"/>
            <w:tcBorders>
              <w:top w:val="nil"/>
              <w:left w:val="nil"/>
              <w:bottom w:val="single" w:sz="4" w:space="0" w:color="auto"/>
              <w:right w:val="single" w:sz="4" w:space="0" w:color="auto"/>
            </w:tcBorders>
            <w:shd w:val="clear" w:color="auto" w:fill="auto"/>
            <w:noWrap/>
            <w:vAlign w:val="center"/>
            <w:hideMark/>
          </w:tcPr>
          <w:p w14:paraId="1828B2D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408.039,06</w:t>
            </w:r>
          </w:p>
        </w:tc>
      </w:tr>
      <w:tr w:rsidR="003E19A2" w:rsidRPr="0069558B" w14:paraId="1AE4C4F4"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31447B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N_104</w:t>
            </w:r>
          </w:p>
        </w:tc>
        <w:tc>
          <w:tcPr>
            <w:tcW w:w="3969" w:type="dxa"/>
            <w:tcBorders>
              <w:top w:val="nil"/>
              <w:left w:val="nil"/>
              <w:bottom w:val="single" w:sz="4" w:space="0" w:color="auto"/>
              <w:right w:val="single" w:sz="4" w:space="0" w:color="auto"/>
            </w:tcBorders>
            <w:shd w:val="clear" w:color="auto" w:fill="auto"/>
            <w:vAlign w:val="center"/>
            <w:hideMark/>
          </w:tcPr>
          <w:p w14:paraId="5C0FAFE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Pan de Azucar 220-&gt;Don Goyo 220</w:t>
            </w:r>
          </w:p>
        </w:tc>
        <w:tc>
          <w:tcPr>
            <w:tcW w:w="1134" w:type="dxa"/>
            <w:tcBorders>
              <w:top w:val="nil"/>
              <w:left w:val="nil"/>
              <w:bottom w:val="single" w:sz="4" w:space="0" w:color="auto"/>
              <w:right w:val="single" w:sz="4" w:space="0" w:color="auto"/>
            </w:tcBorders>
            <w:shd w:val="clear" w:color="auto" w:fill="auto"/>
            <w:noWrap/>
            <w:vAlign w:val="center"/>
            <w:hideMark/>
          </w:tcPr>
          <w:p w14:paraId="60DC709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3D7F66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F145A9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19.278.004,38</w:t>
            </w:r>
          </w:p>
        </w:tc>
      </w:tr>
      <w:tr w:rsidR="003E19A2" w:rsidRPr="0069558B" w14:paraId="359E1F5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564738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N_105</w:t>
            </w:r>
          </w:p>
        </w:tc>
        <w:tc>
          <w:tcPr>
            <w:tcW w:w="3969" w:type="dxa"/>
            <w:tcBorders>
              <w:top w:val="nil"/>
              <w:left w:val="nil"/>
              <w:bottom w:val="single" w:sz="4" w:space="0" w:color="auto"/>
              <w:right w:val="single" w:sz="4" w:space="0" w:color="auto"/>
            </w:tcBorders>
            <w:shd w:val="clear" w:color="auto" w:fill="auto"/>
            <w:vAlign w:val="center"/>
            <w:hideMark/>
          </w:tcPr>
          <w:p w14:paraId="09B1907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Pan de Azucar 220-&gt;Punta Colorada 220</w:t>
            </w:r>
          </w:p>
        </w:tc>
        <w:tc>
          <w:tcPr>
            <w:tcW w:w="1134" w:type="dxa"/>
            <w:tcBorders>
              <w:top w:val="nil"/>
              <w:left w:val="nil"/>
              <w:bottom w:val="single" w:sz="4" w:space="0" w:color="auto"/>
              <w:right w:val="single" w:sz="4" w:space="0" w:color="auto"/>
            </w:tcBorders>
            <w:shd w:val="clear" w:color="auto" w:fill="auto"/>
            <w:noWrap/>
            <w:vAlign w:val="center"/>
            <w:hideMark/>
          </w:tcPr>
          <w:p w14:paraId="7BFFC71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E85E7D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21B1FC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26.203.610,61</w:t>
            </w:r>
          </w:p>
        </w:tc>
      </w:tr>
      <w:tr w:rsidR="003E19A2" w:rsidRPr="0069558B" w14:paraId="27889642"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25C3A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N_106</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59CF65C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Pargua 220-&gt;Nueva Ancud 220</w:t>
            </w:r>
          </w:p>
        </w:tc>
        <w:tc>
          <w:tcPr>
            <w:tcW w:w="1134" w:type="dxa"/>
            <w:tcBorders>
              <w:top w:val="nil"/>
              <w:left w:val="nil"/>
              <w:bottom w:val="single" w:sz="4" w:space="0" w:color="auto"/>
              <w:right w:val="single" w:sz="4" w:space="0" w:color="auto"/>
            </w:tcBorders>
            <w:shd w:val="clear" w:color="auto" w:fill="auto"/>
            <w:noWrap/>
            <w:vAlign w:val="center"/>
            <w:hideMark/>
          </w:tcPr>
          <w:p w14:paraId="047FB4F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24F553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88593E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5.668.201,54</w:t>
            </w:r>
          </w:p>
        </w:tc>
      </w:tr>
      <w:tr w:rsidR="003E19A2" w:rsidRPr="0069558B" w14:paraId="3161AEEC"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3DF92D6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1B50AB6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00CD65F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P_100</w:t>
            </w:r>
          </w:p>
        </w:tc>
        <w:tc>
          <w:tcPr>
            <w:tcW w:w="3686" w:type="dxa"/>
            <w:tcBorders>
              <w:top w:val="nil"/>
              <w:left w:val="nil"/>
              <w:bottom w:val="single" w:sz="4" w:space="0" w:color="auto"/>
              <w:right w:val="single" w:sz="4" w:space="0" w:color="auto"/>
            </w:tcBorders>
            <w:shd w:val="clear" w:color="auto" w:fill="auto"/>
            <w:noWrap/>
            <w:vAlign w:val="center"/>
            <w:hideMark/>
          </w:tcPr>
          <w:p w14:paraId="62CD87C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STS</w:t>
            </w:r>
          </w:p>
        </w:tc>
        <w:tc>
          <w:tcPr>
            <w:tcW w:w="2268" w:type="dxa"/>
            <w:tcBorders>
              <w:top w:val="nil"/>
              <w:left w:val="nil"/>
              <w:bottom w:val="single" w:sz="4" w:space="0" w:color="auto"/>
              <w:right w:val="single" w:sz="4" w:space="0" w:color="auto"/>
            </w:tcBorders>
            <w:shd w:val="clear" w:color="auto" w:fill="auto"/>
            <w:noWrap/>
            <w:vAlign w:val="center"/>
            <w:hideMark/>
          </w:tcPr>
          <w:p w14:paraId="01DDB47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4.536.094,66</w:t>
            </w:r>
          </w:p>
        </w:tc>
      </w:tr>
      <w:tr w:rsidR="003E19A2" w:rsidRPr="0069558B" w14:paraId="19A22390"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805E3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N_107</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56AB439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Polpaico 220-&gt;Quilapilun 220</w:t>
            </w:r>
          </w:p>
        </w:tc>
        <w:tc>
          <w:tcPr>
            <w:tcW w:w="1134" w:type="dxa"/>
            <w:tcBorders>
              <w:top w:val="nil"/>
              <w:left w:val="nil"/>
              <w:bottom w:val="single" w:sz="4" w:space="0" w:color="auto"/>
              <w:right w:val="single" w:sz="4" w:space="0" w:color="auto"/>
            </w:tcBorders>
            <w:shd w:val="clear" w:color="auto" w:fill="auto"/>
            <w:noWrap/>
            <w:vAlign w:val="center"/>
            <w:hideMark/>
          </w:tcPr>
          <w:p w14:paraId="034CC90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33C7FA5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19DBA05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14.402.627,26</w:t>
            </w:r>
          </w:p>
        </w:tc>
      </w:tr>
      <w:tr w:rsidR="003E19A2" w:rsidRPr="0069558B" w14:paraId="1D24EAF5"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7C3B008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E8F7A1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14B3F0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P_241</w:t>
            </w:r>
          </w:p>
        </w:tc>
        <w:tc>
          <w:tcPr>
            <w:tcW w:w="3686" w:type="dxa"/>
            <w:tcBorders>
              <w:top w:val="nil"/>
              <w:left w:val="nil"/>
              <w:bottom w:val="single" w:sz="4" w:space="0" w:color="auto"/>
              <w:right w:val="single" w:sz="4" w:space="0" w:color="auto"/>
            </w:tcBorders>
            <w:shd w:val="clear" w:color="auto" w:fill="auto"/>
            <w:noWrap/>
            <w:vAlign w:val="center"/>
            <w:hideMark/>
          </w:tcPr>
          <w:p w14:paraId="1EBE1A2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Codelco Chile - División Andina</w:t>
            </w:r>
          </w:p>
        </w:tc>
        <w:tc>
          <w:tcPr>
            <w:tcW w:w="2268" w:type="dxa"/>
            <w:tcBorders>
              <w:top w:val="nil"/>
              <w:left w:val="nil"/>
              <w:bottom w:val="single" w:sz="4" w:space="0" w:color="auto"/>
              <w:right w:val="single" w:sz="4" w:space="0" w:color="auto"/>
            </w:tcBorders>
            <w:shd w:val="clear" w:color="auto" w:fill="auto"/>
            <w:noWrap/>
            <w:vAlign w:val="center"/>
            <w:hideMark/>
          </w:tcPr>
          <w:p w14:paraId="7DFE3AD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369.122,39</w:t>
            </w:r>
          </w:p>
        </w:tc>
      </w:tr>
      <w:tr w:rsidR="003E19A2" w:rsidRPr="0069558B" w14:paraId="25F9080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C56752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N_109</w:t>
            </w:r>
          </w:p>
        </w:tc>
        <w:tc>
          <w:tcPr>
            <w:tcW w:w="3969" w:type="dxa"/>
            <w:tcBorders>
              <w:top w:val="nil"/>
              <w:left w:val="nil"/>
              <w:bottom w:val="single" w:sz="4" w:space="0" w:color="auto"/>
              <w:right w:val="single" w:sz="4" w:space="0" w:color="auto"/>
            </w:tcBorders>
            <w:shd w:val="clear" w:color="auto" w:fill="auto"/>
            <w:vAlign w:val="center"/>
            <w:hideMark/>
          </w:tcPr>
          <w:p w14:paraId="0BD9ED5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Polpaico 220-&gt;Tap El Manzano 220</w:t>
            </w:r>
          </w:p>
        </w:tc>
        <w:tc>
          <w:tcPr>
            <w:tcW w:w="1134" w:type="dxa"/>
            <w:tcBorders>
              <w:top w:val="nil"/>
              <w:left w:val="nil"/>
              <w:bottom w:val="single" w:sz="4" w:space="0" w:color="auto"/>
              <w:right w:val="single" w:sz="4" w:space="0" w:color="auto"/>
            </w:tcBorders>
            <w:shd w:val="clear" w:color="auto" w:fill="auto"/>
            <w:noWrap/>
            <w:vAlign w:val="center"/>
            <w:hideMark/>
          </w:tcPr>
          <w:p w14:paraId="427383C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P_111</w:t>
            </w:r>
          </w:p>
        </w:tc>
        <w:tc>
          <w:tcPr>
            <w:tcW w:w="3686" w:type="dxa"/>
            <w:tcBorders>
              <w:top w:val="nil"/>
              <w:left w:val="nil"/>
              <w:bottom w:val="single" w:sz="4" w:space="0" w:color="auto"/>
              <w:right w:val="single" w:sz="4" w:space="0" w:color="auto"/>
            </w:tcBorders>
            <w:shd w:val="clear" w:color="auto" w:fill="auto"/>
            <w:noWrap/>
            <w:vAlign w:val="center"/>
            <w:hideMark/>
          </w:tcPr>
          <w:p w14:paraId="6492C98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ENEL DISTRIBUCION S.A</w:t>
            </w:r>
          </w:p>
        </w:tc>
        <w:tc>
          <w:tcPr>
            <w:tcW w:w="2268" w:type="dxa"/>
            <w:tcBorders>
              <w:top w:val="nil"/>
              <w:left w:val="nil"/>
              <w:bottom w:val="single" w:sz="4" w:space="0" w:color="auto"/>
              <w:right w:val="single" w:sz="4" w:space="0" w:color="auto"/>
            </w:tcBorders>
            <w:shd w:val="clear" w:color="auto" w:fill="auto"/>
            <w:noWrap/>
            <w:vAlign w:val="center"/>
            <w:hideMark/>
          </w:tcPr>
          <w:p w14:paraId="6E49F2E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8.358.193,70</w:t>
            </w:r>
          </w:p>
        </w:tc>
      </w:tr>
      <w:tr w:rsidR="003E19A2" w:rsidRPr="0069558B" w14:paraId="7FF650BE"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DB5A25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N_110</w:t>
            </w:r>
          </w:p>
        </w:tc>
        <w:tc>
          <w:tcPr>
            <w:tcW w:w="3969" w:type="dxa"/>
            <w:tcBorders>
              <w:top w:val="nil"/>
              <w:left w:val="nil"/>
              <w:bottom w:val="single" w:sz="4" w:space="0" w:color="auto"/>
              <w:right w:val="single" w:sz="4" w:space="0" w:color="auto"/>
            </w:tcBorders>
            <w:shd w:val="clear" w:color="auto" w:fill="auto"/>
            <w:vAlign w:val="center"/>
            <w:hideMark/>
          </w:tcPr>
          <w:p w14:paraId="1C21235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Polpaico 500-&gt;Lo Aguirre 500</w:t>
            </w:r>
          </w:p>
        </w:tc>
        <w:tc>
          <w:tcPr>
            <w:tcW w:w="1134" w:type="dxa"/>
            <w:tcBorders>
              <w:top w:val="nil"/>
              <w:left w:val="nil"/>
              <w:bottom w:val="single" w:sz="4" w:space="0" w:color="auto"/>
              <w:right w:val="single" w:sz="4" w:space="0" w:color="auto"/>
            </w:tcBorders>
            <w:shd w:val="clear" w:color="auto" w:fill="auto"/>
            <w:noWrap/>
            <w:vAlign w:val="center"/>
            <w:hideMark/>
          </w:tcPr>
          <w:p w14:paraId="3E54BA1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53749C4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B9C8DB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31.622.331,45</w:t>
            </w:r>
          </w:p>
        </w:tc>
      </w:tr>
      <w:tr w:rsidR="003E19A2" w:rsidRPr="0069558B" w14:paraId="720ABE4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78474F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N_111</w:t>
            </w:r>
          </w:p>
        </w:tc>
        <w:tc>
          <w:tcPr>
            <w:tcW w:w="3969" w:type="dxa"/>
            <w:tcBorders>
              <w:top w:val="nil"/>
              <w:left w:val="nil"/>
              <w:bottom w:val="single" w:sz="4" w:space="0" w:color="auto"/>
              <w:right w:val="single" w:sz="4" w:space="0" w:color="auto"/>
            </w:tcBorders>
            <w:shd w:val="clear" w:color="auto" w:fill="auto"/>
            <w:vAlign w:val="center"/>
            <w:hideMark/>
          </w:tcPr>
          <w:p w14:paraId="1F892AB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Polpaico 500-&gt;Polpaico 220</w:t>
            </w:r>
          </w:p>
        </w:tc>
        <w:tc>
          <w:tcPr>
            <w:tcW w:w="1134" w:type="dxa"/>
            <w:tcBorders>
              <w:top w:val="nil"/>
              <w:left w:val="nil"/>
              <w:bottom w:val="single" w:sz="4" w:space="0" w:color="auto"/>
              <w:right w:val="single" w:sz="4" w:space="0" w:color="auto"/>
            </w:tcBorders>
            <w:shd w:val="clear" w:color="auto" w:fill="auto"/>
            <w:noWrap/>
            <w:vAlign w:val="center"/>
            <w:hideMark/>
          </w:tcPr>
          <w:p w14:paraId="6C394EC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D910CE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0A7D7B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16.658.591,87</w:t>
            </w:r>
          </w:p>
        </w:tc>
      </w:tr>
      <w:tr w:rsidR="003E19A2" w:rsidRPr="0069558B" w14:paraId="1441F36F"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13271F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N_112</w:t>
            </w:r>
          </w:p>
        </w:tc>
        <w:tc>
          <w:tcPr>
            <w:tcW w:w="3969" w:type="dxa"/>
            <w:tcBorders>
              <w:top w:val="nil"/>
              <w:left w:val="nil"/>
              <w:bottom w:val="single" w:sz="4" w:space="0" w:color="auto"/>
              <w:right w:val="single" w:sz="4" w:space="0" w:color="auto"/>
            </w:tcBorders>
            <w:shd w:val="clear" w:color="auto" w:fill="auto"/>
            <w:vAlign w:val="center"/>
            <w:hideMark/>
          </w:tcPr>
          <w:p w14:paraId="274A4E1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Pozo Almonte 220-&gt;Nueva Pozo Almonte 220</w:t>
            </w:r>
          </w:p>
        </w:tc>
        <w:tc>
          <w:tcPr>
            <w:tcW w:w="1134" w:type="dxa"/>
            <w:tcBorders>
              <w:top w:val="nil"/>
              <w:left w:val="nil"/>
              <w:bottom w:val="single" w:sz="4" w:space="0" w:color="auto"/>
              <w:right w:val="single" w:sz="4" w:space="0" w:color="auto"/>
            </w:tcBorders>
            <w:shd w:val="clear" w:color="auto" w:fill="auto"/>
            <w:noWrap/>
            <w:vAlign w:val="center"/>
            <w:hideMark/>
          </w:tcPr>
          <w:p w14:paraId="68A3C2B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6D72D7C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69CDB91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6.096.611,18</w:t>
            </w:r>
          </w:p>
        </w:tc>
      </w:tr>
      <w:tr w:rsidR="003E19A2" w:rsidRPr="0069558B" w14:paraId="00E821E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124A18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N_113</w:t>
            </w:r>
          </w:p>
        </w:tc>
        <w:tc>
          <w:tcPr>
            <w:tcW w:w="3969" w:type="dxa"/>
            <w:tcBorders>
              <w:top w:val="nil"/>
              <w:left w:val="nil"/>
              <w:bottom w:val="single" w:sz="4" w:space="0" w:color="auto"/>
              <w:right w:val="single" w:sz="4" w:space="0" w:color="auto"/>
            </w:tcBorders>
            <w:shd w:val="clear" w:color="auto" w:fill="auto"/>
            <w:vAlign w:val="center"/>
            <w:hideMark/>
          </w:tcPr>
          <w:p w14:paraId="35554DF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Puente Negro 220-&gt;Colbun 220</w:t>
            </w:r>
          </w:p>
        </w:tc>
        <w:tc>
          <w:tcPr>
            <w:tcW w:w="1134" w:type="dxa"/>
            <w:tcBorders>
              <w:top w:val="nil"/>
              <w:left w:val="nil"/>
              <w:bottom w:val="single" w:sz="4" w:space="0" w:color="auto"/>
              <w:right w:val="single" w:sz="4" w:space="0" w:color="auto"/>
            </w:tcBorders>
            <w:shd w:val="clear" w:color="auto" w:fill="auto"/>
            <w:noWrap/>
            <w:vAlign w:val="center"/>
            <w:hideMark/>
          </w:tcPr>
          <w:p w14:paraId="249E11F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5F23306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6403CD4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75.374.698,48</w:t>
            </w:r>
          </w:p>
        </w:tc>
      </w:tr>
      <w:tr w:rsidR="003E19A2" w:rsidRPr="0069558B" w14:paraId="5F4895F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46931F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N_115</w:t>
            </w:r>
          </w:p>
        </w:tc>
        <w:tc>
          <w:tcPr>
            <w:tcW w:w="3969" w:type="dxa"/>
            <w:tcBorders>
              <w:top w:val="nil"/>
              <w:left w:val="nil"/>
              <w:bottom w:val="single" w:sz="4" w:space="0" w:color="auto"/>
              <w:right w:val="single" w:sz="4" w:space="0" w:color="auto"/>
            </w:tcBorders>
            <w:shd w:val="clear" w:color="auto" w:fill="auto"/>
            <w:vAlign w:val="center"/>
            <w:hideMark/>
          </w:tcPr>
          <w:p w14:paraId="32AFDB6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Puerto Montt 220-&gt;Llanquihue 220</w:t>
            </w:r>
          </w:p>
        </w:tc>
        <w:tc>
          <w:tcPr>
            <w:tcW w:w="1134" w:type="dxa"/>
            <w:tcBorders>
              <w:top w:val="nil"/>
              <w:left w:val="nil"/>
              <w:bottom w:val="single" w:sz="4" w:space="0" w:color="auto"/>
              <w:right w:val="single" w:sz="4" w:space="0" w:color="auto"/>
            </w:tcBorders>
            <w:shd w:val="clear" w:color="auto" w:fill="auto"/>
            <w:noWrap/>
            <w:vAlign w:val="center"/>
            <w:hideMark/>
          </w:tcPr>
          <w:p w14:paraId="1F7FF21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A76BAF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7EE629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3.912.567,35</w:t>
            </w:r>
          </w:p>
        </w:tc>
      </w:tr>
      <w:tr w:rsidR="003E19A2" w:rsidRPr="0069558B" w14:paraId="77C808D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EAEFD0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N_116</w:t>
            </w:r>
          </w:p>
        </w:tc>
        <w:tc>
          <w:tcPr>
            <w:tcW w:w="3969" w:type="dxa"/>
            <w:tcBorders>
              <w:top w:val="nil"/>
              <w:left w:val="nil"/>
              <w:bottom w:val="single" w:sz="4" w:space="0" w:color="auto"/>
              <w:right w:val="single" w:sz="4" w:space="0" w:color="auto"/>
            </w:tcBorders>
            <w:shd w:val="clear" w:color="auto" w:fill="auto"/>
            <w:vAlign w:val="center"/>
            <w:hideMark/>
          </w:tcPr>
          <w:p w14:paraId="1A2DC18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Punta Sierra 220-&gt;La Cebada 220</w:t>
            </w:r>
          </w:p>
        </w:tc>
        <w:tc>
          <w:tcPr>
            <w:tcW w:w="1134" w:type="dxa"/>
            <w:tcBorders>
              <w:top w:val="nil"/>
              <w:left w:val="nil"/>
              <w:bottom w:val="single" w:sz="4" w:space="0" w:color="auto"/>
              <w:right w:val="single" w:sz="4" w:space="0" w:color="auto"/>
            </w:tcBorders>
            <w:shd w:val="clear" w:color="auto" w:fill="auto"/>
            <w:noWrap/>
            <w:vAlign w:val="center"/>
            <w:hideMark/>
          </w:tcPr>
          <w:p w14:paraId="6865EC5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928F4C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343B6C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3.615.137,57</w:t>
            </w:r>
          </w:p>
        </w:tc>
      </w:tr>
      <w:tr w:rsidR="003E19A2" w:rsidRPr="0069558B" w14:paraId="3FB47E37"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0083FC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N_117</w:t>
            </w:r>
          </w:p>
        </w:tc>
        <w:tc>
          <w:tcPr>
            <w:tcW w:w="3969" w:type="dxa"/>
            <w:tcBorders>
              <w:top w:val="nil"/>
              <w:left w:val="nil"/>
              <w:bottom w:val="single" w:sz="4" w:space="0" w:color="auto"/>
              <w:right w:val="single" w:sz="4" w:space="0" w:color="auto"/>
            </w:tcBorders>
            <w:shd w:val="clear" w:color="auto" w:fill="auto"/>
            <w:vAlign w:val="center"/>
            <w:hideMark/>
          </w:tcPr>
          <w:p w14:paraId="6783922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Punta Sierra 220-&gt;Las Palmas 220</w:t>
            </w:r>
          </w:p>
        </w:tc>
        <w:tc>
          <w:tcPr>
            <w:tcW w:w="1134" w:type="dxa"/>
            <w:tcBorders>
              <w:top w:val="nil"/>
              <w:left w:val="nil"/>
              <w:bottom w:val="single" w:sz="4" w:space="0" w:color="auto"/>
              <w:right w:val="single" w:sz="4" w:space="0" w:color="auto"/>
            </w:tcBorders>
            <w:shd w:val="clear" w:color="auto" w:fill="auto"/>
            <w:noWrap/>
            <w:vAlign w:val="center"/>
            <w:hideMark/>
          </w:tcPr>
          <w:p w14:paraId="3D89D7D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C2A943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8841F6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6.033.066,71</w:t>
            </w:r>
          </w:p>
        </w:tc>
      </w:tr>
      <w:tr w:rsidR="003E19A2" w:rsidRPr="0069558B" w14:paraId="1CAC2E0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A5AE3B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N_118</w:t>
            </w:r>
          </w:p>
        </w:tc>
        <w:tc>
          <w:tcPr>
            <w:tcW w:w="3969" w:type="dxa"/>
            <w:tcBorders>
              <w:top w:val="nil"/>
              <w:left w:val="nil"/>
              <w:bottom w:val="single" w:sz="4" w:space="0" w:color="auto"/>
              <w:right w:val="single" w:sz="4" w:space="0" w:color="auto"/>
            </w:tcBorders>
            <w:shd w:val="clear" w:color="auto" w:fill="auto"/>
            <w:vAlign w:val="center"/>
            <w:hideMark/>
          </w:tcPr>
          <w:p w14:paraId="5BDFA8B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Quillota 220-&gt;Polpaico 220</w:t>
            </w:r>
          </w:p>
        </w:tc>
        <w:tc>
          <w:tcPr>
            <w:tcW w:w="1134" w:type="dxa"/>
            <w:tcBorders>
              <w:top w:val="nil"/>
              <w:left w:val="nil"/>
              <w:bottom w:val="single" w:sz="4" w:space="0" w:color="auto"/>
              <w:right w:val="single" w:sz="4" w:space="0" w:color="auto"/>
            </w:tcBorders>
            <w:shd w:val="clear" w:color="auto" w:fill="auto"/>
            <w:noWrap/>
            <w:vAlign w:val="center"/>
            <w:hideMark/>
          </w:tcPr>
          <w:p w14:paraId="2E596E1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37E260B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2A55B4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40.934.104,73</w:t>
            </w:r>
          </w:p>
        </w:tc>
      </w:tr>
      <w:tr w:rsidR="003E19A2" w:rsidRPr="0069558B" w14:paraId="00C2E0F1"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6E9DF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N_119</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72AEA18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Quillota 220-&gt;San Luis 220</w:t>
            </w:r>
          </w:p>
        </w:tc>
        <w:tc>
          <w:tcPr>
            <w:tcW w:w="1134" w:type="dxa"/>
            <w:tcBorders>
              <w:top w:val="nil"/>
              <w:left w:val="nil"/>
              <w:bottom w:val="single" w:sz="4" w:space="0" w:color="auto"/>
              <w:right w:val="single" w:sz="4" w:space="0" w:color="auto"/>
            </w:tcBorders>
            <w:shd w:val="clear" w:color="auto" w:fill="auto"/>
            <w:noWrap/>
            <w:vAlign w:val="center"/>
            <w:hideMark/>
          </w:tcPr>
          <w:p w14:paraId="3078D7D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P_244</w:t>
            </w:r>
          </w:p>
        </w:tc>
        <w:tc>
          <w:tcPr>
            <w:tcW w:w="3686" w:type="dxa"/>
            <w:tcBorders>
              <w:top w:val="nil"/>
              <w:left w:val="nil"/>
              <w:bottom w:val="single" w:sz="4" w:space="0" w:color="auto"/>
              <w:right w:val="single" w:sz="4" w:space="0" w:color="auto"/>
            </w:tcBorders>
            <w:shd w:val="clear" w:color="auto" w:fill="auto"/>
            <w:noWrap/>
            <w:vAlign w:val="center"/>
            <w:hideMark/>
          </w:tcPr>
          <w:p w14:paraId="26FC6A4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Colbún Transmisión</w:t>
            </w:r>
          </w:p>
        </w:tc>
        <w:tc>
          <w:tcPr>
            <w:tcW w:w="2268" w:type="dxa"/>
            <w:tcBorders>
              <w:top w:val="nil"/>
              <w:left w:val="nil"/>
              <w:bottom w:val="single" w:sz="4" w:space="0" w:color="auto"/>
              <w:right w:val="single" w:sz="4" w:space="0" w:color="auto"/>
            </w:tcBorders>
            <w:shd w:val="clear" w:color="auto" w:fill="auto"/>
            <w:noWrap/>
            <w:vAlign w:val="center"/>
            <w:hideMark/>
          </w:tcPr>
          <w:p w14:paraId="3C86219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5.641.157,08</w:t>
            </w:r>
          </w:p>
        </w:tc>
      </w:tr>
      <w:tr w:rsidR="003E19A2" w:rsidRPr="0069558B" w14:paraId="392A10E2"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4F3C3D8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5511B59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2371559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P_510</w:t>
            </w:r>
          </w:p>
        </w:tc>
        <w:tc>
          <w:tcPr>
            <w:tcW w:w="3686" w:type="dxa"/>
            <w:tcBorders>
              <w:top w:val="nil"/>
              <w:left w:val="nil"/>
              <w:bottom w:val="single" w:sz="4" w:space="0" w:color="auto"/>
              <w:right w:val="single" w:sz="4" w:space="0" w:color="auto"/>
            </w:tcBorders>
            <w:shd w:val="clear" w:color="auto" w:fill="auto"/>
            <w:noWrap/>
            <w:vAlign w:val="center"/>
            <w:hideMark/>
          </w:tcPr>
          <w:p w14:paraId="4DECC6D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Transquillota</w:t>
            </w:r>
          </w:p>
        </w:tc>
        <w:tc>
          <w:tcPr>
            <w:tcW w:w="2268" w:type="dxa"/>
            <w:tcBorders>
              <w:top w:val="nil"/>
              <w:left w:val="nil"/>
              <w:bottom w:val="single" w:sz="4" w:space="0" w:color="auto"/>
              <w:right w:val="single" w:sz="4" w:space="0" w:color="auto"/>
            </w:tcBorders>
            <w:shd w:val="clear" w:color="auto" w:fill="auto"/>
            <w:noWrap/>
            <w:vAlign w:val="center"/>
            <w:hideMark/>
          </w:tcPr>
          <w:p w14:paraId="0F93EE4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856.380,39</w:t>
            </w:r>
          </w:p>
        </w:tc>
      </w:tr>
      <w:tr w:rsidR="003E19A2" w:rsidRPr="0069558B" w14:paraId="0B85FF1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DD6932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N_120</w:t>
            </w:r>
          </w:p>
        </w:tc>
        <w:tc>
          <w:tcPr>
            <w:tcW w:w="3969" w:type="dxa"/>
            <w:tcBorders>
              <w:top w:val="nil"/>
              <w:left w:val="nil"/>
              <w:bottom w:val="single" w:sz="4" w:space="0" w:color="auto"/>
              <w:right w:val="single" w:sz="4" w:space="0" w:color="auto"/>
            </w:tcBorders>
            <w:shd w:val="clear" w:color="auto" w:fill="auto"/>
            <w:vAlign w:val="center"/>
            <w:hideMark/>
          </w:tcPr>
          <w:p w14:paraId="4BD926D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Rahue 220-&gt;Frutillar Norte 220</w:t>
            </w:r>
          </w:p>
        </w:tc>
        <w:tc>
          <w:tcPr>
            <w:tcW w:w="1134" w:type="dxa"/>
            <w:tcBorders>
              <w:top w:val="nil"/>
              <w:left w:val="nil"/>
              <w:bottom w:val="single" w:sz="4" w:space="0" w:color="auto"/>
              <w:right w:val="single" w:sz="4" w:space="0" w:color="auto"/>
            </w:tcBorders>
            <w:shd w:val="clear" w:color="auto" w:fill="auto"/>
            <w:noWrap/>
            <w:vAlign w:val="center"/>
            <w:hideMark/>
          </w:tcPr>
          <w:p w14:paraId="64B341B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BEC29B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E0972C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13.984.932,64</w:t>
            </w:r>
          </w:p>
        </w:tc>
      </w:tr>
      <w:tr w:rsidR="003E19A2" w:rsidRPr="0069558B" w14:paraId="487971C6"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97B5F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N_121</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D2C05A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Rahue 220-&gt;Nueva Pichirropulli 220</w:t>
            </w:r>
          </w:p>
        </w:tc>
        <w:tc>
          <w:tcPr>
            <w:tcW w:w="1134" w:type="dxa"/>
            <w:tcBorders>
              <w:top w:val="nil"/>
              <w:left w:val="nil"/>
              <w:bottom w:val="single" w:sz="4" w:space="0" w:color="auto"/>
              <w:right w:val="single" w:sz="4" w:space="0" w:color="auto"/>
            </w:tcBorders>
            <w:shd w:val="clear" w:color="auto" w:fill="auto"/>
            <w:noWrap/>
            <w:vAlign w:val="center"/>
            <w:hideMark/>
          </w:tcPr>
          <w:p w14:paraId="6CE140A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87A9CAA"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2D8F69B"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12.324.703,62</w:t>
            </w:r>
          </w:p>
        </w:tc>
      </w:tr>
      <w:tr w:rsidR="003E19A2" w:rsidRPr="0069558B" w14:paraId="1ACA0D01"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760E8E1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76F294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E8E955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6F0394E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77733BC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827.838,40</w:t>
            </w:r>
          </w:p>
        </w:tc>
      </w:tr>
      <w:tr w:rsidR="003E19A2" w:rsidRPr="0069558B" w14:paraId="22398410"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46197A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N_123</w:t>
            </w:r>
          </w:p>
        </w:tc>
        <w:tc>
          <w:tcPr>
            <w:tcW w:w="3969" w:type="dxa"/>
            <w:tcBorders>
              <w:top w:val="nil"/>
              <w:left w:val="nil"/>
              <w:bottom w:val="single" w:sz="4" w:space="0" w:color="auto"/>
              <w:right w:val="single" w:sz="4" w:space="0" w:color="auto"/>
            </w:tcBorders>
            <w:shd w:val="clear" w:color="auto" w:fill="auto"/>
            <w:vAlign w:val="center"/>
            <w:hideMark/>
          </w:tcPr>
          <w:p w14:paraId="3F030B8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Rio Tolten 220-&gt;Lastarria 220</w:t>
            </w:r>
          </w:p>
        </w:tc>
        <w:tc>
          <w:tcPr>
            <w:tcW w:w="1134" w:type="dxa"/>
            <w:tcBorders>
              <w:top w:val="nil"/>
              <w:left w:val="nil"/>
              <w:bottom w:val="single" w:sz="4" w:space="0" w:color="auto"/>
              <w:right w:val="single" w:sz="4" w:space="0" w:color="auto"/>
            </w:tcBorders>
            <w:shd w:val="clear" w:color="auto" w:fill="auto"/>
            <w:noWrap/>
            <w:vAlign w:val="center"/>
            <w:hideMark/>
          </w:tcPr>
          <w:p w14:paraId="72DD0BA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25161EC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5CA788D7"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11.553.201,88</w:t>
            </w:r>
          </w:p>
        </w:tc>
      </w:tr>
      <w:tr w:rsidR="003E19A2" w:rsidRPr="0069558B" w14:paraId="52E90DC2"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38C192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N_124</w:t>
            </w:r>
          </w:p>
        </w:tc>
        <w:tc>
          <w:tcPr>
            <w:tcW w:w="3969" w:type="dxa"/>
            <w:tcBorders>
              <w:top w:val="nil"/>
              <w:left w:val="nil"/>
              <w:bottom w:val="single" w:sz="4" w:space="0" w:color="auto"/>
              <w:right w:val="single" w:sz="4" w:space="0" w:color="auto"/>
            </w:tcBorders>
            <w:shd w:val="clear" w:color="auto" w:fill="auto"/>
            <w:vAlign w:val="center"/>
            <w:hideMark/>
          </w:tcPr>
          <w:p w14:paraId="00ACCD2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Rio Tolten 220-&gt;Metrenco 220</w:t>
            </w:r>
          </w:p>
        </w:tc>
        <w:tc>
          <w:tcPr>
            <w:tcW w:w="1134" w:type="dxa"/>
            <w:tcBorders>
              <w:top w:val="nil"/>
              <w:left w:val="nil"/>
              <w:bottom w:val="single" w:sz="4" w:space="0" w:color="auto"/>
              <w:right w:val="single" w:sz="4" w:space="0" w:color="auto"/>
            </w:tcBorders>
            <w:shd w:val="clear" w:color="auto" w:fill="auto"/>
            <w:noWrap/>
            <w:vAlign w:val="center"/>
            <w:hideMark/>
          </w:tcPr>
          <w:p w14:paraId="0045F8B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762CE1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488E5EA"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5.135.626,51</w:t>
            </w:r>
          </w:p>
        </w:tc>
      </w:tr>
      <w:tr w:rsidR="003E19A2" w:rsidRPr="0069558B" w14:paraId="2BB6F38D"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C1BDD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N_125</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109BDBD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 San Andres 220-&gt;Cardones 220</w:t>
            </w:r>
          </w:p>
        </w:tc>
        <w:tc>
          <w:tcPr>
            <w:tcW w:w="1134" w:type="dxa"/>
            <w:tcBorders>
              <w:top w:val="nil"/>
              <w:left w:val="nil"/>
              <w:bottom w:val="single" w:sz="4" w:space="0" w:color="auto"/>
              <w:right w:val="single" w:sz="4" w:space="0" w:color="auto"/>
            </w:tcBorders>
            <w:shd w:val="clear" w:color="auto" w:fill="auto"/>
            <w:noWrap/>
            <w:vAlign w:val="center"/>
            <w:hideMark/>
          </w:tcPr>
          <w:p w14:paraId="464C68B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C5A307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B02F67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5.996.208,79</w:t>
            </w:r>
          </w:p>
        </w:tc>
      </w:tr>
      <w:tr w:rsidR="003E19A2" w:rsidRPr="0069558B" w14:paraId="62E7CA1D"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4AA2F6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FE971B0"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29BB3CA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P_290</w:t>
            </w:r>
          </w:p>
        </w:tc>
        <w:tc>
          <w:tcPr>
            <w:tcW w:w="3686" w:type="dxa"/>
            <w:tcBorders>
              <w:top w:val="nil"/>
              <w:left w:val="nil"/>
              <w:bottom w:val="single" w:sz="4" w:space="0" w:color="auto"/>
              <w:right w:val="single" w:sz="4" w:space="0" w:color="auto"/>
            </w:tcBorders>
            <w:shd w:val="clear" w:color="auto" w:fill="auto"/>
            <w:noWrap/>
            <w:vAlign w:val="center"/>
            <w:hideMark/>
          </w:tcPr>
          <w:p w14:paraId="0F13036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Eletrans</w:t>
            </w:r>
          </w:p>
        </w:tc>
        <w:tc>
          <w:tcPr>
            <w:tcW w:w="2268" w:type="dxa"/>
            <w:tcBorders>
              <w:top w:val="nil"/>
              <w:left w:val="nil"/>
              <w:bottom w:val="single" w:sz="4" w:space="0" w:color="auto"/>
              <w:right w:val="single" w:sz="4" w:space="0" w:color="auto"/>
            </w:tcBorders>
            <w:shd w:val="clear" w:color="auto" w:fill="auto"/>
            <w:noWrap/>
            <w:vAlign w:val="center"/>
            <w:hideMark/>
          </w:tcPr>
          <w:p w14:paraId="677732E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3.312.450,40</w:t>
            </w:r>
          </w:p>
        </w:tc>
      </w:tr>
      <w:tr w:rsidR="003E19A2" w:rsidRPr="0069558B" w14:paraId="380CF1C2"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71419558"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7C0B56D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5A104CE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P_480</w:t>
            </w:r>
          </w:p>
        </w:tc>
        <w:tc>
          <w:tcPr>
            <w:tcW w:w="3686" w:type="dxa"/>
            <w:tcBorders>
              <w:top w:val="nil"/>
              <w:left w:val="nil"/>
              <w:bottom w:val="single" w:sz="4" w:space="0" w:color="auto"/>
              <w:right w:val="single" w:sz="4" w:space="0" w:color="auto"/>
            </w:tcBorders>
            <w:shd w:val="clear" w:color="auto" w:fill="auto"/>
            <w:noWrap/>
            <w:vAlign w:val="center"/>
            <w:hideMark/>
          </w:tcPr>
          <w:p w14:paraId="3E63140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SATT</w:t>
            </w:r>
          </w:p>
        </w:tc>
        <w:tc>
          <w:tcPr>
            <w:tcW w:w="2268" w:type="dxa"/>
            <w:tcBorders>
              <w:top w:val="nil"/>
              <w:left w:val="nil"/>
              <w:bottom w:val="single" w:sz="4" w:space="0" w:color="auto"/>
              <w:right w:val="single" w:sz="4" w:space="0" w:color="auto"/>
            </w:tcBorders>
            <w:shd w:val="clear" w:color="auto" w:fill="auto"/>
            <w:noWrap/>
            <w:vAlign w:val="center"/>
            <w:hideMark/>
          </w:tcPr>
          <w:p w14:paraId="7A054AA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696.112,27</w:t>
            </w:r>
          </w:p>
        </w:tc>
      </w:tr>
      <w:tr w:rsidR="003E19A2" w:rsidRPr="0069558B" w14:paraId="4951BB88"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A36F4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N_126</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0FF0BB6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Salar 220-&gt;Calama Nueva 220</w:t>
            </w:r>
          </w:p>
        </w:tc>
        <w:tc>
          <w:tcPr>
            <w:tcW w:w="1134" w:type="dxa"/>
            <w:tcBorders>
              <w:top w:val="nil"/>
              <w:left w:val="nil"/>
              <w:bottom w:val="single" w:sz="4" w:space="0" w:color="auto"/>
              <w:right w:val="single" w:sz="4" w:space="0" w:color="auto"/>
            </w:tcBorders>
            <w:shd w:val="clear" w:color="auto" w:fill="auto"/>
            <w:noWrap/>
            <w:vAlign w:val="center"/>
            <w:hideMark/>
          </w:tcPr>
          <w:p w14:paraId="21532D2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P_120</w:t>
            </w:r>
          </w:p>
        </w:tc>
        <w:tc>
          <w:tcPr>
            <w:tcW w:w="3686" w:type="dxa"/>
            <w:tcBorders>
              <w:top w:val="nil"/>
              <w:left w:val="nil"/>
              <w:bottom w:val="single" w:sz="4" w:space="0" w:color="auto"/>
              <w:right w:val="single" w:sz="4" w:space="0" w:color="auto"/>
            </w:tcBorders>
            <w:shd w:val="clear" w:color="auto" w:fill="auto"/>
            <w:noWrap/>
            <w:vAlign w:val="center"/>
            <w:hideMark/>
          </w:tcPr>
          <w:p w14:paraId="0EF6E70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TRANSEMEL</w:t>
            </w:r>
          </w:p>
        </w:tc>
        <w:tc>
          <w:tcPr>
            <w:tcW w:w="2268" w:type="dxa"/>
            <w:tcBorders>
              <w:top w:val="nil"/>
              <w:left w:val="nil"/>
              <w:bottom w:val="single" w:sz="4" w:space="0" w:color="auto"/>
              <w:right w:val="single" w:sz="4" w:space="0" w:color="auto"/>
            </w:tcBorders>
            <w:shd w:val="clear" w:color="auto" w:fill="auto"/>
            <w:noWrap/>
            <w:vAlign w:val="center"/>
            <w:hideMark/>
          </w:tcPr>
          <w:p w14:paraId="3109356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6.929.460,85</w:t>
            </w:r>
          </w:p>
        </w:tc>
      </w:tr>
      <w:tr w:rsidR="003E19A2" w:rsidRPr="0069558B" w14:paraId="54DF3E8B"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F941C7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50149C5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41BF1F75"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P_133</w:t>
            </w:r>
          </w:p>
        </w:tc>
        <w:tc>
          <w:tcPr>
            <w:tcW w:w="3686" w:type="dxa"/>
            <w:tcBorders>
              <w:top w:val="nil"/>
              <w:left w:val="nil"/>
              <w:bottom w:val="single" w:sz="4" w:space="0" w:color="auto"/>
              <w:right w:val="single" w:sz="4" w:space="0" w:color="auto"/>
            </w:tcBorders>
            <w:shd w:val="clear" w:color="auto" w:fill="auto"/>
            <w:noWrap/>
            <w:vAlign w:val="center"/>
            <w:hideMark/>
          </w:tcPr>
          <w:p w14:paraId="5C26A185"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CODELCO NORTE</w:t>
            </w:r>
          </w:p>
        </w:tc>
        <w:tc>
          <w:tcPr>
            <w:tcW w:w="2268" w:type="dxa"/>
            <w:tcBorders>
              <w:top w:val="nil"/>
              <w:left w:val="nil"/>
              <w:bottom w:val="single" w:sz="4" w:space="0" w:color="auto"/>
              <w:right w:val="single" w:sz="4" w:space="0" w:color="auto"/>
            </w:tcBorders>
            <w:shd w:val="clear" w:color="auto" w:fill="auto"/>
            <w:noWrap/>
            <w:vAlign w:val="center"/>
            <w:hideMark/>
          </w:tcPr>
          <w:p w14:paraId="510F593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269.962,70</w:t>
            </w:r>
          </w:p>
        </w:tc>
      </w:tr>
      <w:tr w:rsidR="003E19A2" w:rsidRPr="0069558B" w14:paraId="46F13914"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36F3BF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D5CCBB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5C00533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P_083</w:t>
            </w:r>
          </w:p>
        </w:tc>
        <w:tc>
          <w:tcPr>
            <w:tcW w:w="3686" w:type="dxa"/>
            <w:tcBorders>
              <w:top w:val="nil"/>
              <w:left w:val="nil"/>
              <w:bottom w:val="single" w:sz="4" w:space="0" w:color="auto"/>
              <w:right w:val="single" w:sz="4" w:space="0" w:color="auto"/>
            </w:tcBorders>
            <w:shd w:val="clear" w:color="auto" w:fill="auto"/>
            <w:noWrap/>
            <w:vAlign w:val="center"/>
            <w:hideMark/>
          </w:tcPr>
          <w:p w14:paraId="138665F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CGE</w:t>
            </w:r>
          </w:p>
        </w:tc>
        <w:tc>
          <w:tcPr>
            <w:tcW w:w="2268" w:type="dxa"/>
            <w:tcBorders>
              <w:top w:val="nil"/>
              <w:left w:val="nil"/>
              <w:bottom w:val="single" w:sz="4" w:space="0" w:color="auto"/>
              <w:right w:val="single" w:sz="4" w:space="0" w:color="auto"/>
            </w:tcBorders>
            <w:shd w:val="clear" w:color="auto" w:fill="auto"/>
            <w:noWrap/>
            <w:vAlign w:val="center"/>
            <w:hideMark/>
          </w:tcPr>
          <w:p w14:paraId="2602728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25.887,45</w:t>
            </w:r>
          </w:p>
        </w:tc>
      </w:tr>
      <w:tr w:rsidR="003E19A2" w:rsidRPr="0069558B" w14:paraId="443E4C24"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2F27946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1C74E89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4C0CCDE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22436B29"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0F72DABD"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11.434,07</w:t>
            </w:r>
          </w:p>
        </w:tc>
      </w:tr>
      <w:tr w:rsidR="003E19A2" w:rsidRPr="0069558B" w14:paraId="3E9CC6CB"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FBE5D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N_127</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EADE82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Salar 220-&gt;Chuquicamata 220</w:t>
            </w:r>
          </w:p>
        </w:tc>
        <w:tc>
          <w:tcPr>
            <w:tcW w:w="1134" w:type="dxa"/>
            <w:tcBorders>
              <w:top w:val="nil"/>
              <w:left w:val="nil"/>
              <w:bottom w:val="single" w:sz="4" w:space="0" w:color="auto"/>
              <w:right w:val="single" w:sz="4" w:space="0" w:color="auto"/>
            </w:tcBorders>
            <w:shd w:val="clear" w:color="auto" w:fill="auto"/>
            <w:noWrap/>
            <w:vAlign w:val="center"/>
            <w:hideMark/>
          </w:tcPr>
          <w:p w14:paraId="20B0526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2756D7D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49A4494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5.280.897,92</w:t>
            </w:r>
          </w:p>
        </w:tc>
      </w:tr>
      <w:tr w:rsidR="003E19A2" w:rsidRPr="0069558B" w14:paraId="3394DE4E"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F833FF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09391DD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F3A0B9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P_133</w:t>
            </w:r>
          </w:p>
        </w:tc>
        <w:tc>
          <w:tcPr>
            <w:tcW w:w="3686" w:type="dxa"/>
            <w:tcBorders>
              <w:top w:val="nil"/>
              <w:left w:val="nil"/>
              <w:bottom w:val="single" w:sz="4" w:space="0" w:color="auto"/>
              <w:right w:val="single" w:sz="4" w:space="0" w:color="auto"/>
            </w:tcBorders>
            <w:shd w:val="clear" w:color="auto" w:fill="auto"/>
            <w:noWrap/>
            <w:vAlign w:val="center"/>
            <w:hideMark/>
          </w:tcPr>
          <w:p w14:paraId="20DC1EFD"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CODELCO NORTE</w:t>
            </w:r>
          </w:p>
        </w:tc>
        <w:tc>
          <w:tcPr>
            <w:tcW w:w="2268" w:type="dxa"/>
            <w:tcBorders>
              <w:top w:val="nil"/>
              <w:left w:val="nil"/>
              <w:bottom w:val="single" w:sz="4" w:space="0" w:color="auto"/>
              <w:right w:val="single" w:sz="4" w:space="0" w:color="auto"/>
            </w:tcBorders>
            <w:shd w:val="clear" w:color="auto" w:fill="auto"/>
            <w:noWrap/>
            <w:vAlign w:val="center"/>
            <w:hideMark/>
          </w:tcPr>
          <w:p w14:paraId="379D961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3.470.257,64</w:t>
            </w:r>
          </w:p>
        </w:tc>
      </w:tr>
      <w:tr w:rsidR="003E19A2" w:rsidRPr="0069558B" w14:paraId="65CF00B5"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21354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N_128</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2205773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Salar 220-&gt;Nueva Chuquicamata 220</w:t>
            </w:r>
          </w:p>
        </w:tc>
        <w:tc>
          <w:tcPr>
            <w:tcW w:w="1134" w:type="dxa"/>
            <w:tcBorders>
              <w:top w:val="nil"/>
              <w:left w:val="nil"/>
              <w:bottom w:val="single" w:sz="4" w:space="0" w:color="auto"/>
              <w:right w:val="single" w:sz="4" w:space="0" w:color="auto"/>
            </w:tcBorders>
            <w:shd w:val="clear" w:color="auto" w:fill="auto"/>
            <w:noWrap/>
            <w:vAlign w:val="center"/>
            <w:hideMark/>
          </w:tcPr>
          <w:p w14:paraId="46BBB9E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P_164</w:t>
            </w:r>
          </w:p>
        </w:tc>
        <w:tc>
          <w:tcPr>
            <w:tcW w:w="3686" w:type="dxa"/>
            <w:tcBorders>
              <w:top w:val="nil"/>
              <w:left w:val="nil"/>
              <w:bottom w:val="single" w:sz="4" w:space="0" w:color="auto"/>
              <w:right w:val="single" w:sz="4" w:space="0" w:color="auto"/>
            </w:tcBorders>
            <w:shd w:val="clear" w:color="auto" w:fill="auto"/>
            <w:noWrap/>
            <w:vAlign w:val="center"/>
            <w:hideMark/>
          </w:tcPr>
          <w:p w14:paraId="2AD8620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E-CL</w:t>
            </w:r>
          </w:p>
        </w:tc>
        <w:tc>
          <w:tcPr>
            <w:tcW w:w="2268" w:type="dxa"/>
            <w:tcBorders>
              <w:top w:val="nil"/>
              <w:left w:val="nil"/>
              <w:bottom w:val="single" w:sz="4" w:space="0" w:color="auto"/>
              <w:right w:val="single" w:sz="4" w:space="0" w:color="auto"/>
            </w:tcBorders>
            <w:shd w:val="clear" w:color="auto" w:fill="auto"/>
            <w:noWrap/>
            <w:vAlign w:val="center"/>
            <w:hideMark/>
          </w:tcPr>
          <w:p w14:paraId="4A34C74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4.458.621,89</w:t>
            </w:r>
          </w:p>
        </w:tc>
      </w:tr>
      <w:tr w:rsidR="003E19A2" w:rsidRPr="0069558B" w14:paraId="1CB38375"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515B05E1"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2BFD78A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360B934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P_133</w:t>
            </w:r>
          </w:p>
        </w:tc>
        <w:tc>
          <w:tcPr>
            <w:tcW w:w="3686" w:type="dxa"/>
            <w:tcBorders>
              <w:top w:val="nil"/>
              <w:left w:val="nil"/>
              <w:bottom w:val="single" w:sz="4" w:space="0" w:color="auto"/>
              <w:right w:val="single" w:sz="4" w:space="0" w:color="auto"/>
            </w:tcBorders>
            <w:shd w:val="clear" w:color="auto" w:fill="auto"/>
            <w:noWrap/>
            <w:vAlign w:val="center"/>
            <w:hideMark/>
          </w:tcPr>
          <w:p w14:paraId="751E3CD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CODELCO NORTE</w:t>
            </w:r>
          </w:p>
        </w:tc>
        <w:tc>
          <w:tcPr>
            <w:tcW w:w="2268" w:type="dxa"/>
            <w:tcBorders>
              <w:top w:val="nil"/>
              <w:left w:val="nil"/>
              <w:bottom w:val="single" w:sz="4" w:space="0" w:color="auto"/>
              <w:right w:val="single" w:sz="4" w:space="0" w:color="auto"/>
            </w:tcBorders>
            <w:shd w:val="clear" w:color="auto" w:fill="auto"/>
            <w:noWrap/>
            <w:vAlign w:val="center"/>
            <w:hideMark/>
          </w:tcPr>
          <w:p w14:paraId="2410344F"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3.224.754,97</w:t>
            </w:r>
          </w:p>
        </w:tc>
      </w:tr>
      <w:tr w:rsidR="003E19A2" w:rsidRPr="0069558B" w14:paraId="67438681"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DC6E14B"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N_129</w:t>
            </w:r>
          </w:p>
        </w:tc>
        <w:tc>
          <w:tcPr>
            <w:tcW w:w="3969" w:type="dxa"/>
            <w:tcBorders>
              <w:top w:val="nil"/>
              <w:left w:val="nil"/>
              <w:bottom w:val="single" w:sz="4" w:space="0" w:color="auto"/>
              <w:right w:val="single" w:sz="4" w:space="0" w:color="auto"/>
            </w:tcBorders>
            <w:shd w:val="clear" w:color="auto" w:fill="auto"/>
            <w:vAlign w:val="center"/>
            <w:hideMark/>
          </w:tcPr>
          <w:p w14:paraId="41BDC02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San Luis 220-&gt;Agua Santa 220</w:t>
            </w:r>
          </w:p>
        </w:tc>
        <w:tc>
          <w:tcPr>
            <w:tcW w:w="1134" w:type="dxa"/>
            <w:tcBorders>
              <w:top w:val="nil"/>
              <w:left w:val="nil"/>
              <w:bottom w:val="single" w:sz="4" w:space="0" w:color="auto"/>
              <w:right w:val="single" w:sz="4" w:space="0" w:color="auto"/>
            </w:tcBorders>
            <w:shd w:val="clear" w:color="auto" w:fill="auto"/>
            <w:noWrap/>
            <w:vAlign w:val="center"/>
            <w:hideMark/>
          </w:tcPr>
          <w:p w14:paraId="2781841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P_113</w:t>
            </w:r>
          </w:p>
        </w:tc>
        <w:tc>
          <w:tcPr>
            <w:tcW w:w="3686" w:type="dxa"/>
            <w:tcBorders>
              <w:top w:val="nil"/>
              <w:left w:val="nil"/>
              <w:bottom w:val="single" w:sz="4" w:space="0" w:color="auto"/>
              <w:right w:val="single" w:sz="4" w:space="0" w:color="auto"/>
            </w:tcBorders>
            <w:shd w:val="clear" w:color="auto" w:fill="auto"/>
            <w:noWrap/>
            <w:vAlign w:val="center"/>
            <w:hideMark/>
          </w:tcPr>
          <w:p w14:paraId="2EB4493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CHILQUINTA ENERGIA</w:t>
            </w:r>
          </w:p>
        </w:tc>
        <w:tc>
          <w:tcPr>
            <w:tcW w:w="2268" w:type="dxa"/>
            <w:tcBorders>
              <w:top w:val="nil"/>
              <w:left w:val="nil"/>
              <w:bottom w:val="single" w:sz="4" w:space="0" w:color="auto"/>
              <w:right w:val="single" w:sz="4" w:space="0" w:color="auto"/>
            </w:tcBorders>
            <w:shd w:val="clear" w:color="auto" w:fill="auto"/>
            <w:noWrap/>
            <w:vAlign w:val="center"/>
            <w:hideMark/>
          </w:tcPr>
          <w:p w14:paraId="556A3A1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24.680.192,07</w:t>
            </w:r>
          </w:p>
        </w:tc>
      </w:tr>
      <w:tr w:rsidR="003E19A2" w:rsidRPr="0069558B" w14:paraId="6F85AE3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48BF04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N_130</w:t>
            </w:r>
          </w:p>
        </w:tc>
        <w:tc>
          <w:tcPr>
            <w:tcW w:w="3969" w:type="dxa"/>
            <w:tcBorders>
              <w:top w:val="nil"/>
              <w:left w:val="nil"/>
              <w:bottom w:val="single" w:sz="4" w:space="0" w:color="auto"/>
              <w:right w:val="single" w:sz="4" w:space="0" w:color="auto"/>
            </w:tcBorders>
            <w:shd w:val="clear" w:color="auto" w:fill="auto"/>
            <w:vAlign w:val="center"/>
            <w:hideMark/>
          </w:tcPr>
          <w:p w14:paraId="278CF54F"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San Simon 220-&gt;Nueva Victoria 220</w:t>
            </w:r>
          </w:p>
        </w:tc>
        <w:tc>
          <w:tcPr>
            <w:tcW w:w="1134" w:type="dxa"/>
            <w:tcBorders>
              <w:top w:val="nil"/>
              <w:left w:val="nil"/>
              <w:bottom w:val="single" w:sz="4" w:space="0" w:color="auto"/>
              <w:right w:val="single" w:sz="4" w:space="0" w:color="auto"/>
            </w:tcBorders>
            <w:shd w:val="clear" w:color="auto" w:fill="auto"/>
            <w:noWrap/>
            <w:vAlign w:val="center"/>
            <w:hideMark/>
          </w:tcPr>
          <w:p w14:paraId="65ABAFA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67EF00B"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ECB7CF5"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4.068.903,64</w:t>
            </w:r>
          </w:p>
        </w:tc>
      </w:tr>
      <w:tr w:rsidR="003E19A2" w:rsidRPr="0069558B" w14:paraId="56E2FC1D"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679BE22"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N_131</w:t>
            </w:r>
          </w:p>
        </w:tc>
        <w:tc>
          <w:tcPr>
            <w:tcW w:w="3969" w:type="dxa"/>
            <w:tcBorders>
              <w:top w:val="nil"/>
              <w:left w:val="nil"/>
              <w:bottom w:val="single" w:sz="4" w:space="0" w:color="auto"/>
              <w:right w:val="single" w:sz="4" w:space="0" w:color="auto"/>
            </w:tcBorders>
            <w:shd w:val="clear" w:color="auto" w:fill="auto"/>
            <w:vAlign w:val="center"/>
            <w:hideMark/>
          </w:tcPr>
          <w:p w14:paraId="37802141"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San Simon 220-&gt;Quillagua 220</w:t>
            </w:r>
          </w:p>
        </w:tc>
        <w:tc>
          <w:tcPr>
            <w:tcW w:w="1134" w:type="dxa"/>
            <w:tcBorders>
              <w:top w:val="nil"/>
              <w:left w:val="nil"/>
              <w:bottom w:val="single" w:sz="4" w:space="0" w:color="auto"/>
              <w:right w:val="single" w:sz="4" w:space="0" w:color="auto"/>
            </w:tcBorders>
            <w:shd w:val="clear" w:color="auto" w:fill="auto"/>
            <w:noWrap/>
            <w:vAlign w:val="center"/>
            <w:hideMark/>
          </w:tcPr>
          <w:p w14:paraId="49887AA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3D7244E"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F98759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14.796.625,52</w:t>
            </w:r>
          </w:p>
        </w:tc>
      </w:tr>
      <w:tr w:rsidR="003E19A2" w:rsidRPr="0069558B" w14:paraId="0A94EDDB"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CEEC67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N_132</w:t>
            </w:r>
          </w:p>
        </w:tc>
        <w:tc>
          <w:tcPr>
            <w:tcW w:w="3969" w:type="dxa"/>
            <w:tcBorders>
              <w:top w:val="nil"/>
              <w:left w:val="nil"/>
              <w:bottom w:val="single" w:sz="4" w:space="0" w:color="auto"/>
              <w:right w:val="single" w:sz="4" w:space="0" w:color="auto"/>
            </w:tcBorders>
            <w:shd w:val="clear" w:color="auto" w:fill="auto"/>
            <w:vAlign w:val="center"/>
            <w:hideMark/>
          </w:tcPr>
          <w:p w14:paraId="4F40AC9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Tap El Manzano 220-&gt;Tap Chicureo 220</w:t>
            </w:r>
          </w:p>
        </w:tc>
        <w:tc>
          <w:tcPr>
            <w:tcW w:w="1134" w:type="dxa"/>
            <w:tcBorders>
              <w:top w:val="nil"/>
              <w:left w:val="nil"/>
              <w:bottom w:val="single" w:sz="4" w:space="0" w:color="auto"/>
              <w:right w:val="single" w:sz="4" w:space="0" w:color="auto"/>
            </w:tcBorders>
            <w:shd w:val="clear" w:color="auto" w:fill="auto"/>
            <w:noWrap/>
            <w:vAlign w:val="center"/>
            <w:hideMark/>
          </w:tcPr>
          <w:p w14:paraId="7F29927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P_111</w:t>
            </w:r>
          </w:p>
        </w:tc>
        <w:tc>
          <w:tcPr>
            <w:tcW w:w="3686" w:type="dxa"/>
            <w:tcBorders>
              <w:top w:val="nil"/>
              <w:left w:val="nil"/>
              <w:bottom w:val="single" w:sz="4" w:space="0" w:color="auto"/>
              <w:right w:val="single" w:sz="4" w:space="0" w:color="auto"/>
            </w:tcBorders>
            <w:shd w:val="clear" w:color="auto" w:fill="auto"/>
            <w:noWrap/>
            <w:vAlign w:val="center"/>
            <w:hideMark/>
          </w:tcPr>
          <w:p w14:paraId="78E3C95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ENEL DISTRIBUCION S.A</w:t>
            </w:r>
          </w:p>
        </w:tc>
        <w:tc>
          <w:tcPr>
            <w:tcW w:w="2268" w:type="dxa"/>
            <w:tcBorders>
              <w:top w:val="nil"/>
              <w:left w:val="nil"/>
              <w:bottom w:val="single" w:sz="4" w:space="0" w:color="auto"/>
              <w:right w:val="single" w:sz="4" w:space="0" w:color="auto"/>
            </w:tcBorders>
            <w:shd w:val="clear" w:color="auto" w:fill="auto"/>
            <w:noWrap/>
            <w:vAlign w:val="center"/>
            <w:hideMark/>
          </w:tcPr>
          <w:p w14:paraId="55B136EC"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26.007.363,93</w:t>
            </w:r>
          </w:p>
        </w:tc>
      </w:tr>
      <w:tr w:rsidR="003E19A2" w:rsidRPr="0069558B" w14:paraId="018585A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E75902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N_133</w:t>
            </w:r>
          </w:p>
        </w:tc>
        <w:tc>
          <w:tcPr>
            <w:tcW w:w="3969" w:type="dxa"/>
            <w:tcBorders>
              <w:top w:val="nil"/>
              <w:left w:val="nil"/>
              <w:bottom w:val="single" w:sz="4" w:space="0" w:color="auto"/>
              <w:right w:val="single" w:sz="4" w:space="0" w:color="auto"/>
            </w:tcBorders>
            <w:shd w:val="clear" w:color="auto" w:fill="auto"/>
            <w:vAlign w:val="center"/>
            <w:hideMark/>
          </w:tcPr>
          <w:p w14:paraId="4F28C8D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Tap El Romero 220-&gt;Don Hector 220</w:t>
            </w:r>
          </w:p>
        </w:tc>
        <w:tc>
          <w:tcPr>
            <w:tcW w:w="1134" w:type="dxa"/>
            <w:tcBorders>
              <w:top w:val="nil"/>
              <w:left w:val="nil"/>
              <w:bottom w:val="single" w:sz="4" w:space="0" w:color="auto"/>
              <w:right w:val="single" w:sz="4" w:space="0" w:color="auto"/>
            </w:tcBorders>
            <w:shd w:val="clear" w:color="auto" w:fill="auto"/>
            <w:noWrap/>
            <w:vAlign w:val="center"/>
            <w:hideMark/>
          </w:tcPr>
          <w:p w14:paraId="6AAEC12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4D356443"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14544FC9"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990.683,69</w:t>
            </w:r>
          </w:p>
        </w:tc>
      </w:tr>
      <w:tr w:rsidR="003E19A2" w:rsidRPr="0069558B" w14:paraId="52AD5176"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A64EA8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N_134</w:t>
            </w:r>
          </w:p>
        </w:tc>
        <w:tc>
          <w:tcPr>
            <w:tcW w:w="3969" w:type="dxa"/>
            <w:tcBorders>
              <w:top w:val="nil"/>
              <w:left w:val="nil"/>
              <w:bottom w:val="single" w:sz="4" w:space="0" w:color="auto"/>
              <w:right w:val="single" w:sz="4" w:space="0" w:color="auto"/>
            </w:tcBorders>
            <w:shd w:val="clear" w:color="auto" w:fill="auto"/>
            <w:vAlign w:val="center"/>
            <w:hideMark/>
          </w:tcPr>
          <w:p w14:paraId="0C86F460" w14:textId="77777777" w:rsidR="003E19A2" w:rsidRPr="0069558B" w:rsidRDefault="003E19A2" w:rsidP="00725CE1">
            <w:pPr>
              <w:spacing w:before="20" w:after="20" w:line="240" w:lineRule="auto"/>
              <w:jc w:val="center"/>
              <w:rPr>
                <w:rFonts w:eastAsia="Times New Roman" w:cs="Calibri"/>
                <w:color w:val="000000"/>
                <w:sz w:val="20"/>
                <w:szCs w:val="20"/>
                <w:lang w:val="en-US" w:eastAsia="es-CL"/>
              </w:rPr>
            </w:pPr>
            <w:r w:rsidRPr="0069558B">
              <w:rPr>
                <w:rFonts w:eastAsia="Times New Roman" w:cs="Calibri"/>
                <w:color w:val="000000"/>
                <w:sz w:val="20"/>
                <w:szCs w:val="20"/>
                <w:lang w:val="en-US" w:eastAsia="es-CL"/>
              </w:rPr>
              <w:t>Tap Off Santa Isabel 220-&gt;Itahue 220</w:t>
            </w:r>
          </w:p>
        </w:tc>
        <w:tc>
          <w:tcPr>
            <w:tcW w:w="1134" w:type="dxa"/>
            <w:tcBorders>
              <w:top w:val="nil"/>
              <w:left w:val="nil"/>
              <w:bottom w:val="single" w:sz="4" w:space="0" w:color="auto"/>
              <w:right w:val="single" w:sz="4" w:space="0" w:color="auto"/>
            </w:tcBorders>
            <w:shd w:val="clear" w:color="auto" w:fill="auto"/>
            <w:noWrap/>
            <w:vAlign w:val="center"/>
            <w:hideMark/>
          </w:tcPr>
          <w:p w14:paraId="3059BB1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7D6B9F12"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24C27272"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8.186.401,86</w:t>
            </w:r>
          </w:p>
        </w:tc>
      </w:tr>
      <w:tr w:rsidR="003E19A2" w:rsidRPr="0069558B" w14:paraId="419C7F88"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E1AF1BC"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N_136</w:t>
            </w:r>
          </w:p>
        </w:tc>
        <w:tc>
          <w:tcPr>
            <w:tcW w:w="3969" w:type="dxa"/>
            <w:tcBorders>
              <w:top w:val="nil"/>
              <w:left w:val="nil"/>
              <w:bottom w:val="single" w:sz="4" w:space="0" w:color="auto"/>
              <w:right w:val="single" w:sz="4" w:space="0" w:color="auto"/>
            </w:tcBorders>
            <w:shd w:val="clear" w:color="auto" w:fill="auto"/>
            <w:vAlign w:val="center"/>
            <w:hideMark/>
          </w:tcPr>
          <w:p w14:paraId="4AB8994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Tarapaca 220-&gt;Condores 220</w:t>
            </w:r>
          </w:p>
        </w:tc>
        <w:tc>
          <w:tcPr>
            <w:tcW w:w="1134" w:type="dxa"/>
            <w:tcBorders>
              <w:top w:val="nil"/>
              <w:left w:val="nil"/>
              <w:bottom w:val="single" w:sz="4" w:space="0" w:color="auto"/>
              <w:right w:val="single" w:sz="4" w:space="0" w:color="auto"/>
            </w:tcBorders>
            <w:shd w:val="clear" w:color="auto" w:fill="auto"/>
            <w:noWrap/>
            <w:vAlign w:val="center"/>
            <w:hideMark/>
          </w:tcPr>
          <w:p w14:paraId="26DD2CC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0E0BD56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770623E8"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15.457.181,50</w:t>
            </w:r>
          </w:p>
        </w:tc>
      </w:tr>
      <w:tr w:rsidR="003E19A2" w:rsidRPr="0069558B" w14:paraId="6EA2A299"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BD54ED0"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N_137</w:t>
            </w:r>
          </w:p>
        </w:tc>
        <w:tc>
          <w:tcPr>
            <w:tcW w:w="3969" w:type="dxa"/>
            <w:tcBorders>
              <w:top w:val="nil"/>
              <w:left w:val="nil"/>
              <w:bottom w:val="single" w:sz="4" w:space="0" w:color="auto"/>
              <w:right w:val="single" w:sz="4" w:space="0" w:color="auto"/>
            </w:tcBorders>
            <w:shd w:val="clear" w:color="auto" w:fill="auto"/>
            <w:vAlign w:val="center"/>
            <w:hideMark/>
          </w:tcPr>
          <w:p w14:paraId="313D433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Tarapaca 220-&gt;Lagunas 220</w:t>
            </w:r>
          </w:p>
        </w:tc>
        <w:tc>
          <w:tcPr>
            <w:tcW w:w="1134" w:type="dxa"/>
            <w:tcBorders>
              <w:top w:val="nil"/>
              <w:left w:val="nil"/>
              <w:bottom w:val="single" w:sz="4" w:space="0" w:color="auto"/>
              <w:right w:val="single" w:sz="4" w:space="0" w:color="auto"/>
            </w:tcBorders>
            <w:shd w:val="clear" w:color="auto" w:fill="auto"/>
            <w:noWrap/>
            <w:vAlign w:val="center"/>
            <w:hideMark/>
          </w:tcPr>
          <w:p w14:paraId="1647D9DD"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5D7DC10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3C644B1E"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18.977.954,69</w:t>
            </w:r>
          </w:p>
        </w:tc>
      </w:tr>
      <w:tr w:rsidR="003E19A2" w:rsidRPr="0069558B" w14:paraId="46DC67AC"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044CC94"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N_138</w:t>
            </w:r>
          </w:p>
        </w:tc>
        <w:tc>
          <w:tcPr>
            <w:tcW w:w="3969" w:type="dxa"/>
            <w:tcBorders>
              <w:top w:val="nil"/>
              <w:left w:val="nil"/>
              <w:bottom w:val="single" w:sz="4" w:space="0" w:color="auto"/>
              <w:right w:val="single" w:sz="4" w:space="0" w:color="auto"/>
            </w:tcBorders>
            <w:shd w:val="clear" w:color="auto" w:fill="auto"/>
            <w:vAlign w:val="center"/>
            <w:hideMark/>
          </w:tcPr>
          <w:p w14:paraId="1A69337E"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Temuco 220-&gt;Cautin 220</w:t>
            </w:r>
          </w:p>
        </w:tc>
        <w:tc>
          <w:tcPr>
            <w:tcW w:w="1134" w:type="dxa"/>
            <w:tcBorders>
              <w:top w:val="nil"/>
              <w:left w:val="nil"/>
              <w:bottom w:val="single" w:sz="4" w:space="0" w:color="auto"/>
              <w:right w:val="single" w:sz="4" w:space="0" w:color="auto"/>
            </w:tcBorders>
            <w:shd w:val="clear" w:color="auto" w:fill="auto"/>
            <w:noWrap/>
            <w:vAlign w:val="center"/>
            <w:hideMark/>
          </w:tcPr>
          <w:p w14:paraId="50E927A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1BA2814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4445DA81"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3.355.181,85</w:t>
            </w:r>
          </w:p>
        </w:tc>
      </w:tr>
      <w:tr w:rsidR="003E19A2" w:rsidRPr="0069558B" w14:paraId="09F88831" w14:textId="77777777" w:rsidTr="00725CE1">
        <w:trPr>
          <w:jc w:val="center"/>
        </w:trPr>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81FF0A"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N_139</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14:paraId="6621D608"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Temuco 220-&gt;Los Peumos 220</w:t>
            </w:r>
          </w:p>
        </w:tc>
        <w:tc>
          <w:tcPr>
            <w:tcW w:w="1134" w:type="dxa"/>
            <w:tcBorders>
              <w:top w:val="nil"/>
              <w:left w:val="nil"/>
              <w:bottom w:val="single" w:sz="4" w:space="0" w:color="auto"/>
              <w:right w:val="single" w:sz="4" w:space="0" w:color="auto"/>
            </w:tcBorders>
            <w:shd w:val="clear" w:color="auto" w:fill="auto"/>
            <w:noWrap/>
            <w:vAlign w:val="center"/>
            <w:hideMark/>
          </w:tcPr>
          <w:p w14:paraId="3B1CE1F9"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5E15EAF7"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09E3F9F3"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14.580.107,14</w:t>
            </w:r>
          </w:p>
        </w:tc>
      </w:tr>
      <w:tr w:rsidR="003E19A2" w:rsidRPr="0069558B" w14:paraId="5C2D5763" w14:textId="77777777" w:rsidTr="00725CE1">
        <w:trPr>
          <w:jc w:val="center"/>
        </w:trPr>
        <w:tc>
          <w:tcPr>
            <w:tcW w:w="1985" w:type="dxa"/>
            <w:vMerge/>
            <w:tcBorders>
              <w:top w:val="nil"/>
              <w:left w:val="single" w:sz="4" w:space="0" w:color="auto"/>
              <w:bottom w:val="single" w:sz="4" w:space="0" w:color="000000"/>
              <w:right w:val="single" w:sz="4" w:space="0" w:color="auto"/>
            </w:tcBorders>
            <w:vAlign w:val="center"/>
            <w:hideMark/>
          </w:tcPr>
          <w:p w14:paraId="1E8D7A06"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3969" w:type="dxa"/>
            <w:vMerge/>
            <w:tcBorders>
              <w:top w:val="nil"/>
              <w:left w:val="single" w:sz="4" w:space="0" w:color="auto"/>
              <w:bottom w:val="single" w:sz="4" w:space="0" w:color="000000"/>
              <w:right w:val="single" w:sz="4" w:space="0" w:color="auto"/>
            </w:tcBorders>
            <w:vAlign w:val="center"/>
            <w:hideMark/>
          </w:tcPr>
          <w:p w14:paraId="348EF0D4" w14:textId="77777777" w:rsidR="003E19A2" w:rsidRPr="0069558B" w:rsidRDefault="003E19A2" w:rsidP="00725CE1">
            <w:pPr>
              <w:spacing w:before="20" w:after="20" w:line="240" w:lineRule="auto"/>
              <w:jc w:val="left"/>
              <w:rPr>
                <w:rFonts w:eastAsia="Times New Roman" w:cs="Calibri"/>
                <w:color w:val="000000"/>
                <w:sz w:val="20"/>
                <w:szCs w:val="20"/>
                <w:lang w:eastAsia="es-CL"/>
              </w:rPr>
            </w:pPr>
          </w:p>
        </w:tc>
        <w:tc>
          <w:tcPr>
            <w:tcW w:w="1134" w:type="dxa"/>
            <w:tcBorders>
              <w:top w:val="nil"/>
              <w:left w:val="nil"/>
              <w:bottom w:val="single" w:sz="4" w:space="0" w:color="auto"/>
              <w:right w:val="single" w:sz="4" w:space="0" w:color="auto"/>
            </w:tcBorders>
            <w:shd w:val="clear" w:color="auto" w:fill="auto"/>
            <w:noWrap/>
            <w:vAlign w:val="center"/>
            <w:hideMark/>
          </w:tcPr>
          <w:p w14:paraId="6AB9B4C7"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P_083</w:t>
            </w:r>
          </w:p>
        </w:tc>
        <w:tc>
          <w:tcPr>
            <w:tcW w:w="3686" w:type="dxa"/>
            <w:tcBorders>
              <w:top w:val="nil"/>
              <w:left w:val="nil"/>
              <w:bottom w:val="single" w:sz="4" w:space="0" w:color="auto"/>
              <w:right w:val="single" w:sz="4" w:space="0" w:color="auto"/>
            </w:tcBorders>
            <w:shd w:val="clear" w:color="auto" w:fill="auto"/>
            <w:noWrap/>
            <w:vAlign w:val="center"/>
            <w:hideMark/>
          </w:tcPr>
          <w:p w14:paraId="7159263C"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CGE</w:t>
            </w:r>
          </w:p>
        </w:tc>
        <w:tc>
          <w:tcPr>
            <w:tcW w:w="2268" w:type="dxa"/>
            <w:tcBorders>
              <w:top w:val="nil"/>
              <w:left w:val="nil"/>
              <w:bottom w:val="single" w:sz="4" w:space="0" w:color="auto"/>
              <w:right w:val="single" w:sz="4" w:space="0" w:color="auto"/>
            </w:tcBorders>
            <w:shd w:val="clear" w:color="auto" w:fill="auto"/>
            <w:noWrap/>
            <w:vAlign w:val="center"/>
            <w:hideMark/>
          </w:tcPr>
          <w:p w14:paraId="041CB3E0"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251.221,26</w:t>
            </w:r>
          </w:p>
        </w:tc>
      </w:tr>
      <w:tr w:rsidR="003E19A2" w:rsidRPr="0069558B" w14:paraId="249E2853" w14:textId="77777777" w:rsidTr="00725CE1">
        <w:trPr>
          <w:jc w:val="center"/>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27E67F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N_140</w:t>
            </w:r>
          </w:p>
        </w:tc>
        <w:tc>
          <w:tcPr>
            <w:tcW w:w="3969" w:type="dxa"/>
            <w:tcBorders>
              <w:top w:val="nil"/>
              <w:left w:val="nil"/>
              <w:bottom w:val="single" w:sz="4" w:space="0" w:color="auto"/>
              <w:right w:val="single" w:sz="4" w:space="0" w:color="auto"/>
            </w:tcBorders>
            <w:shd w:val="clear" w:color="auto" w:fill="auto"/>
            <w:vAlign w:val="center"/>
            <w:hideMark/>
          </w:tcPr>
          <w:p w14:paraId="5666C033"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Valdivia 220-&gt;Nueva Valdivia 220</w:t>
            </w:r>
          </w:p>
        </w:tc>
        <w:tc>
          <w:tcPr>
            <w:tcW w:w="1134" w:type="dxa"/>
            <w:tcBorders>
              <w:top w:val="nil"/>
              <w:left w:val="nil"/>
              <w:bottom w:val="single" w:sz="4" w:space="0" w:color="auto"/>
              <w:right w:val="single" w:sz="4" w:space="0" w:color="auto"/>
            </w:tcBorders>
            <w:shd w:val="clear" w:color="auto" w:fill="auto"/>
            <w:noWrap/>
            <w:vAlign w:val="center"/>
            <w:hideMark/>
          </w:tcPr>
          <w:p w14:paraId="3EE84616" w14:textId="77777777" w:rsidR="003E19A2" w:rsidRPr="0069558B" w:rsidRDefault="003E19A2" w:rsidP="00725CE1">
            <w:pPr>
              <w:spacing w:before="20" w:after="20" w:line="240" w:lineRule="auto"/>
              <w:jc w:val="center"/>
              <w:rPr>
                <w:rFonts w:eastAsia="Times New Roman" w:cs="Calibri"/>
                <w:color w:val="000000"/>
                <w:sz w:val="20"/>
                <w:szCs w:val="20"/>
                <w:lang w:eastAsia="es-CL"/>
              </w:rPr>
            </w:pPr>
            <w:r w:rsidRPr="0069558B">
              <w:rPr>
                <w:rFonts w:eastAsia="Times New Roman" w:cs="Calibri"/>
                <w:color w:val="000000"/>
                <w:sz w:val="20"/>
                <w:szCs w:val="20"/>
                <w:lang w:eastAsia="es-CL"/>
              </w:rPr>
              <w:t>P_032</w:t>
            </w:r>
          </w:p>
        </w:tc>
        <w:tc>
          <w:tcPr>
            <w:tcW w:w="3686" w:type="dxa"/>
            <w:tcBorders>
              <w:top w:val="nil"/>
              <w:left w:val="nil"/>
              <w:bottom w:val="single" w:sz="4" w:space="0" w:color="auto"/>
              <w:right w:val="single" w:sz="4" w:space="0" w:color="auto"/>
            </w:tcBorders>
            <w:shd w:val="clear" w:color="auto" w:fill="auto"/>
            <w:noWrap/>
            <w:vAlign w:val="center"/>
            <w:hideMark/>
          </w:tcPr>
          <w:p w14:paraId="6FD5807F" w14:textId="77777777" w:rsidR="003E19A2" w:rsidRPr="0069558B" w:rsidRDefault="003E19A2" w:rsidP="00725CE1">
            <w:pPr>
              <w:spacing w:before="20" w:after="20" w:line="240" w:lineRule="auto"/>
              <w:jc w:val="left"/>
              <w:rPr>
                <w:rFonts w:eastAsia="Times New Roman" w:cs="Calibri"/>
                <w:color w:val="000000"/>
                <w:sz w:val="20"/>
                <w:szCs w:val="20"/>
                <w:lang w:eastAsia="es-CL"/>
              </w:rPr>
            </w:pPr>
            <w:r w:rsidRPr="0069558B">
              <w:rPr>
                <w:rFonts w:eastAsia="Times New Roman" w:cs="Calibri"/>
                <w:color w:val="000000"/>
                <w:sz w:val="20"/>
                <w:szCs w:val="20"/>
                <w:lang w:eastAsia="es-CL"/>
              </w:rPr>
              <w:t>TRANSELEC S.A.</w:t>
            </w:r>
          </w:p>
        </w:tc>
        <w:tc>
          <w:tcPr>
            <w:tcW w:w="2268" w:type="dxa"/>
            <w:tcBorders>
              <w:top w:val="nil"/>
              <w:left w:val="nil"/>
              <w:bottom w:val="single" w:sz="4" w:space="0" w:color="auto"/>
              <w:right w:val="single" w:sz="4" w:space="0" w:color="auto"/>
            </w:tcBorders>
            <w:shd w:val="clear" w:color="auto" w:fill="auto"/>
            <w:noWrap/>
            <w:vAlign w:val="center"/>
            <w:hideMark/>
          </w:tcPr>
          <w:p w14:paraId="6CAF856A" w14:textId="77777777" w:rsidR="003E19A2" w:rsidRPr="0069558B" w:rsidRDefault="003E19A2" w:rsidP="00725CE1">
            <w:pPr>
              <w:spacing w:before="20" w:after="20" w:line="240" w:lineRule="auto"/>
              <w:jc w:val="right"/>
              <w:rPr>
                <w:rFonts w:eastAsia="Times New Roman" w:cs="Calibri"/>
                <w:b/>
                <w:bCs/>
                <w:color w:val="000000"/>
                <w:sz w:val="20"/>
                <w:szCs w:val="20"/>
                <w:lang w:eastAsia="es-CL"/>
              </w:rPr>
            </w:pPr>
            <w:r w:rsidRPr="0069558B">
              <w:rPr>
                <w:rFonts w:eastAsia="Times New Roman" w:cs="Calibri"/>
                <w:b/>
                <w:bCs/>
                <w:color w:val="000000"/>
                <w:sz w:val="20"/>
                <w:szCs w:val="20"/>
                <w:lang w:eastAsia="es-CL"/>
              </w:rPr>
              <w:t>3.214.433,34</w:t>
            </w:r>
          </w:p>
        </w:tc>
      </w:tr>
    </w:tbl>
    <w:p w14:paraId="627DB285" w14:textId="77777777" w:rsidR="003E19A2" w:rsidRDefault="003E19A2" w:rsidP="003E19A2">
      <w:pPr>
        <w:jc w:val="center"/>
      </w:pPr>
    </w:p>
    <w:p w14:paraId="4934AB7C" w14:textId="77777777" w:rsidR="003E19A2" w:rsidRDefault="003E19A2" w:rsidP="003E19A2">
      <w:pPr>
        <w:sectPr w:rsidR="003E19A2" w:rsidSect="003E19A2">
          <w:pgSz w:w="15842" w:h="12242" w:orient="landscape" w:code="1"/>
          <w:pgMar w:top="1134" w:right="1134" w:bottom="1418" w:left="1134" w:header="851" w:footer="1134" w:gutter="0"/>
          <w:cols w:space="708"/>
          <w:titlePg/>
          <w:docGrid w:linePitch="360"/>
        </w:sectPr>
      </w:pPr>
    </w:p>
    <w:p w14:paraId="30572612" w14:textId="77777777" w:rsidR="009E32FD" w:rsidRPr="009E32FD" w:rsidRDefault="009E32FD" w:rsidP="00D73D5B">
      <w:pPr>
        <w:pStyle w:val="Ttulo1"/>
      </w:pPr>
      <w:bookmarkStart w:id="313" w:name="_Toc34687267"/>
      <w:r w:rsidRPr="009E32FD">
        <w:t>DETERMINACIÓN DEL C.O.M.A.</w:t>
      </w:r>
      <w:bookmarkEnd w:id="313"/>
    </w:p>
    <w:p w14:paraId="1A5C5656" w14:textId="77777777" w:rsidR="0079428C" w:rsidRPr="00C91C8F" w:rsidRDefault="0079428C" w:rsidP="0079428C">
      <w:pPr>
        <w:rPr>
          <w:lang w:val="es-ES"/>
        </w:rPr>
      </w:pPr>
      <w:r w:rsidRPr="00C91C8F">
        <w:rPr>
          <w:lang w:val="es-ES"/>
        </w:rPr>
        <w:t>En este punto se presentan los resultados considerando la aplicación de la metodología, criterios y costos unitarios definidos en el capitulo pertinente.</w:t>
      </w:r>
    </w:p>
    <w:p w14:paraId="6368D3E4" w14:textId="77777777" w:rsidR="0079428C" w:rsidRPr="00F465C5" w:rsidRDefault="0079428C" w:rsidP="0079428C">
      <w:pPr>
        <w:pStyle w:val="Ttulo3"/>
      </w:pPr>
      <w:bookmarkStart w:id="314" w:name="_Toc34398163"/>
      <w:bookmarkStart w:id="315" w:name="_Toc34687268"/>
      <w:r w:rsidRPr="00F465C5">
        <w:t>Organigrama y plantilla de personal</w:t>
      </w:r>
      <w:bookmarkEnd w:id="314"/>
      <w:bookmarkEnd w:id="315"/>
    </w:p>
    <w:p w14:paraId="4795C9F0" w14:textId="77777777" w:rsidR="0079428C" w:rsidRPr="00C91C8F" w:rsidRDefault="0079428C" w:rsidP="0079428C">
      <w:pPr>
        <w:rPr>
          <w:lang w:val="es-ES"/>
        </w:rPr>
      </w:pPr>
      <w:r w:rsidRPr="00C91C8F">
        <w:rPr>
          <w:lang w:val="es-ES"/>
        </w:rPr>
        <w:t>Se presenta un organigrarma general de la empresas, el detalle de cada una de las áreas se describe en el Anexo COMA_1_Organización empresaria.</w:t>
      </w:r>
    </w:p>
    <w:p w14:paraId="5870DC8B" w14:textId="77777777" w:rsidR="0079428C" w:rsidRPr="00C91C8F" w:rsidRDefault="0079428C" w:rsidP="0079428C">
      <w:pPr>
        <w:rPr>
          <w:lang w:val="es-ES"/>
        </w:rPr>
      </w:pPr>
      <w:r w:rsidRPr="00C91C8F">
        <w:rPr>
          <w:noProof/>
          <w:lang w:val="es-AR" w:eastAsia="es-AR"/>
        </w:rPr>
        <w:drawing>
          <wp:inline distT="0" distB="0" distL="0" distR="0" wp14:anchorId="57068D93" wp14:editId="317217D8">
            <wp:extent cx="6153150" cy="450811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53150" cy="4508113"/>
                    </a:xfrm>
                    <a:prstGeom prst="rect">
                      <a:avLst/>
                    </a:prstGeom>
                    <a:noFill/>
                    <a:ln>
                      <a:noFill/>
                    </a:ln>
                  </pic:spPr>
                </pic:pic>
              </a:graphicData>
            </a:graphic>
          </wp:inline>
        </w:drawing>
      </w:r>
    </w:p>
    <w:p w14:paraId="7CC9B0F6" w14:textId="77777777" w:rsidR="0079428C" w:rsidRPr="00116AD9" w:rsidRDefault="0079428C" w:rsidP="0079428C">
      <w:pPr>
        <w:pStyle w:val="Ttulo3"/>
      </w:pPr>
      <w:bookmarkStart w:id="316" w:name="_Toc34398164"/>
      <w:bookmarkStart w:id="317" w:name="_Toc34687269"/>
      <w:r w:rsidRPr="00116AD9">
        <w:t>Resultados del C.O.M.A</w:t>
      </w:r>
      <w:bookmarkEnd w:id="316"/>
      <w:bookmarkEnd w:id="317"/>
    </w:p>
    <w:p w14:paraId="41161AB9" w14:textId="25E2337D" w:rsidR="006F731F" w:rsidRPr="00C91C8F" w:rsidRDefault="0079428C" w:rsidP="0079428C">
      <w:pPr>
        <w:rPr>
          <w:lang w:val="es-ES"/>
        </w:rPr>
      </w:pPr>
      <w:r w:rsidRPr="00C91C8F">
        <w:rPr>
          <w:lang w:val="es-ES"/>
        </w:rPr>
        <w:t>En la siguiente tabla se muestran los costos de personal y gastos del C.O.M.A:</w:t>
      </w:r>
    </w:p>
    <w:tbl>
      <w:tblPr>
        <w:tblW w:w="7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2022"/>
        <w:gridCol w:w="1548"/>
        <w:gridCol w:w="1808"/>
        <w:gridCol w:w="1808"/>
      </w:tblGrid>
      <w:tr w:rsidR="0079428C" w:rsidRPr="00F05605" w14:paraId="1211A94B" w14:textId="77777777" w:rsidTr="006F731F">
        <w:trPr>
          <w:trHeight w:val="290"/>
          <w:jc w:val="center"/>
        </w:trPr>
        <w:tc>
          <w:tcPr>
            <w:tcW w:w="2022" w:type="dxa"/>
            <w:shd w:val="clear" w:color="auto" w:fill="FFFFFF" w:themeFill="background1"/>
            <w:noWrap/>
            <w:vAlign w:val="center"/>
            <w:hideMark/>
          </w:tcPr>
          <w:p w14:paraId="124B2361"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Función</w:t>
            </w:r>
          </w:p>
        </w:tc>
        <w:tc>
          <w:tcPr>
            <w:tcW w:w="1548" w:type="dxa"/>
            <w:shd w:val="clear" w:color="auto" w:fill="FFFFFF" w:themeFill="background1"/>
            <w:noWrap/>
            <w:vAlign w:val="center"/>
            <w:hideMark/>
          </w:tcPr>
          <w:p w14:paraId="67990C83"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Costo Personal</w:t>
            </w:r>
          </w:p>
        </w:tc>
        <w:tc>
          <w:tcPr>
            <w:tcW w:w="1808" w:type="dxa"/>
            <w:shd w:val="clear" w:color="auto" w:fill="FFFFFF" w:themeFill="background1"/>
            <w:noWrap/>
            <w:vAlign w:val="center"/>
            <w:hideMark/>
          </w:tcPr>
          <w:p w14:paraId="7581FA58"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Gastos (USD/año)</w:t>
            </w:r>
          </w:p>
        </w:tc>
        <w:tc>
          <w:tcPr>
            <w:tcW w:w="1808" w:type="dxa"/>
            <w:shd w:val="clear" w:color="auto" w:fill="FFFFFF" w:themeFill="background1"/>
            <w:noWrap/>
            <w:vAlign w:val="center"/>
            <w:hideMark/>
          </w:tcPr>
          <w:p w14:paraId="166DEC5F"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Total (USD/año)</w:t>
            </w:r>
          </w:p>
        </w:tc>
      </w:tr>
      <w:tr w:rsidR="00F64D04" w:rsidRPr="00F05605" w14:paraId="069A9199" w14:textId="77777777" w:rsidTr="009D12B8">
        <w:trPr>
          <w:trHeight w:val="290"/>
          <w:jc w:val="center"/>
        </w:trPr>
        <w:tc>
          <w:tcPr>
            <w:tcW w:w="2022" w:type="dxa"/>
            <w:shd w:val="clear" w:color="auto" w:fill="FFFFFF" w:themeFill="background1"/>
            <w:noWrap/>
            <w:vAlign w:val="bottom"/>
            <w:hideMark/>
          </w:tcPr>
          <w:p w14:paraId="4A985F3D"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Estructura Central</w:t>
            </w:r>
          </w:p>
        </w:tc>
        <w:tc>
          <w:tcPr>
            <w:tcW w:w="1548" w:type="dxa"/>
            <w:shd w:val="clear" w:color="auto" w:fill="FFFFFF" w:themeFill="background1"/>
            <w:noWrap/>
            <w:hideMark/>
          </w:tcPr>
          <w:p w14:paraId="528A7B74" w14:textId="68F73F08"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4.988.684</w:t>
            </w:r>
          </w:p>
        </w:tc>
        <w:tc>
          <w:tcPr>
            <w:tcW w:w="1808" w:type="dxa"/>
            <w:shd w:val="clear" w:color="auto" w:fill="FFFFFF" w:themeFill="background1"/>
            <w:noWrap/>
            <w:hideMark/>
          </w:tcPr>
          <w:p w14:paraId="25AEF83E" w14:textId="7ED3C8D3"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5.147.384</w:t>
            </w:r>
          </w:p>
        </w:tc>
        <w:tc>
          <w:tcPr>
            <w:tcW w:w="1808" w:type="dxa"/>
            <w:shd w:val="clear" w:color="auto" w:fill="FFFFFF" w:themeFill="background1"/>
            <w:noWrap/>
            <w:hideMark/>
          </w:tcPr>
          <w:p w14:paraId="447639F7" w14:textId="3F909F46"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10.136.068</w:t>
            </w:r>
          </w:p>
        </w:tc>
      </w:tr>
      <w:tr w:rsidR="00F64D04" w:rsidRPr="00F05605" w14:paraId="02237864" w14:textId="77777777" w:rsidTr="009D12B8">
        <w:trPr>
          <w:trHeight w:val="290"/>
          <w:jc w:val="center"/>
        </w:trPr>
        <w:tc>
          <w:tcPr>
            <w:tcW w:w="2022" w:type="dxa"/>
            <w:shd w:val="clear" w:color="auto" w:fill="FFFFFF" w:themeFill="background1"/>
            <w:noWrap/>
            <w:vAlign w:val="bottom"/>
            <w:hideMark/>
          </w:tcPr>
          <w:p w14:paraId="72D05E64"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Norte</w:t>
            </w:r>
          </w:p>
        </w:tc>
        <w:tc>
          <w:tcPr>
            <w:tcW w:w="1548" w:type="dxa"/>
            <w:shd w:val="clear" w:color="auto" w:fill="FFFFFF" w:themeFill="background1"/>
            <w:noWrap/>
            <w:hideMark/>
          </w:tcPr>
          <w:p w14:paraId="3EC20AEE" w14:textId="371B49DF"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1.435.043</w:t>
            </w:r>
          </w:p>
        </w:tc>
        <w:tc>
          <w:tcPr>
            <w:tcW w:w="1808" w:type="dxa"/>
            <w:shd w:val="clear" w:color="auto" w:fill="FFFFFF" w:themeFill="background1"/>
            <w:noWrap/>
            <w:hideMark/>
          </w:tcPr>
          <w:p w14:paraId="352A15D1" w14:textId="36D8FF3A"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604.401</w:t>
            </w:r>
          </w:p>
        </w:tc>
        <w:tc>
          <w:tcPr>
            <w:tcW w:w="1808" w:type="dxa"/>
            <w:shd w:val="clear" w:color="auto" w:fill="FFFFFF" w:themeFill="background1"/>
            <w:noWrap/>
            <w:hideMark/>
          </w:tcPr>
          <w:p w14:paraId="2A93C619" w14:textId="26875ED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2.039.445</w:t>
            </w:r>
          </w:p>
        </w:tc>
      </w:tr>
      <w:tr w:rsidR="00F64D04" w:rsidRPr="00F05605" w14:paraId="70B255F1" w14:textId="77777777" w:rsidTr="009D12B8">
        <w:trPr>
          <w:trHeight w:val="290"/>
          <w:jc w:val="center"/>
        </w:trPr>
        <w:tc>
          <w:tcPr>
            <w:tcW w:w="2022" w:type="dxa"/>
            <w:shd w:val="clear" w:color="auto" w:fill="FFFFFF" w:themeFill="background1"/>
            <w:noWrap/>
            <w:vAlign w:val="bottom"/>
            <w:hideMark/>
          </w:tcPr>
          <w:p w14:paraId="25CE367F"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Centro</w:t>
            </w:r>
          </w:p>
        </w:tc>
        <w:tc>
          <w:tcPr>
            <w:tcW w:w="1548" w:type="dxa"/>
            <w:shd w:val="clear" w:color="auto" w:fill="FFFFFF" w:themeFill="background1"/>
            <w:noWrap/>
            <w:hideMark/>
          </w:tcPr>
          <w:p w14:paraId="730D7962" w14:textId="6F3A980F"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1.074.862</w:t>
            </w:r>
          </w:p>
        </w:tc>
        <w:tc>
          <w:tcPr>
            <w:tcW w:w="1808" w:type="dxa"/>
            <w:shd w:val="clear" w:color="auto" w:fill="FFFFFF" w:themeFill="background1"/>
            <w:noWrap/>
            <w:hideMark/>
          </w:tcPr>
          <w:p w14:paraId="66F68DE0" w14:textId="32D5ACE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460.842</w:t>
            </w:r>
          </w:p>
        </w:tc>
        <w:tc>
          <w:tcPr>
            <w:tcW w:w="1808" w:type="dxa"/>
            <w:shd w:val="clear" w:color="auto" w:fill="FFFFFF" w:themeFill="background1"/>
            <w:noWrap/>
            <w:hideMark/>
          </w:tcPr>
          <w:p w14:paraId="1BADAC29" w14:textId="7897D7FB"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1.535.704</w:t>
            </w:r>
          </w:p>
        </w:tc>
      </w:tr>
      <w:tr w:rsidR="00F64D04" w:rsidRPr="00F05605" w14:paraId="13ABA232" w14:textId="77777777" w:rsidTr="009D12B8">
        <w:trPr>
          <w:trHeight w:val="290"/>
          <w:jc w:val="center"/>
        </w:trPr>
        <w:tc>
          <w:tcPr>
            <w:tcW w:w="2022" w:type="dxa"/>
            <w:shd w:val="clear" w:color="auto" w:fill="FFFFFF" w:themeFill="background1"/>
            <w:noWrap/>
            <w:vAlign w:val="bottom"/>
            <w:hideMark/>
          </w:tcPr>
          <w:p w14:paraId="0497EF79"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Centro Sur</w:t>
            </w:r>
          </w:p>
        </w:tc>
        <w:tc>
          <w:tcPr>
            <w:tcW w:w="1548" w:type="dxa"/>
            <w:shd w:val="clear" w:color="auto" w:fill="FFFFFF" w:themeFill="background1"/>
            <w:noWrap/>
            <w:hideMark/>
          </w:tcPr>
          <w:p w14:paraId="53CA9E3E" w14:textId="31946194"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940.204</w:t>
            </w:r>
          </w:p>
        </w:tc>
        <w:tc>
          <w:tcPr>
            <w:tcW w:w="1808" w:type="dxa"/>
            <w:shd w:val="clear" w:color="auto" w:fill="FFFFFF" w:themeFill="background1"/>
            <w:noWrap/>
            <w:hideMark/>
          </w:tcPr>
          <w:p w14:paraId="1F258D96" w14:textId="7FBA5A5C"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387.295</w:t>
            </w:r>
          </w:p>
        </w:tc>
        <w:tc>
          <w:tcPr>
            <w:tcW w:w="1808" w:type="dxa"/>
            <w:shd w:val="clear" w:color="auto" w:fill="FFFFFF" w:themeFill="background1"/>
            <w:noWrap/>
            <w:hideMark/>
          </w:tcPr>
          <w:p w14:paraId="7EB57DE4" w14:textId="70E8C156"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1.327.499</w:t>
            </w:r>
          </w:p>
        </w:tc>
      </w:tr>
      <w:tr w:rsidR="00F64D04" w:rsidRPr="00F05605" w14:paraId="2CDC259A" w14:textId="77777777" w:rsidTr="009D12B8">
        <w:trPr>
          <w:trHeight w:val="300"/>
          <w:jc w:val="center"/>
        </w:trPr>
        <w:tc>
          <w:tcPr>
            <w:tcW w:w="2022" w:type="dxa"/>
            <w:shd w:val="clear" w:color="auto" w:fill="FFFFFF" w:themeFill="background1"/>
            <w:noWrap/>
            <w:vAlign w:val="bottom"/>
            <w:hideMark/>
          </w:tcPr>
          <w:p w14:paraId="3A7A1023"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Sur</w:t>
            </w:r>
          </w:p>
        </w:tc>
        <w:tc>
          <w:tcPr>
            <w:tcW w:w="1548" w:type="dxa"/>
            <w:shd w:val="clear" w:color="auto" w:fill="FFFFFF" w:themeFill="background1"/>
            <w:noWrap/>
            <w:hideMark/>
          </w:tcPr>
          <w:p w14:paraId="77C9DC7D" w14:textId="44D0657A"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1.021.799</w:t>
            </w:r>
          </w:p>
        </w:tc>
        <w:tc>
          <w:tcPr>
            <w:tcW w:w="1808" w:type="dxa"/>
            <w:shd w:val="clear" w:color="auto" w:fill="FFFFFF" w:themeFill="background1"/>
            <w:noWrap/>
            <w:hideMark/>
          </w:tcPr>
          <w:p w14:paraId="161C9615" w14:textId="52F4AE2D"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443.852</w:t>
            </w:r>
          </w:p>
        </w:tc>
        <w:tc>
          <w:tcPr>
            <w:tcW w:w="1808" w:type="dxa"/>
            <w:shd w:val="clear" w:color="auto" w:fill="FFFFFF" w:themeFill="background1"/>
            <w:noWrap/>
            <w:hideMark/>
          </w:tcPr>
          <w:p w14:paraId="61B6620B" w14:textId="7382AB87"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1.465.651</w:t>
            </w:r>
          </w:p>
        </w:tc>
      </w:tr>
      <w:tr w:rsidR="00F64D04" w:rsidRPr="00F05605" w14:paraId="5444106F" w14:textId="77777777" w:rsidTr="009D12B8">
        <w:trPr>
          <w:trHeight w:val="290"/>
          <w:jc w:val="center"/>
        </w:trPr>
        <w:tc>
          <w:tcPr>
            <w:tcW w:w="2022" w:type="dxa"/>
            <w:shd w:val="clear" w:color="auto" w:fill="FFFFFF" w:themeFill="background1"/>
            <w:noWrap/>
            <w:vAlign w:val="bottom"/>
            <w:hideMark/>
          </w:tcPr>
          <w:p w14:paraId="149B441D"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Directos_SE_EC</w:t>
            </w:r>
          </w:p>
        </w:tc>
        <w:tc>
          <w:tcPr>
            <w:tcW w:w="1548" w:type="dxa"/>
            <w:shd w:val="clear" w:color="auto" w:fill="FFFFFF" w:themeFill="background1"/>
            <w:noWrap/>
            <w:hideMark/>
          </w:tcPr>
          <w:p w14:paraId="2390C4BC" w14:textId="77777777"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p>
        </w:tc>
        <w:tc>
          <w:tcPr>
            <w:tcW w:w="1808" w:type="dxa"/>
            <w:shd w:val="clear" w:color="auto" w:fill="FFFFFF" w:themeFill="background1"/>
            <w:noWrap/>
            <w:hideMark/>
          </w:tcPr>
          <w:p w14:paraId="03D81C9E" w14:textId="77777777"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p>
        </w:tc>
        <w:tc>
          <w:tcPr>
            <w:tcW w:w="1808" w:type="dxa"/>
            <w:shd w:val="clear" w:color="auto" w:fill="FFFFFF" w:themeFill="background1"/>
            <w:noWrap/>
            <w:hideMark/>
          </w:tcPr>
          <w:p w14:paraId="14CE9558" w14:textId="2215A7FB"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1.823.080</w:t>
            </w:r>
          </w:p>
        </w:tc>
      </w:tr>
      <w:tr w:rsidR="00F64D04" w:rsidRPr="00F05605" w14:paraId="0AFD9B94" w14:textId="77777777" w:rsidTr="009D12B8">
        <w:trPr>
          <w:trHeight w:val="290"/>
          <w:jc w:val="center"/>
        </w:trPr>
        <w:tc>
          <w:tcPr>
            <w:tcW w:w="2022" w:type="dxa"/>
            <w:shd w:val="clear" w:color="auto" w:fill="FFFFFF" w:themeFill="background1"/>
            <w:noWrap/>
            <w:vAlign w:val="bottom"/>
            <w:hideMark/>
          </w:tcPr>
          <w:p w14:paraId="52374665"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Directos SE</w:t>
            </w:r>
          </w:p>
        </w:tc>
        <w:tc>
          <w:tcPr>
            <w:tcW w:w="1548" w:type="dxa"/>
            <w:shd w:val="clear" w:color="auto" w:fill="FFFFFF" w:themeFill="background1"/>
            <w:noWrap/>
            <w:hideMark/>
          </w:tcPr>
          <w:p w14:paraId="2D9462E4" w14:textId="4EA93C4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2.529.058</w:t>
            </w:r>
          </w:p>
        </w:tc>
        <w:tc>
          <w:tcPr>
            <w:tcW w:w="1808" w:type="dxa"/>
            <w:shd w:val="clear" w:color="auto" w:fill="FFFFFF" w:themeFill="background1"/>
            <w:noWrap/>
            <w:hideMark/>
          </w:tcPr>
          <w:p w14:paraId="30A28245" w14:textId="5D2FD33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1.162.246</w:t>
            </w:r>
          </w:p>
        </w:tc>
        <w:tc>
          <w:tcPr>
            <w:tcW w:w="1808" w:type="dxa"/>
            <w:shd w:val="clear" w:color="auto" w:fill="FFFFFF" w:themeFill="background1"/>
            <w:noWrap/>
            <w:hideMark/>
          </w:tcPr>
          <w:p w14:paraId="656C68CE" w14:textId="7258233E"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3.691.304</w:t>
            </w:r>
          </w:p>
        </w:tc>
      </w:tr>
      <w:tr w:rsidR="00F64D04" w:rsidRPr="00F05605" w14:paraId="1E88F494" w14:textId="77777777" w:rsidTr="009D12B8">
        <w:trPr>
          <w:trHeight w:val="290"/>
          <w:jc w:val="center"/>
        </w:trPr>
        <w:tc>
          <w:tcPr>
            <w:tcW w:w="2022" w:type="dxa"/>
            <w:shd w:val="clear" w:color="auto" w:fill="FFFFFF" w:themeFill="background1"/>
            <w:noWrap/>
            <w:vAlign w:val="bottom"/>
            <w:hideMark/>
          </w:tcPr>
          <w:p w14:paraId="3E463018"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Directos Lineas</w:t>
            </w:r>
          </w:p>
        </w:tc>
        <w:tc>
          <w:tcPr>
            <w:tcW w:w="1548" w:type="dxa"/>
            <w:shd w:val="clear" w:color="auto" w:fill="FFFFFF" w:themeFill="background1"/>
            <w:noWrap/>
            <w:hideMark/>
          </w:tcPr>
          <w:p w14:paraId="25AFCC75" w14:textId="383F4332"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16.313.402</w:t>
            </w:r>
          </w:p>
        </w:tc>
        <w:tc>
          <w:tcPr>
            <w:tcW w:w="1808" w:type="dxa"/>
            <w:shd w:val="clear" w:color="auto" w:fill="FFFFFF" w:themeFill="background1"/>
            <w:noWrap/>
            <w:hideMark/>
          </w:tcPr>
          <w:p w14:paraId="64435FC5" w14:textId="513EEF90"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5.689.893</w:t>
            </w:r>
          </w:p>
        </w:tc>
        <w:tc>
          <w:tcPr>
            <w:tcW w:w="1808" w:type="dxa"/>
            <w:shd w:val="clear" w:color="auto" w:fill="FFFFFF" w:themeFill="background1"/>
            <w:noWrap/>
            <w:hideMark/>
          </w:tcPr>
          <w:p w14:paraId="07BDFC69" w14:textId="2355576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22.003.295</w:t>
            </w:r>
          </w:p>
        </w:tc>
      </w:tr>
      <w:tr w:rsidR="00F64D04" w:rsidRPr="00F05605" w14:paraId="0A7B1A01" w14:textId="77777777" w:rsidTr="00F64D04">
        <w:trPr>
          <w:trHeight w:val="300"/>
          <w:jc w:val="center"/>
        </w:trPr>
        <w:tc>
          <w:tcPr>
            <w:tcW w:w="2022" w:type="dxa"/>
            <w:shd w:val="clear" w:color="auto" w:fill="FFFFFF" w:themeFill="background1"/>
            <w:noWrap/>
            <w:vAlign w:val="center"/>
            <w:hideMark/>
          </w:tcPr>
          <w:p w14:paraId="071BA098" w14:textId="0D98F273"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TOTAL</w:t>
            </w:r>
          </w:p>
        </w:tc>
        <w:tc>
          <w:tcPr>
            <w:tcW w:w="1548" w:type="dxa"/>
            <w:shd w:val="clear" w:color="auto" w:fill="FFFFFF" w:themeFill="background1"/>
            <w:noWrap/>
            <w:vAlign w:val="center"/>
            <w:hideMark/>
          </w:tcPr>
          <w:p w14:paraId="49EC9DFE" w14:textId="42749F26"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28.303.052</w:t>
            </w:r>
          </w:p>
        </w:tc>
        <w:tc>
          <w:tcPr>
            <w:tcW w:w="1808" w:type="dxa"/>
            <w:shd w:val="clear" w:color="auto" w:fill="FFFFFF" w:themeFill="background1"/>
            <w:noWrap/>
            <w:vAlign w:val="center"/>
            <w:hideMark/>
          </w:tcPr>
          <w:p w14:paraId="1575EAA6" w14:textId="1A6F167E"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13.895.913</w:t>
            </w:r>
          </w:p>
        </w:tc>
        <w:tc>
          <w:tcPr>
            <w:tcW w:w="1808" w:type="dxa"/>
            <w:shd w:val="clear" w:color="auto" w:fill="FFFFFF" w:themeFill="background1"/>
            <w:noWrap/>
            <w:vAlign w:val="center"/>
            <w:hideMark/>
          </w:tcPr>
          <w:p w14:paraId="67B79FD2" w14:textId="58739E42"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44.022.046</w:t>
            </w:r>
          </w:p>
        </w:tc>
      </w:tr>
    </w:tbl>
    <w:p w14:paraId="579163AD" w14:textId="77777777" w:rsidR="0079428C" w:rsidRPr="00C91C8F" w:rsidRDefault="0079428C" w:rsidP="002E20CA">
      <w:pPr>
        <w:pStyle w:val="Prrafodelista"/>
        <w:numPr>
          <w:ilvl w:val="0"/>
          <w:numId w:val="63"/>
        </w:numPr>
        <w:rPr>
          <w:lang w:val="es-ES"/>
        </w:rPr>
      </w:pPr>
      <w:r w:rsidRPr="00C91C8F">
        <w:rPr>
          <w:lang w:val="es-ES"/>
        </w:rPr>
        <w:t>Estructura Central: son los costos asociados a la casa central y gastos globales corporativos.</w:t>
      </w:r>
    </w:p>
    <w:p w14:paraId="7FA9CA6C" w14:textId="77777777" w:rsidR="0079428C" w:rsidRPr="00C91C8F" w:rsidRDefault="0079428C" w:rsidP="002E20CA">
      <w:pPr>
        <w:pStyle w:val="Prrafodelista"/>
        <w:numPr>
          <w:ilvl w:val="0"/>
          <w:numId w:val="63"/>
        </w:numPr>
        <w:rPr>
          <w:lang w:val="es-ES"/>
        </w:rPr>
      </w:pPr>
      <w:r w:rsidRPr="00C91C8F">
        <w:rPr>
          <w:lang w:val="es-ES"/>
        </w:rPr>
        <w:t>Regional: son los costos asociados a cada una de las regionales.</w:t>
      </w:r>
    </w:p>
    <w:p w14:paraId="2FC784A0" w14:textId="77777777" w:rsidR="0079428C" w:rsidRPr="00C91C8F" w:rsidRDefault="0079428C" w:rsidP="002E20CA">
      <w:pPr>
        <w:pStyle w:val="Prrafodelista"/>
        <w:numPr>
          <w:ilvl w:val="0"/>
          <w:numId w:val="63"/>
        </w:numPr>
        <w:rPr>
          <w:lang w:val="es-ES"/>
        </w:rPr>
      </w:pPr>
      <w:r w:rsidRPr="00C91C8F">
        <w:rPr>
          <w:lang w:val="es-ES"/>
        </w:rPr>
        <w:t>Directos_SE_EC: son los costos asignables a las estaciones (contribuciones, vigilancia presencial en estaciones y consumo de energía eléctrica de estaciones).</w:t>
      </w:r>
    </w:p>
    <w:p w14:paraId="1437BD7A" w14:textId="77777777" w:rsidR="0079428C" w:rsidRPr="00C91C8F" w:rsidRDefault="0079428C" w:rsidP="002E20CA">
      <w:pPr>
        <w:pStyle w:val="Prrafodelista"/>
        <w:numPr>
          <w:ilvl w:val="0"/>
          <w:numId w:val="63"/>
        </w:numPr>
        <w:rPr>
          <w:lang w:val="es-ES"/>
        </w:rPr>
      </w:pPr>
      <w:r w:rsidRPr="00C91C8F">
        <w:rPr>
          <w:lang w:val="es-ES"/>
        </w:rPr>
        <w:t>Directos SE: son los costos de las cuadrillas de terreno para la operación y mantenimiento de las estaciones.</w:t>
      </w:r>
    </w:p>
    <w:p w14:paraId="396CB282" w14:textId="77777777" w:rsidR="0079428C" w:rsidRPr="00C91C8F" w:rsidRDefault="0079428C" w:rsidP="002E20CA">
      <w:pPr>
        <w:pStyle w:val="Prrafodelista"/>
        <w:numPr>
          <w:ilvl w:val="0"/>
          <w:numId w:val="63"/>
        </w:numPr>
        <w:rPr>
          <w:lang w:val="es-ES"/>
        </w:rPr>
      </w:pPr>
      <w:r w:rsidRPr="00C91C8F">
        <w:rPr>
          <w:lang w:val="es-ES"/>
        </w:rPr>
        <w:t>Directos líneas: son los costos de las cuadrillas de terreno para la operación y mantenimiento de las líneas.</w:t>
      </w:r>
    </w:p>
    <w:p w14:paraId="1A09001E" w14:textId="77777777" w:rsidR="0079428C" w:rsidRPr="00C91C8F" w:rsidRDefault="0079428C" w:rsidP="0079428C">
      <w:pPr>
        <w:rPr>
          <w:lang w:val="es-ES"/>
        </w:rPr>
      </w:pPr>
      <w:r w:rsidRPr="00C91C8F">
        <w:rPr>
          <w:lang w:val="es-ES"/>
        </w:rPr>
        <w:t>El detalle de cada una de las partidas indicadas puede verse en las tablas de los TDR que forman parte de los Anexos a este informe y en el Modelo C.O.M.A</w:t>
      </w:r>
    </w:p>
    <w:p w14:paraId="66563F09" w14:textId="77777777" w:rsidR="0079428C" w:rsidRPr="00116AD9" w:rsidRDefault="0079428C" w:rsidP="0079428C">
      <w:pPr>
        <w:pStyle w:val="Ttulo3"/>
      </w:pPr>
      <w:bookmarkStart w:id="318" w:name="_Toc34398165"/>
      <w:bookmarkStart w:id="319" w:name="_Toc34687270"/>
      <w:r w:rsidRPr="00116AD9">
        <w:t>Resultados de BM&amp;I</w:t>
      </w:r>
      <w:bookmarkEnd w:id="318"/>
      <w:bookmarkEnd w:id="319"/>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6"/>
        <w:gridCol w:w="1242"/>
        <w:gridCol w:w="1120"/>
        <w:gridCol w:w="1316"/>
        <w:gridCol w:w="996"/>
        <w:gridCol w:w="1436"/>
        <w:gridCol w:w="1907"/>
      </w:tblGrid>
      <w:tr w:rsidR="0079428C" w:rsidRPr="00F05605" w14:paraId="5257E9E5" w14:textId="77777777" w:rsidTr="00F05605">
        <w:trPr>
          <w:trHeight w:val="290"/>
          <w:jc w:val="center"/>
        </w:trPr>
        <w:tc>
          <w:tcPr>
            <w:tcW w:w="1916" w:type="dxa"/>
            <w:shd w:val="clear" w:color="auto" w:fill="auto"/>
            <w:noWrap/>
            <w:vAlign w:val="center"/>
            <w:hideMark/>
          </w:tcPr>
          <w:p w14:paraId="14CEE1C6"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Función</w:t>
            </w:r>
          </w:p>
        </w:tc>
        <w:tc>
          <w:tcPr>
            <w:tcW w:w="1242" w:type="dxa"/>
            <w:shd w:val="clear" w:color="auto" w:fill="auto"/>
            <w:noWrap/>
            <w:vAlign w:val="center"/>
            <w:hideMark/>
          </w:tcPr>
          <w:p w14:paraId="5FB829BE"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BI (USD)</w:t>
            </w:r>
          </w:p>
        </w:tc>
        <w:tc>
          <w:tcPr>
            <w:tcW w:w="1120" w:type="dxa"/>
            <w:shd w:val="clear" w:color="auto" w:fill="auto"/>
            <w:noWrap/>
            <w:vAlign w:val="center"/>
            <w:hideMark/>
          </w:tcPr>
          <w:p w14:paraId="37263C6F"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EC (USD)</w:t>
            </w:r>
          </w:p>
        </w:tc>
        <w:tc>
          <w:tcPr>
            <w:tcW w:w="1316" w:type="dxa"/>
            <w:shd w:val="clear" w:color="auto" w:fill="auto"/>
            <w:noWrap/>
            <w:vAlign w:val="center"/>
            <w:hideMark/>
          </w:tcPr>
          <w:p w14:paraId="50E94311"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EOYM (USD)</w:t>
            </w:r>
          </w:p>
        </w:tc>
        <w:tc>
          <w:tcPr>
            <w:tcW w:w="996" w:type="dxa"/>
            <w:shd w:val="clear" w:color="auto" w:fill="auto"/>
            <w:noWrap/>
            <w:vAlign w:val="center"/>
            <w:hideMark/>
          </w:tcPr>
          <w:p w14:paraId="1FBECDBA"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VH (USD)</w:t>
            </w:r>
          </w:p>
        </w:tc>
        <w:tc>
          <w:tcPr>
            <w:tcW w:w="1436" w:type="dxa"/>
            <w:shd w:val="clear" w:color="auto" w:fill="auto"/>
            <w:noWrap/>
            <w:vAlign w:val="center"/>
            <w:hideMark/>
          </w:tcPr>
          <w:p w14:paraId="75E71748"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BM (USD/año)</w:t>
            </w:r>
          </w:p>
        </w:tc>
        <w:tc>
          <w:tcPr>
            <w:tcW w:w="1907" w:type="dxa"/>
            <w:shd w:val="clear" w:color="auto" w:fill="auto"/>
            <w:noWrap/>
            <w:vAlign w:val="center"/>
            <w:hideMark/>
          </w:tcPr>
          <w:p w14:paraId="3D7526A2" w14:textId="77777777" w:rsidR="0079428C" w:rsidRPr="00F05605" w:rsidRDefault="0079428C" w:rsidP="006F731F">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Total BM&amp;I (USD)</w:t>
            </w:r>
          </w:p>
        </w:tc>
      </w:tr>
      <w:tr w:rsidR="00F64D04" w:rsidRPr="00F05605" w14:paraId="3C0CC6AE" w14:textId="77777777" w:rsidTr="00F05605">
        <w:trPr>
          <w:trHeight w:val="290"/>
          <w:jc w:val="center"/>
        </w:trPr>
        <w:tc>
          <w:tcPr>
            <w:tcW w:w="1916" w:type="dxa"/>
            <w:shd w:val="clear" w:color="auto" w:fill="auto"/>
            <w:noWrap/>
            <w:vAlign w:val="bottom"/>
            <w:hideMark/>
          </w:tcPr>
          <w:p w14:paraId="11B4D641"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Estructura Central</w:t>
            </w:r>
          </w:p>
        </w:tc>
        <w:tc>
          <w:tcPr>
            <w:tcW w:w="1242" w:type="dxa"/>
            <w:shd w:val="clear" w:color="auto" w:fill="auto"/>
            <w:noWrap/>
            <w:hideMark/>
          </w:tcPr>
          <w:p w14:paraId="618C29D8" w14:textId="69DE401E"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2.144.852</w:t>
            </w:r>
          </w:p>
        </w:tc>
        <w:tc>
          <w:tcPr>
            <w:tcW w:w="1120" w:type="dxa"/>
            <w:shd w:val="clear" w:color="auto" w:fill="auto"/>
            <w:noWrap/>
            <w:hideMark/>
          </w:tcPr>
          <w:p w14:paraId="592E2014" w14:textId="7D4862A6"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9.821.862</w:t>
            </w:r>
          </w:p>
        </w:tc>
        <w:tc>
          <w:tcPr>
            <w:tcW w:w="1316" w:type="dxa"/>
            <w:shd w:val="clear" w:color="auto" w:fill="auto"/>
            <w:noWrap/>
            <w:hideMark/>
          </w:tcPr>
          <w:p w14:paraId="59918C96" w14:textId="03C499CE"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996" w:type="dxa"/>
            <w:shd w:val="clear" w:color="auto" w:fill="auto"/>
            <w:noWrap/>
            <w:hideMark/>
          </w:tcPr>
          <w:p w14:paraId="3FCB30DB" w14:textId="322F2224"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711E1DA5" w14:textId="36F522FC"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191.795</w:t>
            </w:r>
          </w:p>
        </w:tc>
        <w:tc>
          <w:tcPr>
            <w:tcW w:w="1907" w:type="dxa"/>
            <w:shd w:val="clear" w:color="auto" w:fill="auto"/>
            <w:noWrap/>
            <w:hideMark/>
          </w:tcPr>
          <w:p w14:paraId="2B6425D9" w14:textId="7C111D2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12.158.509</w:t>
            </w:r>
          </w:p>
        </w:tc>
      </w:tr>
      <w:tr w:rsidR="00F64D04" w:rsidRPr="00F05605" w14:paraId="1C92C7DC" w14:textId="77777777" w:rsidTr="00F05605">
        <w:trPr>
          <w:trHeight w:val="290"/>
          <w:jc w:val="center"/>
        </w:trPr>
        <w:tc>
          <w:tcPr>
            <w:tcW w:w="1916" w:type="dxa"/>
            <w:shd w:val="clear" w:color="auto" w:fill="auto"/>
            <w:noWrap/>
            <w:vAlign w:val="bottom"/>
            <w:hideMark/>
          </w:tcPr>
          <w:p w14:paraId="512EDAAD"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Norte</w:t>
            </w:r>
          </w:p>
        </w:tc>
        <w:tc>
          <w:tcPr>
            <w:tcW w:w="1242" w:type="dxa"/>
            <w:shd w:val="clear" w:color="auto" w:fill="auto"/>
            <w:noWrap/>
            <w:hideMark/>
          </w:tcPr>
          <w:p w14:paraId="0D87F40B" w14:textId="72A7F19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5.941.834</w:t>
            </w:r>
          </w:p>
        </w:tc>
        <w:tc>
          <w:tcPr>
            <w:tcW w:w="1120" w:type="dxa"/>
            <w:shd w:val="clear" w:color="auto" w:fill="auto"/>
            <w:noWrap/>
            <w:hideMark/>
          </w:tcPr>
          <w:p w14:paraId="33AA11A1" w14:textId="7E55D5ED"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29.538</w:t>
            </w:r>
          </w:p>
        </w:tc>
        <w:tc>
          <w:tcPr>
            <w:tcW w:w="1316" w:type="dxa"/>
            <w:shd w:val="clear" w:color="auto" w:fill="auto"/>
            <w:noWrap/>
            <w:hideMark/>
          </w:tcPr>
          <w:p w14:paraId="1E7319D8" w14:textId="2A7F8683"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255.132</w:t>
            </w:r>
          </w:p>
        </w:tc>
        <w:tc>
          <w:tcPr>
            <w:tcW w:w="996" w:type="dxa"/>
            <w:shd w:val="clear" w:color="auto" w:fill="auto"/>
            <w:noWrap/>
            <w:hideMark/>
          </w:tcPr>
          <w:p w14:paraId="40B32A77" w14:textId="464E51BA"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3470FD82" w14:textId="7A070C09"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47.877</w:t>
            </w:r>
          </w:p>
        </w:tc>
        <w:tc>
          <w:tcPr>
            <w:tcW w:w="1907" w:type="dxa"/>
            <w:shd w:val="clear" w:color="auto" w:fill="auto"/>
            <w:noWrap/>
            <w:hideMark/>
          </w:tcPr>
          <w:p w14:paraId="6DBA3BBE" w14:textId="07433C78"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6.274.380</w:t>
            </w:r>
          </w:p>
        </w:tc>
      </w:tr>
      <w:tr w:rsidR="00F64D04" w:rsidRPr="00F05605" w14:paraId="391C0F0E" w14:textId="77777777" w:rsidTr="00F05605">
        <w:trPr>
          <w:trHeight w:val="290"/>
          <w:jc w:val="center"/>
        </w:trPr>
        <w:tc>
          <w:tcPr>
            <w:tcW w:w="1916" w:type="dxa"/>
            <w:shd w:val="clear" w:color="auto" w:fill="auto"/>
            <w:noWrap/>
            <w:vAlign w:val="bottom"/>
            <w:hideMark/>
          </w:tcPr>
          <w:p w14:paraId="460A02B0"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Centro</w:t>
            </w:r>
          </w:p>
        </w:tc>
        <w:tc>
          <w:tcPr>
            <w:tcW w:w="1242" w:type="dxa"/>
            <w:shd w:val="clear" w:color="auto" w:fill="auto"/>
            <w:noWrap/>
            <w:hideMark/>
          </w:tcPr>
          <w:p w14:paraId="0915E385" w14:textId="1C11CC90"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1.560.878</w:t>
            </w:r>
          </w:p>
        </w:tc>
        <w:tc>
          <w:tcPr>
            <w:tcW w:w="1120" w:type="dxa"/>
            <w:shd w:val="clear" w:color="auto" w:fill="auto"/>
            <w:noWrap/>
            <w:hideMark/>
          </w:tcPr>
          <w:p w14:paraId="27C62708" w14:textId="6EFD4B3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27.390</w:t>
            </w:r>
          </w:p>
        </w:tc>
        <w:tc>
          <w:tcPr>
            <w:tcW w:w="1316" w:type="dxa"/>
            <w:shd w:val="clear" w:color="auto" w:fill="auto"/>
            <w:noWrap/>
            <w:hideMark/>
          </w:tcPr>
          <w:p w14:paraId="77D41CD8" w14:textId="2596E31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255.132</w:t>
            </w:r>
          </w:p>
        </w:tc>
        <w:tc>
          <w:tcPr>
            <w:tcW w:w="996" w:type="dxa"/>
            <w:shd w:val="clear" w:color="auto" w:fill="auto"/>
            <w:noWrap/>
            <w:hideMark/>
          </w:tcPr>
          <w:p w14:paraId="1F637A7D" w14:textId="14A9D8D9"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465ED62A" w14:textId="783266A6"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44.045</w:t>
            </w:r>
          </w:p>
        </w:tc>
        <w:tc>
          <w:tcPr>
            <w:tcW w:w="1907" w:type="dxa"/>
            <w:shd w:val="clear" w:color="auto" w:fill="auto"/>
            <w:noWrap/>
            <w:hideMark/>
          </w:tcPr>
          <w:p w14:paraId="3F4AF169" w14:textId="47925112"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1.887.444</w:t>
            </w:r>
          </w:p>
        </w:tc>
      </w:tr>
      <w:tr w:rsidR="00F64D04" w:rsidRPr="00F05605" w14:paraId="73597E8E" w14:textId="77777777" w:rsidTr="00F05605">
        <w:trPr>
          <w:trHeight w:val="290"/>
          <w:jc w:val="center"/>
        </w:trPr>
        <w:tc>
          <w:tcPr>
            <w:tcW w:w="1916" w:type="dxa"/>
            <w:shd w:val="clear" w:color="auto" w:fill="auto"/>
            <w:noWrap/>
            <w:vAlign w:val="bottom"/>
            <w:hideMark/>
          </w:tcPr>
          <w:p w14:paraId="047A51A0"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Centro Sur</w:t>
            </w:r>
          </w:p>
        </w:tc>
        <w:tc>
          <w:tcPr>
            <w:tcW w:w="1242" w:type="dxa"/>
            <w:shd w:val="clear" w:color="auto" w:fill="auto"/>
            <w:noWrap/>
            <w:hideMark/>
          </w:tcPr>
          <w:p w14:paraId="639A09D1" w14:textId="67A1D41A"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1.136.936</w:t>
            </w:r>
          </w:p>
        </w:tc>
        <w:tc>
          <w:tcPr>
            <w:tcW w:w="1120" w:type="dxa"/>
            <w:shd w:val="clear" w:color="auto" w:fill="auto"/>
            <w:noWrap/>
            <w:hideMark/>
          </w:tcPr>
          <w:p w14:paraId="27777497" w14:textId="753C3E16"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25.242</w:t>
            </w:r>
          </w:p>
        </w:tc>
        <w:tc>
          <w:tcPr>
            <w:tcW w:w="1316" w:type="dxa"/>
            <w:shd w:val="clear" w:color="auto" w:fill="auto"/>
            <w:noWrap/>
            <w:hideMark/>
          </w:tcPr>
          <w:p w14:paraId="2CC07A48" w14:textId="22C240D8"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255.132</w:t>
            </w:r>
          </w:p>
        </w:tc>
        <w:tc>
          <w:tcPr>
            <w:tcW w:w="996" w:type="dxa"/>
            <w:shd w:val="clear" w:color="auto" w:fill="auto"/>
            <w:noWrap/>
            <w:hideMark/>
          </w:tcPr>
          <w:p w14:paraId="6F1FE330" w14:textId="1F1C9F9D"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355B89C5" w14:textId="0ABB19FE"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40.214</w:t>
            </w:r>
          </w:p>
        </w:tc>
        <w:tc>
          <w:tcPr>
            <w:tcW w:w="1907" w:type="dxa"/>
            <w:shd w:val="clear" w:color="auto" w:fill="auto"/>
            <w:noWrap/>
            <w:hideMark/>
          </w:tcPr>
          <w:p w14:paraId="13C1229C" w14:textId="3DE78CE4"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1.457.523</w:t>
            </w:r>
          </w:p>
        </w:tc>
      </w:tr>
      <w:tr w:rsidR="00F64D04" w:rsidRPr="00F05605" w14:paraId="25FC7034" w14:textId="77777777" w:rsidTr="00F05605">
        <w:trPr>
          <w:trHeight w:val="300"/>
          <w:jc w:val="center"/>
        </w:trPr>
        <w:tc>
          <w:tcPr>
            <w:tcW w:w="1916" w:type="dxa"/>
            <w:shd w:val="clear" w:color="auto" w:fill="auto"/>
            <w:noWrap/>
            <w:vAlign w:val="bottom"/>
            <w:hideMark/>
          </w:tcPr>
          <w:p w14:paraId="4B58FD27"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Regional Sur</w:t>
            </w:r>
          </w:p>
        </w:tc>
        <w:tc>
          <w:tcPr>
            <w:tcW w:w="1242" w:type="dxa"/>
            <w:shd w:val="clear" w:color="auto" w:fill="auto"/>
            <w:noWrap/>
            <w:hideMark/>
          </w:tcPr>
          <w:p w14:paraId="2FF4ACD7" w14:textId="78BF1D7C"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2.279.174</w:t>
            </w:r>
          </w:p>
        </w:tc>
        <w:tc>
          <w:tcPr>
            <w:tcW w:w="1120" w:type="dxa"/>
            <w:shd w:val="clear" w:color="auto" w:fill="auto"/>
            <w:noWrap/>
            <w:hideMark/>
          </w:tcPr>
          <w:p w14:paraId="58978E9E" w14:textId="2FDC46B9"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25.958</w:t>
            </w:r>
          </w:p>
        </w:tc>
        <w:tc>
          <w:tcPr>
            <w:tcW w:w="1316" w:type="dxa"/>
            <w:shd w:val="clear" w:color="auto" w:fill="auto"/>
            <w:noWrap/>
            <w:hideMark/>
          </w:tcPr>
          <w:p w14:paraId="49472D6C" w14:textId="683149B7"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255.132</w:t>
            </w:r>
          </w:p>
        </w:tc>
        <w:tc>
          <w:tcPr>
            <w:tcW w:w="996" w:type="dxa"/>
            <w:shd w:val="clear" w:color="auto" w:fill="auto"/>
            <w:noWrap/>
            <w:hideMark/>
          </w:tcPr>
          <w:p w14:paraId="4AA662E6" w14:textId="201F87A3"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6C2CE326" w14:textId="373F63E4"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41.491</w:t>
            </w:r>
          </w:p>
        </w:tc>
        <w:tc>
          <w:tcPr>
            <w:tcW w:w="1907" w:type="dxa"/>
            <w:shd w:val="clear" w:color="auto" w:fill="auto"/>
            <w:noWrap/>
            <w:hideMark/>
          </w:tcPr>
          <w:p w14:paraId="11132198" w14:textId="7D24FE04"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2.601.755</w:t>
            </w:r>
          </w:p>
        </w:tc>
      </w:tr>
      <w:tr w:rsidR="00F64D04" w:rsidRPr="00F05605" w14:paraId="7D687795" w14:textId="77777777" w:rsidTr="00F05605">
        <w:trPr>
          <w:trHeight w:val="290"/>
          <w:jc w:val="center"/>
        </w:trPr>
        <w:tc>
          <w:tcPr>
            <w:tcW w:w="1916" w:type="dxa"/>
            <w:shd w:val="clear" w:color="auto" w:fill="auto"/>
            <w:noWrap/>
            <w:vAlign w:val="bottom"/>
            <w:hideMark/>
          </w:tcPr>
          <w:p w14:paraId="60694644"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Directos_SE_EC</w:t>
            </w:r>
          </w:p>
        </w:tc>
        <w:tc>
          <w:tcPr>
            <w:tcW w:w="1242" w:type="dxa"/>
            <w:shd w:val="clear" w:color="auto" w:fill="auto"/>
            <w:noWrap/>
            <w:hideMark/>
          </w:tcPr>
          <w:p w14:paraId="41B99491" w14:textId="0F31E9D9"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120" w:type="dxa"/>
            <w:shd w:val="clear" w:color="auto" w:fill="auto"/>
            <w:noWrap/>
            <w:hideMark/>
          </w:tcPr>
          <w:p w14:paraId="07854DCE" w14:textId="08E4F032"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316" w:type="dxa"/>
            <w:shd w:val="clear" w:color="auto" w:fill="auto"/>
            <w:noWrap/>
            <w:hideMark/>
          </w:tcPr>
          <w:p w14:paraId="2006841F" w14:textId="51DF50C8"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996" w:type="dxa"/>
            <w:shd w:val="clear" w:color="auto" w:fill="auto"/>
            <w:noWrap/>
            <w:hideMark/>
          </w:tcPr>
          <w:p w14:paraId="35075A27" w14:textId="7F2ADF58"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761A492E" w14:textId="2AC7393E"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907" w:type="dxa"/>
            <w:shd w:val="clear" w:color="auto" w:fill="auto"/>
            <w:noWrap/>
            <w:hideMark/>
          </w:tcPr>
          <w:p w14:paraId="697660B2" w14:textId="6B1EB790"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r>
      <w:tr w:rsidR="00F64D04" w:rsidRPr="00F05605" w14:paraId="4DEF3DEB" w14:textId="77777777" w:rsidTr="00F05605">
        <w:trPr>
          <w:trHeight w:val="290"/>
          <w:jc w:val="center"/>
        </w:trPr>
        <w:tc>
          <w:tcPr>
            <w:tcW w:w="1916" w:type="dxa"/>
            <w:shd w:val="clear" w:color="auto" w:fill="auto"/>
            <w:noWrap/>
            <w:vAlign w:val="bottom"/>
            <w:hideMark/>
          </w:tcPr>
          <w:p w14:paraId="2BC0970D"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Directos SE</w:t>
            </w:r>
          </w:p>
        </w:tc>
        <w:tc>
          <w:tcPr>
            <w:tcW w:w="1242" w:type="dxa"/>
            <w:shd w:val="clear" w:color="auto" w:fill="auto"/>
            <w:noWrap/>
            <w:hideMark/>
          </w:tcPr>
          <w:p w14:paraId="166F9462" w14:textId="1474FBE3"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120" w:type="dxa"/>
            <w:shd w:val="clear" w:color="auto" w:fill="auto"/>
            <w:noWrap/>
            <w:hideMark/>
          </w:tcPr>
          <w:p w14:paraId="519C3217" w14:textId="66EFEE9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316" w:type="dxa"/>
            <w:shd w:val="clear" w:color="auto" w:fill="auto"/>
            <w:noWrap/>
            <w:hideMark/>
          </w:tcPr>
          <w:p w14:paraId="703A88ED" w14:textId="1DA0B009"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996" w:type="dxa"/>
            <w:shd w:val="clear" w:color="auto" w:fill="auto"/>
            <w:noWrap/>
            <w:hideMark/>
          </w:tcPr>
          <w:p w14:paraId="10A3CD82" w14:textId="388DFDF2"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770FACCB" w14:textId="3A53FAFD"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907" w:type="dxa"/>
            <w:shd w:val="clear" w:color="auto" w:fill="auto"/>
            <w:noWrap/>
            <w:hideMark/>
          </w:tcPr>
          <w:p w14:paraId="2F64ED45" w14:textId="589A6693"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r>
      <w:tr w:rsidR="00F64D04" w:rsidRPr="00F05605" w14:paraId="36837A1B" w14:textId="77777777" w:rsidTr="00F05605">
        <w:trPr>
          <w:trHeight w:val="290"/>
          <w:jc w:val="center"/>
        </w:trPr>
        <w:tc>
          <w:tcPr>
            <w:tcW w:w="1916" w:type="dxa"/>
            <w:shd w:val="clear" w:color="auto" w:fill="auto"/>
            <w:noWrap/>
            <w:vAlign w:val="bottom"/>
            <w:hideMark/>
          </w:tcPr>
          <w:p w14:paraId="6E272FA5" w14:textId="77777777" w:rsidR="00F64D04" w:rsidRPr="00F05605" w:rsidRDefault="00F64D04" w:rsidP="00F64D04">
            <w:pPr>
              <w:spacing w:after="0" w:line="240" w:lineRule="auto"/>
              <w:jc w:val="left"/>
              <w:rPr>
                <w:rFonts w:asciiTheme="minorHAnsi" w:eastAsia="Times New Roman" w:hAnsiTheme="minorHAnsi" w:cstheme="minorHAnsi"/>
                <w:color w:val="000000"/>
                <w:sz w:val="20"/>
                <w:szCs w:val="20"/>
                <w:lang w:val="es-AR" w:eastAsia="es-AR"/>
              </w:rPr>
            </w:pPr>
            <w:r w:rsidRPr="00F05605">
              <w:rPr>
                <w:rFonts w:asciiTheme="minorHAnsi" w:eastAsia="Times New Roman" w:hAnsiTheme="minorHAnsi" w:cstheme="minorHAnsi"/>
                <w:color w:val="000000"/>
                <w:sz w:val="20"/>
                <w:szCs w:val="20"/>
                <w:lang w:val="es-AR" w:eastAsia="es-AR"/>
              </w:rPr>
              <w:t>Directos Lineas</w:t>
            </w:r>
          </w:p>
        </w:tc>
        <w:tc>
          <w:tcPr>
            <w:tcW w:w="1242" w:type="dxa"/>
            <w:shd w:val="clear" w:color="auto" w:fill="auto"/>
            <w:noWrap/>
            <w:hideMark/>
          </w:tcPr>
          <w:p w14:paraId="705BAD85" w14:textId="365DF589"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120" w:type="dxa"/>
            <w:shd w:val="clear" w:color="auto" w:fill="auto"/>
            <w:noWrap/>
            <w:hideMark/>
          </w:tcPr>
          <w:p w14:paraId="081CCCC4" w14:textId="4DA1645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316" w:type="dxa"/>
            <w:shd w:val="clear" w:color="auto" w:fill="auto"/>
            <w:noWrap/>
            <w:hideMark/>
          </w:tcPr>
          <w:p w14:paraId="53E84202" w14:textId="4392E95F"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996" w:type="dxa"/>
            <w:shd w:val="clear" w:color="auto" w:fill="auto"/>
            <w:noWrap/>
            <w:hideMark/>
          </w:tcPr>
          <w:p w14:paraId="10393985" w14:textId="760FA8D7"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436" w:type="dxa"/>
            <w:shd w:val="clear" w:color="auto" w:fill="auto"/>
            <w:noWrap/>
            <w:hideMark/>
          </w:tcPr>
          <w:p w14:paraId="7E606147" w14:textId="51CD3D4F"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c>
          <w:tcPr>
            <w:tcW w:w="1907" w:type="dxa"/>
            <w:shd w:val="clear" w:color="auto" w:fill="auto"/>
            <w:noWrap/>
            <w:hideMark/>
          </w:tcPr>
          <w:p w14:paraId="5280E950" w14:textId="6369B225" w:rsidR="00F64D04" w:rsidRPr="00F05605" w:rsidRDefault="00F64D04" w:rsidP="00F64D04">
            <w:pPr>
              <w:spacing w:after="0" w:line="240" w:lineRule="auto"/>
              <w:jc w:val="center"/>
              <w:rPr>
                <w:rFonts w:asciiTheme="minorHAnsi" w:eastAsia="Times New Roman" w:hAnsiTheme="minorHAnsi" w:cstheme="minorHAnsi"/>
                <w:color w:val="000000"/>
                <w:sz w:val="20"/>
                <w:szCs w:val="20"/>
                <w:lang w:val="es-AR" w:eastAsia="es-AR"/>
              </w:rPr>
            </w:pPr>
            <w:r w:rsidRPr="00F05605">
              <w:rPr>
                <w:rFonts w:asciiTheme="minorHAnsi" w:hAnsiTheme="minorHAnsi" w:cstheme="minorHAnsi"/>
                <w:sz w:val="20"/>
                <w:szCs w:val="20"/>
              </w:rPr>
              <w:t>-</w:t>
            </w:r>
          </w:p>
        </w:tc>
      </w:tr>
      <w:tr w:rsidR="00F64D04" w:rsidRPr="00F05605" w14:paraId="36B8C8C2" w14:textId="77777777" w:rsidTr="00F05605">
        <w:trPr>
          <w:trHeight w:val="300"/>
          <w:jc w:val="center"/>
        </w:trPr>
        <w:tc>
          <w:tcPr>
            <w:tcW w:w="1916" w:type="dxa"/>
            <w:shd w:val="clear" w:color="auto" w:fill="auto"/>
            <w:noWrap/>
            <w:vAlign w:val="center"/>
            <w:hideMark/>
          </w:tcPr>
          <w:p w14:paraId="6CF021B1" w14:textId="0800C7B9"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eastAsia="Times New Roman" w:hAnsiTheme="minorHAnsi" w:cstheme="minorHAnsi"/>
                <w:b/>
                <w:bCs/>
                <w:sz w:val="20"/>
                <w:szCs w:val="20"/>
                <w:lang w:val="es-AR" w:eastAsia="es-AR"/>
              </w:rPr>
              <w:t>TOTAL</w:t>
            </w:r>
          </w:p>
        </w:tc>
        <w:tc>
          <w:tcPr>
            <w:tcW w:w="1242" w:type="dxa"/>
            <w:shd w:val="clear" w:color="auto" w:fill="auto"/>
            <w:noWrap/>
            <w:vAlign w:val="center"/>
            <w:hideMark/>
          </w:tcPr>
          <w:p w14:paraId="534972DE" w14:textId="115041A4"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13.063.674</w:t>
            </w:r>
          </w:p>
        </w:tc>
        <w:tc>
          <w:tcPr>
            <w:tcW w:w="1120" w:type="dxa"/>
            <w:shd w:val="clear" w:color="auto" w:fill="auto"/>
            <w:noWrap/>
            <w:vAlign w:val="center"/>
            <w:hideMark/>
          </w:tcPr>
          <w:p w14:paraId="43C89A52" w14:textId="5751BCB0"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9.929.989</w:t>
            </w:r>
          </w:p>
        </w:tc>
        <w:tc>
          <w:tcPr>
            <w:tcW w:w="1316" w:type="dxa"/>
            <w:shd w:val="clear" w:color="auto" w:fill="auto"/>
            <w:noWrap/>
            <w:vAlign w:val="center"/>
            <w:hideMark/>
          </w:tcPr>
          <w:p w14:paraId="01D5164E" w14:textId="7765A31D"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1.020.527</w:t>
            </w:r>
          </w:p>
        </w:tc>
        <w:tc>
          <w:tcPr>
            <w:tcW w:w="996" w:type="dxa"/>
            <w:shd w:val="clear" w:color="auto" w:fill="auto"/>
            <w:noWrap/>
            <w:vAlign w:val="center"/>
            <w:hideMark/>
          </w:tcPr>
          <w:p w14:paraId="66C571FF" w14:textId="699B8C8B"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w:t>
            </w:r>
          </w:p>
        </w:tc>
        <w:tc>
          <w:tcPr>
            <w:tcW w:w="1436" w:type="dxa"/>
            <w:shd w:val="clear" w:color="auto" w:fill="auto"/>
            <w:noWrap/>
            <w:vAlign w:val="center"/>
            <w:hideMark/>
          </w:tcPr>
          <w:p w14:paraId="3FB31E4D" w14:textId="2C7E6D37"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365.421</w:t>
            </w:r>
          </w:p>
        </w:tc>
        <w:tc>
          <w:tcPr>
            <w:tcW w:w="1907" w:type="dxa"/>
            <w:shd w:val="clear" w:color="auto" w:fill="auto"/>
            <w:noWrap/>
            <w:vAlign w:val="center"/>
            <w:hideMark/>
          </w:tcPr>
          <w:p w14:paraId="559E5892" w14:textId="2B979E7D" w:rsidR="00F64D04" w:rsidRPr="00F05605" w:rsidRDefault="00F64D04" w:rsidP="00F64D04">
            <w:pPr>
              <w:spacing w:after="0" w:line="240" w:lineRule="auto"/>
              <w:jc w:val="center"/>
              <w:rPr>
                <w:rFonts w:asciiTheme="minorHAnsi" w:eastAsia="Times New Roman" w:hAnsiTheme="minorHAnsi" w:cstheme="minorHAnsi"/>
                <w:b/>
                <w:bCs/>
                <w:sz w:val="20"/>
                <w:szCs w:val="20"/>
                <w:lang w:val="es-AR" w:eastAsia="es-AR"/>
              </w:rPr>
            </w:pPr>
            <w:r w:rsidRPr="00F05605">
              <w:rPr>
                <w:rFonts w:asciiTheme="minorHAnsi" w:hAnsiTheme="minorHAnsi" w:cstheme="minorHAnsi"/>
                <w:b/>
                <w:bCs/>
                <w:sz w:val="20"/>
                <w:szCs w:val="20"/>
              </w:rPr>
              <w:t>24.379.611</w:t>
            </w:r>
          </w:p>
        </w:tc>
      </w:tr>
    </w:tbl>
    <w:p w14:paraId="2C51D0F8" w14:textId="77777777" w:rsidR="006F731F" w:rsidRPr="00C91C8F" w:rsidRDefault="006F731F" w:rsidP="0079428C">
      <w:pPr>
        <w:rPr>
          <w:lang w:val="es-ES"/>
        </w:rPr>
      </w:pPr>
    </w:p>
    <w:tbl>
      <w:tblPr>
        <w:tblW w:w="6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FFFFFF" w:themeFill="background1"/>
        <w:tblCellMar>
          <w:left w:w="70" w:type="dxa"/>
          <w:right w:w="70" w:type="dxa"/>
        </w:tblCellMar>
        <w:tblLook w:val="04A0" w:firstRow="1" w:lastRow="0" w:firstColumn="1" w:lastColumn="0" w:noHBand="0" w:noVBand="1"/>
      </w:tblPr>
      <w:tblGrid>
        <w:gridCol w:w="1020"/>
        <w:gridCol w:w="1020"/>
        <w:gridCol w:w="4894"/>
      </w:tblGrid>
      <w:tr w:rsidR="0079428C" w:rsidRPr="00C91C8F" w14:paraId="33C65D31" w14:textId="77777777" w:rsidTr="00F05605">
        <w:trPr>
          <w:trHeight w:val="330"/>
          <w:jc w:val="center"/>
        </w:trPr>
        <w:tc>
          <w:tcPr>
            <w:tcW w:w="1020" w:type="dxa"/>
            <w:shd w:val="clear" w:color="000000" w:fill="FFFFFF" w:themeFill="background1"/>
          </w:tcPr>
          <w:p w14:paraId="7206FD33"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BI</w:t>
            </w:r>
          </w:p>
        </w:tc>
        <w:tc>
          <w:tcPr>
            <w:tcW w:w="1020" w:type="dxa"/>
            <w:shd w:val="clear" w:color="000000" w:fill="FFFFFF" w:themeFill="background1"/>
            <w:vAlign w:val="center"/>
            <w:hideMark/>
          </w:tcPr>
          <w:p w14:paraId="112C8724"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11</w:t>
            </w:r>
          </w:p>
        </w:tc>
        <w:tc>
          <w:tcPr>
            <w:tcW w:w="4894" w:type="dxa"/>
            <w:shd w:val="clear" w:color="000000" w:fill="FFFFFF" w:themeFill="background1"/>
            <w:vAlign w:val="center"/>
            <w:hideMark/>
          </w:tcPr>
          <w:p w14:paraId="74491C0F" w14:textId="77777777" w:rsidR="0079428C" w:rsidRPr="00C91C8F" w:rsidRDefault="0079428C" w:rsidP="00C276D3">
            <w:pPr>
              <w:spacing w:after="0" w:line="240" w:lineRule="auto"/>
              <w:jc w:val="left"/>
              <w:rPr>
                <w:rFonts w:eastAsia="Times New Roman" w:cs="Calibri"/>
                <w:color w:val="000000"/>
                <w:sz w:val="20"/>
                <w:szCs w:val="20"/>
                <w:lang w:val="es-AR" w:eastAsia="es-AR"/>
              </w:rPr>
            </w:pPr>
            <w:r w:rsidRPr="00C91C8F">
              <w:rPr>
                <w:rFonts w:eastAsia="Times New Roman" w:cs="Calibri"/>
                <w:color w:val="000000"/>
                <w:sz w:val="20"/>
                <w:szCs w:val="20"/>
                <w:lang w:val="es-AR" w:eastAsia="es-AR"/>
              </w:rPr>
              <w:t>Bienes inmuebles distintos a terrenos</w:t>
            </w:r>
          </w:p>
        </w:tc>
      </w:tr>
      <w:tr w:rsidR="0079428C" w:rsidRPr="00C91C8F" w14:paraId="3258A54E" w14:textId="77777777" w:rsidTr="00F05605">
        <w:trPr>
          <w:trHeight w:val="330"/>
          <w:jc w:val="center"/>
        </w:trPr>
        <w:tc>
          <w:tcPr>
            <w:tcW w:w="1020" w:type="dxa"/>
            <w:shd w:val="clear" w:color="000000" w:fill="FFFFFF" w:themeFill="background1"/>
          </w:tcPr>
          <w:p w14:paraId="5BF1F073"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EOYM</w:t>
            </w:r>
          </w:p>
        </w:tc>
        <w:tc>
          <w:tcPr>
            <w:tcW w:w="1020" w:type="dxa"/>
            <w:shd w:val="clear" w:color="000000" w:fill="FFFFFF" w:themeFill="background1"/>
            <w:vAlign w:val="center"/>
            <w:hideMark/>
          </w:tcPr>
          <w:p w14:paraId="6BA248D6"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12</w:t>
            </w:r>
          </w:p>
        </w:tc>
        <w:tc>
          <w:tcPr>
            <w:tcW w:w="4894" w:type="dxa"/>
            <w:shd w:val="clear" w:color="000000" w:fill="FFFFFF" w:themeFill="background1"/>
            <w:vAlign w:val="center"/>
            <w:hideMark/>
          </w:tcPr>
          <w:p w14:paraId="4BD12A82" w14:textId="77777777" w:rsidR="0079428C" w:rsidRPr="00C91C8F" w:rsidRDefault="0079428C" w:rsidP="00C276D3">
            <w:pPr>
              <w:spacing w:after="0" w:line="240" w:lineRule="auto"/>
              <w:jc w:val="left"/>
              <w:rPr>
                <w:rFonts w:eastAsia="Times New Roman" w:cs="Calibri"/>
                <w:color w:val="000000"/>
                <w:sz w:val="20"/>
                <w:szCs w:val="20"/>
                <w:lang w:val="es-AR" w:eastAsia="es-AR"/>
              </w:rPr>
            </w:pPr>
            <w:r w:rsidRPr="00C91C8F">
              <w:rPr>
                <w:rFonts w:eastAsia="Times New Roman" w:cs="Calibri"/>
                <w:color w:val="000000"/>
                <w:sz w:val="20"/>
                <w:szCs w:val="20"/>
                <w:lang w:val="es-AR" w:eastAsia="es-AR"/>
              </w:rPr>
              <w:t>Equipamiento de operación y mantenimiento no fungible</w:t>
            </w:r>
          </w:p>
        </w:tc>
      </w:tr>
      <w:tr w:rsidR="0079428C" w:rsidRPr="00C91C8F" w14:paraId="4D6F52AF" w14:textId="77777777" w:rsidTr="00F05605">
        <w:trPr>
          <w:trHeight w:val="330"/>
          <w:jc w:val="center"/>
        </w:trPr>
        <w:tc>
          <w:tcPr>
            <w:tcW w:w="1020" w:type="dxa"/>
            <w:shd w:val="clear" w:color="000000" w:fill="FFFFFF" w:themeFill="background1"/>
          </w:tcPr>
          <w:p w14:paraId="0DCA6047"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BM</w:t>
            </w:r>
          </w:p>
        </w:tc>
        <w:tc>
          <w:tcPr>
            <w:tcW w:w="1020" w:type="dxa"/>
            <w:shd w:val="clear" w:color="000000" w:fill="FFFFFF" w:themeFill="background1"/>
            <w:vAlign w:val="center"/>
            <w:hideMark/>
          </w:tcPr>
          <w:p w14:paraId="27DC4D73"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13</w:t>
            </w:r>
          </w:p>
        </w:tc>
        <w:tc>
          <w:tcPr>
            <w:tcW w:w="4894" w:type="dxa"/>
            <w:shd w:val="clear" w:color="000000" w:fill="FFFFFF" w:themeFill="background1"/>
            <w:vAlign w:val="center"/>
            <w:hideMark/>
          </w:tcPr>
          <w:p w14:paraId="4993FD75" w14:textId="77777777" w:rsidR="0079428C" w:rsidRPr="00C91C8F" w:rsidRDefault="0079428C" w:rsidP="00C276D3">
            <w:pPr>
              <w:spacing w:after="0" w:line="240" w:lineRule="auto"/>
              <w:jc w:val="left"/>
              <w:rPr>
                <w:rFonts w:eastAsia="Times New Roman" w:cs="Calibri"/>
                <w:color w:val="000000"/>
                <w:sz w:val="20"/>
                <w:szCs w:val="20"/>
                <w:lang w:val="es-AR" w:eastAsia="es-AR"/>
              </w:rPr>
            </w:pPr>
            <w:r w:rsidRPr="00C91C8F">
              <w:rPr>
                <w:rFonts w:eastAsia="Times New Roman" w:cs="Calibri"/>
                <w:color w:val="000000"/>
                <w:sz w:val="20"/>
                <w:szCs w:val="20"/>
                <w:lang w:val="es-AR" w:eastAsia="es-AR"/>
              </w:rPr>
              <w:t>Equipamiento de oficina no fungible</w:t>
            </w:r>
          </w:p>
        </w:tc>
      </w:tr>
      <w:tr w:rsidR="0079428C" w:rsidRPr="00C91C8F" w14:paraId="0013ABDB" w14:textId="77777777" w:rsidTr="00F05605">
        <w:trPr>
          <w:trHeight w:val="330"/>
          <w:jc w:val="center"/>
        </w:trPr>
        <w:tc>
          <w:tcPr>
            <w:tcW w:w="1020" w:type="dxa"/>
            <w:shd w:val="clear" w:color="000000" w:fill="FFFFFF" w:themeFill="background1"/>
          </w:tcPr>
          <w:p w14:paraId="42C3F3F8"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EC</w:t>
            </w:r>
          </w:p>
        </w:tc>
        <w:tc>
          <w:tcPr>
            <w:tcW w:w="1020" w:type="dxa"/>
            <w:shd w:val="clear" w:color="000000" w:fill="FFFFFF" w:themeFill="background1"/>
            <w:vAlign w:val="center"/>
            <w:hideMark/>
          </w:tcPr>
          <w:p w14:paraId="72733640"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14</w:t>
            </w:r>
          </w:p>
        </w:tc>
        <w:tc>
          <w:tcPr>
            <w:tcW w:w="4894" w:type="dxa"/>
            <w:shd w:val="clear" w:color="000000" w:fill="FFFFFF" w:themeFill="background1"/>
            <w:vAlign w:val="center"/>
            <w:hideMark/>
          </w:tcPr>
          <w:p w14:paraId="48F52831" w14:textId="77777777" w:rsidR="0079428C" w:rsidRPr="00C91C8F" w:rsidRDefault="0079428C" w:rsidP="00C276D3">
            <w:pPr>
              <w:spacing w:after="0" w:line="240" w:lineRule="auto"/>
              <w:jc w:val="left"/>
              <w:rPr>
                <w:rFonts w:eastAsia="Times New Roman" w:cs="Calibri"/>
                <w:color w:val="000000"/>
                <w:sz w:val="20"/>
                <w:szCs w:val="20"/>
                <w:lang w:val="es-AR" w:eastAsia="es-AR"/>
              </w:rPr>
            </w:pPr>
            <w:r w:rsidRPr="00C91C8F">
              <w:rPr>
                <w:rFonts w:eastAsia="Times New Roman" w:cs="Calibri"/>
                <w:color w:val="000000"/>
                <w:sz w:val="20"/>
                <w:szCs w:val="20"/>
                <w:lang w:val="es-AR" w:eastAsia="es-AR"/>
              </w:rPr>
              <w:t>Equipamiento computacional y sistemas de vigilancia</w:t>
            </w:r>
          </w:p>
        </w:tc>
      </w:tr>
      <w:tr w:rsidR="0079428C" w:rsidRPr="00C91C8F" w14:paraId="4510EE1B" w14:textId="77777777" w:rsidTr="00F05605">
        <w:trPr>
          <w:trHeight w:val="330"/>
          <w:jc w:val="center"/>
        </w:trPr>
        <w:tc>
          <w:tcPr>
            <w:tcW w:w="1020" w:type="dxa"/>
            <w:shd w:val="clear" w:color="000000" w:fill="FFFFFF" w:themeFill="background1"/>
          </w:tcPr>
          <w:p w14:paraId="0DB4B20D"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VH</w:t>
            </w:r>
          </w:p>
        </w:tc>
        <w:tc>
          <w:tcPr>
            <w:tcW w:w="1020" w:type="dxa"/>
            <w:shd w:val="clear" w:color="000000" w:fill="FFFFFF" w:themeFill="background1"/>
            <w:vAlign w:val="center"/>
            <w:hideMark/>
          </w:tcPr>
          <w:p w14:paraId="681F46C2" w14:textId="77777777" w:rsidR="0079428C" w:rsidRPr="00C91C8F" w:rsidRDefault="0079428C" w:rsidP="00C276D3">
            <w:pPr>
              <w:spacing w:after="0" w:line="240" w:lineRule="auto"/>
              <w:jc w:val="center"/>
              <w:rPr>
                <w:rFonts w:eastAsia="Times New Roman" w:cs="Calibri"/>
                <w:color w:val="000000"/>
                <w:sz w:val="20"/>
                <w:szCs w:val="20"/>
                <w:lang w:val="es-AR" w:eastAsia="es-AR"/>
              </w:rPr>
            </w:pPr>
            <w:r w:rsidRPr="00C91C8F">
              <w:rPr>
                <w:rFonts w:eastAsia="Times New Roman" w:cs="Calibri"/>
                <w:color w:val="000000"/>
                <w:sz w:val="20"/>
                <w:szCs w:val="20"/>
                <w:lang w:val="es-AR" w:eastAsia="es-AR"/>
              </w:rPr>
              <w:t>15</w:t>
            </w:r>
          </w:p>
        </w:tc>
        <w:tc>
          <w:tcPr>
            <w:tcW w:w="4894" w:type="dxa"/>
            <w:shd w:val="clear" w:color="000000" w:fill="FFFFFF" w:themeFill="background1"/>
            <w:vAlign w:val="center"/>
            <w:hideMark/>
          </w:tcPr>
          <w:p w14:paraId="12EA6427" w14:textId="77777777" w:rsidR="0079428C" w:rsidRPr="00C91C8F" w:rsidRDefault="0079428C" w:rsidP="00C276D3">
            <w:pPr>
              <w:spacing w:after="0" w:line="240" w:lineRule="auto"/>
              <w:jc w:val="left"/>
              <w:rPr>
                <w:rFonts w:eastAsia="Times New Roman" w:cs="Calibri"/>
                <w:color w:val="000000"/>
                <w:sz w:val="20"/>
                <w:szCs w:val="20"/>
                <w:lang w:val="es-AR" w:eastAsia="es-AR"/>
              </w:rPr>
            </w:pPr>
            <w:r w:rsidRPr="00C91C8F">
              <w:rPr>
                <w:rFonts w:eastAsia="Times New Roman" w:cs="Calibri"/>
                <w:color w:val="000000"/>
                <w:sz w:val="20"/>
                <w:szCs w:val="20"/>
                <w:lang w:val="es-AR" w:eastAsia="es-AR"/>
              </w:rPr>
              <w:t>Vehículos</w:t>
            </w:r>
          </w:p>
        </w:tc>
      </w:tr>
    </w:tbl>
    <w:p w14:paraId="6746B11E" w14:textId="77777777" w:rsidR="00535FE1" w:rsidRDefault="00535FE1" w:rsidP="0079428C">
      <w:pPr>
        <w:rPr>
          <w:lang w:val="es-ES"/>
        </w:rPr>
      </w:pPr>
    </w:p>
    <w:p w14:paraId="3D61CB53" w14:textId="1E05AD28" w:rsidR="0079428C" w:rsidRDefault="0079428C" w:rsidP="0079428C">
      <w:pPr>
        <w:rPr>
          <w:lang w:val="es-ES"/>
        </w:rPr>
      </w:pPr>
      <w:r w:rsidRPr="00C91C8F">
        <w:rPr>
          <w:lang w:val="es-ES"/>
        </w:rPr>
        <w:t>El detalle de cada partida se puede ver en el Modelo.</w:t>
      </w:r>
    </w:p>
    <w:p w14:paraId="0E566D85" w14:textId="4513BC4A" w:rsidR="00850C20" w:rsidRDefault="00535FE1" w:rsidP="0079428C">
      <w:pPr>
        <w:rPr>
          <w:lang w:val="es-ES"/>
        </w:rPr>
      </w:pPr>
      <w:r>
        <w:rPr>
          <w:lang w:val="es-ES"/>
        </w:rPr>
        <w:t>Las siguientes tablas presentan los resultados de COMA y de Bienes Muebles e Inmuebles por tra</w:t>
      </w:r>
      <w:r w:rsidR="00081F41">
        <w:rPr>
          <w:lang w:val="es-ES"/>
        </w:rPr>
        <w:t xml:space="preserve">mo: </w:t>
      </w:r>
    </w:p>
    <w:p w14:paraId="64D7018B" w14:textId="511A3F36" w:rsidR="00850C20" w:rsidRDefault="00850C20" w:rsidP="0079428C">
      <w:pPr>
        <w:rPr>
          <w:lang w:val="es-ES"/>
        </w:rPr>
        <w:sectPr w:rsidR="00850C20" w:rsidSect="00F04B20">
          <w:pgSz w:w="12242" w:h="15842" w:code="1"/>
          <w:pgMar w:top="1134" w:right="1418" w:bottom="1134" w:left="1134" w:header="851" w:footer="1134" w:gutter="0"/>
          <w:cols w:space="708"/>
          <w:titlePg/>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000000" w:fill="auto"/>
        <w:tblLayout w:type="fixed"/>
        <w:tblCellMar>
          <w:left w:w="70" w:type="dxa"/>
          <w:right w:w="70" w:type="dxa"/>
        </w:tblCellMar>
        <w:tblLook w:val="04A0" w:firstRow="1" w:lastRow="0" w:firstColumn="1" w:lastColumn="0" w:noHBand="0" w:noVBand="1"/>
      </w:tblPr>
      <w:tblGrid>
        <w:gridCol w:w="1782"/>
        <w:gridCol w:w="930"/>
        <w:gridCol w:w="1357"/>
        <w:gridCol w:w="1357"/>
        <w:gridCol w:w="1357"/>
        <w:gridCol w:w="1357"/>
        <w:gridCol w:w="1357"/>
        <w:gridCol w:w="1357"/>
        <w:gridCol w:w="1357"/>
        <w:gridCol w:w="1357"/>
      </w:tblGrid>
      <w:tr w:rsidR="00535FE1" w:rsidRPr="009054AA" w14:paraId="0F3C203E" w14:textId="77777777" w:rsidTr="00535FE1">
        <w:trPr>
          <w:trHeight w:val="290"/>
          <w:tblHeader/>
        </w:trPr>
        <w:tc>
          <w:tcPr>
            <w:tcW w:w="657" w:type="pct"/>
            <w:shd w:val="clear" w:color="000000" w:fill="auto"/>
            <w:noWrap/>
            <w:vAlign w:val="center"/>
            <w:hideMark/>
          </w:tcPr>
          <w:p w14:paraId="294485A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Tramos de</w:t>
            </w:r>
          </w:p>
          <w:p w14:paraId="44C8993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SubEstación</w:t>
            </w:r>
          </w:p>
        </w:tc>
        <w:tc>
          <w:tcPr>
            <w:tcW w:w="343" w:type="pct"/>
            <w:shd w:val="clear" w:color="000000" w:fill="auto"/>
            <w:noWrap/>
            <w:vAlign w:val="center"/>
            <w:hideMark/>
          </w:tcPr>
          <w:p w14:paraId="5EAA66E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Directos</w:t>
            </w:r>
          </w:p>
        </w:tc>
        <w:tc>
          <w:tcPr>
            <w:tcW w:w="500" w:type="pct"/>
            <w:shd w:val="clear" w:color="000000" w:fill="auto"/>
            <w:noWrap/>
            <w:vAlign w:val="center"/>
            <w:hideMark/>
          </w:tcPr>
          <w:p w14:paraId="4A3ADE9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Estructura Central</w:t>
            </w:r>
          </w:p>
        </w:tc>
        <w:tc>
          <w:tcPr>
            <w:tcW w:w="500" w:type="pct"/>
            <w:shd w:val="clear" w:color="000000" w:fill="auto"/>
            <w:noWrap/>
            <w:vAlign w:val="center"/>
            <w:hideMark/>
          </w:tcPr>
          <w:p w14:paraId="4F7B5BC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Regional</w:t>
            </w:r>
          </w:p>
        </w:tc>
        <w:tc>
          <w:tcPr>
            <w:tcW w:w="500" w:type="pct"/>
            <w:shd w:val="clear" w:color="000000" w:fill="auto"/>
            <w:noWrap/>
            <w:vAlign w:val="center"/>
            <w:hideMark/>
          </w:tcPr>
          <w:p w14:paraId="4A7C5E8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Total</w:t>
            </w:r>
          </w:p>
        </w:tc>
        <w:tc>
          <w:tcPr>
            <w:tcW w:w="500" w:type="pct"/>
            <w:shd w:val="clear" w:color="000000" w:fill="auto"/>
            <w:noWrap/>
            <w:vAlign w:val="center"/>
            <w:hideMark/>
          </w:tcPr>
          <w:p w14:paraId="2042F8D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BI</w:t>
            </w:r>
          </w:p>
        </w:tc>
        <w:tc>
          <w:tcPr>
            <w:tcW w:w="500" w:type="pct"/>
            <w:shd w:val="clear" w:color="000000" w:fill="auto"/>
            <w:noWrap/>
            <w:vAlign w:val="center"/>
            <w:hideMark/>
          </w:tcPr>
          <w:p w14:paraId="445253B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EC</w:t>
            </w:r>
          </w:p>
        </w:tc>
        <w:tc>
          <w:tcPr>
            <w:tcW w:w="500" w:type="pct"/>
            <w:shd w:val="clear" w:color="000000" w:fill="auto"/>
            <w:noWrap/>
            <w:vAlign w:val="center"/>
            <w:hideMark/>
          </w:tcPr>
          <w:p w14:paraId="256238A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 xml:space="preserve">EOYM </w:t>
            </w:r>
          </w:p>
        </w:tc>
        <w:tc>
          <w:tcPr>
            <w:tcW w:w="500" w:type="pct"/>
            <w:shd w:val="clear" w:color="000000" w:fill="auto"/>
            <w:noWrap/>
            <w:vAlign w:val="center"/>
            <w:hideMark/>
          </w:tcPr>
          <w:p w14:paraId="4423EF6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 xml:space="preserve">BM </w:t>
            </w:r>
          </w:p>
        </w:tc>
        <w:tc>
          <w:tcPr>
            <w:tcW w:w="500" w:type="pct"/>
            <w:shd w:val="clear" w:color="000000" w:fill="auto"/>
            <w:noWrap/>
            <w:vAlign w:val="center"/>
            <w:hideMark/>
          </w:tcPr>
          <w:p w14:paraId="31A3231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Total</w:t>
            </w:r>
          </w:p>
          <w:p w14:paraId="5A872FA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 xml:space="preserve">BM&amp;I </w:t>
            </w:r>
          </w:p>
        </w:tc>
      </w:tr>
      <w:tr w:rsidR="00535FE1" w:rsidRPr="009054AA" w14:paraId="5D882AD4" w14:textId="77777777" w:rsidTr="00535FE1">
        <w:trPr>
          <w:trHeight w:val="290"/>
        </w:trPr>
        <w:tc>
          <w:tcPr>
            <w:tcW w:w="657" w:type="pct"/>
            <w:shd w:val="clear" w:color="000000" w:fill="auto"/>
            <w:noWrap/>
            <w:vAlign w:val="bottom"/>
            <w:hideMark/>
          </w:tcPr>
          <w:p w14:paraId="10ADA6B2"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 </w:t>
            </w:r>
          </w:p>
        </w:tc>
        <w:tc>
          <w:tcPr>
            <w:tcW w:w="343" w:type="pct"/>
            <w:shd w:val="clear" w:color="000000" w:fill="auto"/>
            <w:noWrap/>
            <w:vAlign w:val="center"/>
            <w:hideMark/>
          </w:tcPr>
          <w:p w14:paraId="70E0A8A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224.035</w:t>
            </w:r>
          </w:p>
        </w:tc>
        <w:tc>
          <w:tcPr>
            <w:tcW w:w="500" w:type="pct"/>
            <w:shd w:val="clear" w:color="000000" w:fill="auto"/>
            <w:noWrap/>
            <w:vAlign w:val="center"/>
            <w:hideMark/>
          </w:tcPr>
          <w:p w14:paraId="75B396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144.242</w:t>
            </w:r>
          </w:p>
        </w:tc>
        <w:tc>
          <w:tcPr>
            <w:tcW w:w="500" w:type="pct"/>
            <w:shd w:val="clear" w:color="000000" w:fill="auto"/>
            <w:noWrap/>
            <w:vAlign w:val="center"/>
            <w:hideMark/>
          </w:tcPr>
          <w:p w14:paraId="0595A9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74.137</w:t>
            </w:r>
          </w:p>
        </w:tc>
        <w:tc>
          <w:tcPr>
            <w:tcW w:w="500" w:type="pct"/>
            <w:shd w:val="clear" w:color="000000" w:fill="auto"/>
            <w:noWrap/>
            <w:vAlign w:val="center"/>
            <w:hideMark/>
          </w:tcPr>
          <w:p w14:paraId="5988C37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442.414</w:t>
            </w:r>
          </w:p>
        </w:tc>
        <w:tc>
          <w:tcPr>
            <w:tcW w:w="500" w:type="pct"/>
            <w:shd w:val="clear" w:color="000000" w:fill="auto"/>
            <w:noWrap/>
            <w:vAlign w:val="center"/>
            <w:hideMark/>
          </w:tcPr>
          <w:p w14:paraId="6EBED5E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105.875</w:t>
            </w:r>
          </w:p>
        </w:tc>
        <w:tc>
          <w:tcPr>
            <w:tcW w:w="500" w:type="pct"/>
            <w:shd w:val="clear" w:color="000000" w:fill="auto"/>
            <w:noWrap/>
            <w:vAlign w:val="center"/>
            <w:hideMark/>
          </w:tcPr>
          <w:p w14:paraId="2A2142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141.093</w:t>
            </w:r>
          </w:p>
        </w:tc>
        <w:tc>
          <w:tcPr>
            <w:tcW w:w="500" w:type="pct"/>
            <w:shd w:val="clear" w:color="000000" w:fill="auto"/>
            <w:noWrap/>
            <w:vAlign w:val="center"/>
            <w:hideMark/>
          </w:tcPr>
          <w:p w14:paraId="58F7A62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12.317</w:t>
            </w:r>
          </w:p>
        </w:tc>
        <w:tc>
          <w:tcPr>
            <w:tcW w:w="500" w:type="pct"/>
            <w:shd w:val="clear" w:color="000000" w:fill="auto"/>
            <w:noWrap/>
            <w:vAlign w:val="center"/>
            <w:hideMark/>
          </w:tcPr>
          <w:p w14:paraId="2FAD3D1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4.856</w:t>
            </w:r>
          </w:p>
        </w:tc>
        <w:tc>
          <w:tcPr>
            <w:tcW w:w="500" w:type="pct"/>
            <w:shd w:val="clear" w:color="000000" w:fill="auto"/>
            <w:noWrap/>
            <w:vAlign w:val="center"/>
            <w:hideMark/>
          </w:tcPr>
          <w:p w14:paraId="240E8EC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264.141</w:t>
            </w:r>
          </w:p>
        </w:tc>
      </w:tr>
      <w:tr w:rsidR="00535FE1" w:rsidRPr="009054AA" w14:paraId="56B78ECC" w14:textId="77777777" w:rsidTr="00535FE1">
        <w:trPr>
          <w:trHeight w:val="290"/>
        </w:trPr>
        <w:tc>
          <w:tcPr>
            <w:tcW w:w="657" w:type="pct"/>
            <w:shd w:val="clear" w:color="000000" w:fill="auto"/>
            <w:noWrap/>
            <w:vAlign w:val="bottom"/>
            <w:hideMark/>
          </w:tcPr>
          <w:p w14:paraId="4BDFEC3E"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 </w:t>
            </w:r>
          </w:p>
        </w:tc>
        <w:tc>
          <w:tcPr>
            <w:tcW w:w="343" w:type="pct"/>
            <w:shd w:val="clear" w:color="000000" w:fill="auto"/>
            <w:noWrap/>
            <w:vAlign w:val="center"/>
            <w:hideMark/>
          </w:tcPr>
          <w:p w14:paraId="6876EF9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177.609</w:t>
            </w:r>
          </w:p>
        </w:tc>
        <w:tc>
          <w:tcPr>
            <w:tcW w:w="500" w:type="pct"/>
            <w:shd w:val="clear" w:color="000000" w:fill="auto"/>
            <w:noWrap/>
            <w:vAlign w:val="center"/>
            <w:hideMark/>
          </w:tcPr>
          <w:p w14:paraId="35D1A73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240.885</w:t>
            </w:r>
          </w:p>
        </w:tc>
        <w:tc>
          <w:tcPr>
            <w:tcW w:w="500" w:type="pct"/>
            <w:shd w:val="clear" w:color="000000" w:fill="auto"/>
            <w:noWrap/>
            <w:vAlign w:val="center"/>
            <w:hideMark/>
          </w:tcPr>
          <w:p w14:paraId="470856B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304.148</w:t>
            </w:r>
          </w:p>
        </w:tc>
        <w:tc>
          <w:tcPr>
            <w:tcW w:w="500" w:type="pct"/>
            <w:shd w:val="clear" w:color="000000" w:fill="auto"/>
            <w:noWrap/>
            <w:vAlign w:val="center"/>
            <w:hideMark/>
          </w:tcPr>
          <w:p w14:paraId="25F2DE9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722.642</w:t>
            </w:r>
          </w:p>
        </w:tc>
        <w:tc>
          <w:tcPr>
            <w:tcW w:w="500" w:type="pct"/>
            <w:shd w:val="clear" w:color="000000" w:fill="auto"/>
            <w:noWrap/>
            <w:vAlign w:val="center"/>
            <w:hideMark/>
          </w:tcPr>
          <w:p w14:paraId="7151AD8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311.461</w:t>
            </w:r>
          </w:p>
        </w:tc>
        <w:tc>
          <w:tcPr>
            <w:tcW w:w="500" w:type="pct"/>
            <w:shd w:val="clear" w:color="000000" w:fill="auto"/>
            <w:noWrap/>
            <w:vAlign w:val="center"/>
            <w:hideMark/>
          </w:tcPr>
          <w:p w14:paraId="657B05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239.201</w:t>
            </w:r>
          </w:p>
        </w:tc>
        <w:tc>
          <w:tcPr>
            <w:tcW w:w="500" w:type="pct"/>
            <w:shd w:val="clear" w:color="000000" w:fill="auto"/>
            <w:noWrap/>
            <w:vAlign w:val="center"/>
            <w:hideMark/>
          </w:tcPr>
          <w:p w14:paraId="3B7FE0C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58.454</w:t>
            </w:r>
          </w:p>
        </w:tc>
        <w:tc>
          <w:tcPr>
            <w:tcW w:w="500" w:type="pct"/>
            <w:shd w:val="clear" w:color="000000" w:fill="auto"/>
            <w:noWrap/>
            <w:vAlign w:val="center"/>
            <w:hideMark/>
          </w:tcPr>
          <w:p w14:paraId="33DE474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13.772</w:t>
            </w:r>
          </w:p>
        </w:tc>
        <w:tc>
          <w:tcPr>
            <w:tcW w:w="500" w:type="pct"/>
            <w:shd w:val="clear" w:color="000000" w:fill="auto"/>
            <w:noWrap/>
            <w:vAlign w:val="center"/>
            <w:hideMark/>
          </w:tcPr>
          <w:p w14:paraId="7161F9C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622.888</w:t>
            </w:r>
          </w:p>
        </w:tc>
      </w:tr>
      <w:tr w:rsidR="00535FE1" w:rsidRPr="009054AA" w14:paraId="645885BA" w14:textId="77777777" w:rsidTr="00535FE1">
        <w:trPr>
          <w:trHeight w:val="290"/>
        </w:trPr>
        <w:tc>
          <w:tcPr>
            <w:tcW w:w="657" w:type="pct"/>
            <w:shd w:val="clear" w:color="000000" w:fill="auto"/>
            <w:noWrap/>
            <w:vAlign w:val="bottom"/>
            <w:hideMark/>
          </w:tcPr>
          <w:p w14:paraId="5AEE03B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 </w:t>
            </w:r>
          </w:p>
        </w:tc>
        <w:tc>
          <w:tcPr>
            <w:tcW w:w="343" w:type="pct"/>
            <w:shd w:val="clear" w:color="000000" w:fill="auto"/>
            <w:noWrap/>
            <w:vAlign w:val="center"/>
            <w:hideMark/>
          </w:tcPr>
          <w:p w14:paraId="781295D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51.719</w:t>
            </w:r>
          </w:p>
        </w:tc>
        <w:tc>
          <w:tcPr>
            <w:tcW w:w="500" w:type="pct"/>
            <w:shd w:val="clear" w:color="000000" w:fill="auto"/>
            <w:noWrap/>
            <w:vAlign w:val="center"/>
            <w:hideMark/>
          </w:tcPr>
          <w:p w14:paraId="7C0B690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14.224</w:t>
            </w:r>
          </w:p>
        </w:tc>
        <w:tc>
          <w:tcPr>
            <w:tcW w:w="500" w:type="pct"/>
            <w:shd w:val="clear" w:color="000000" w:fill="auto"/>
            <w:noWrap/>
            <w:vAlign w:val="center"/>
            <w:hideMark/>
          </w:tcPr>
          <w:p w14:paraId="5CC9A24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6.108</w:t>
            </w:r>
          </w:p>
        </w:tc>
        <w:tc>
          <w:tcPr>
            <w:tcW w:w="500" w:type="pct"/>
            <w:shd w:val="clear" w:color="000000" w:fill="auto"/>
            <w:noWrap/>
            <w:vAlign w:val="center"/>
            <w:hideMark/>
          </w:tcPr>
          <w:p w14:paraId="3E63BBE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72.051</w:t>
            </w:r>
          </w:p>
        </w:tc>
        <w:tc>
          <w:tcPr>
            <w:tcW w:w="500" w:type="pct"/>
            <w:shd w:val="clear" w:color="000000" w:fill="auto"/>
            <w:noWrap/>
            <w:vAlign w:val="center"/>
            <w:hideMark/>
          </w:tcPr>
          <w:p w14:paraId="132BC6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20.804</w:t>
            </w:r>
          </w:p>
        </w:tc>
        <w:tc>
          <w:tcPr>
            <w:tcW w:w="500" w:type="pct"/>
            <w:shd w:val="clear" w:color="000000" w:fill="auto"/>
            <w:noWrap/>
            <w:vAlign w:val="center"/>
            <w:hideMark/>
          </w:tcPr>
          <w:p w14:paraId="116A66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13.872</w:t>
            </w:r>
          </w:p>
        </w:tc>
        <w:tc>
          <w:tcPr>
            <w:tcW w:w="500" w:type="pct"/>
            <w:shd w:val="clear" w:color="000000" w:fill="auto"/>
            <w:noWrap/>
            <w:vAlign w:val="center"/>
            <w:hideMark/>
          </w:tcPr>
          <w:p w14:paraId="39F5B11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764</w:t>
            </w:r>
          </w:p>
        </w:tc>
        <w:tc>
          <w:tcPr>
            <w:tcW w:w="500" w:type="pct"/>
            <w:shd w:val="clear" w:color="000000" w:fill="auto"/>
            <w:noWrap/>
            <w:vAlign w:val="center"/>
            <w:hideMark/>
          </w:tcPr>
          <w:p w14:paraId="2196AB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413</w:t>
            </w:r>
          </w:p>
        </w:tc>
        <w:tc>
          <w:tcPr>
            <w:tcW w:w="500" w:type="pct"/>
            <w:shd w:val="clear" w:color="000000" w:fill="auto"/>
            <w:noWrap/>
            <w:vAlign w:val="center"/>
            <w:hideMark/>
          </w:tcPr>
          <w:p w14:paraId="2C44BEC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35.853</w:t>
            </w:r>
          </w:p>
        </w:tc>
      </w:tr>
      <w:tr w:rsidR="00535FE1" w:rsidRPr="009054AA" w14:paraId="6BD9860B" w14:textId="77777777" w:rsidTr="00535FE1">
        <w:trPr>
          <w:trHeight w:val="290"/>
        </w:trPr>
        <w:tc>
          <w:tcPr>
            <w:tcW w:w="657" w:type="pct"/>
            <w:shd w:val="clear" w:color="000000" w:fill="auto"/>
            <w:noWrap/>
            <w:vAlign w:val="bottom"/>
            <w:hideMark/>
          </w:tcPr>
          <w:p w14:paraId="330F26C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 </w:t>
            </w:r>
          </w:p>
        </w:tc>
        <w:tc>
          <w:tcPr>
            <w:tcW w:w="343" w:type="pct"/>
            <w:shd w:val="clear" w:color="000000" w:fill="auto"/>
            <w:noWrap/>
            <w:vAlign w:val="center"/>
            <w:hideMark/>
          </w:tcPr>
          <w:p w14:paraId="67509EC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48.698</w:t>
            </w:r>
          </w:p>
        </w:tc>
        <w:tc>
          <w:tcPr>
            <w:tcW w:w="500" w:type="pct"/>
            <w:shd w:val="clear" w:color="000000" w:fill="auto"/>
            <w:noWrap/>
            <w:vAlign w:val="center"/>
            <w:hideMark/>
          </w:tcPr>
          <w:p w14:paraId="1AE902E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2.609</w:t>
            </w:r>
          </w:p>
        </w:tc>
        <w:tc>
          <w:tcPr>
            <w:tcW w:w="500" w:type="pct"/>
            <w:shd w:val="clear" w:color="000000" w:fill="auto"/>
            <w:noWrap/>
            <w:vAlign w:val="center"/>
            <w:hideMark/>
          </w:tcPr>
          <w:p w14:paraId="7820347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1.120</w:t>
            </w:r>
          </w:p>
        </w:tc>
        <w:tc>
          <w:tcPr>
            <w:tcW w:w="500" w:type="pct"/>
            <w:shd w:val="clear" w:color="000000" w:fill="auto"/>
            <w:noWrap/>
            <w:vAlign w:val="center"/>
            <w:hideMark/>
          </w:tcPr>
          <w:p w14:paraId="068AE64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52.428</w:t>
            </w:r>
          </w:p>
        </w:tc>
        <w:tc>
          <w:tcPr>
            <w:tcW w:w="500" w:type="pct"/>
            <w:shd w:val="clear" w:color="000000" w:fill="auto"/>
            <w:noWrap/>
            <w:vAlign w:val="center"/>
            <w:hideMark/>
          </w:tcPr>
          <w:p w14:paraId="19B0C1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3.816</w:t>
            </w:r>
          </w:p>
        </w:tc>
        <w:tc>
          <w:tcPr>
            <w:tcW w:w="500" w:type="pct"/>
            <w:shd w:val="clear" w:color="000000" w:fill="auto"/>
            <w:noWrap/>
            <w:vAlign w:val="center"/>
            <w:hideMark/>
          </w:tcPr>
          <w:p w14:paraId="2D0B96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2.545</w:t>
            </w:r>
          </w:p>
        </w:tc>
        <w:tc>
          <w:tcPr>
            <w:tcW w:w="500" w:type="pct"/>
            <w:shd w:val="clear" w:color="000000" w:fill="auto"/>
            <w:noWrap/>
            <w:vAlign w:val="center"/>
            <w:hideMark/>
          </w:tcPr>
          <w:p w14:paraId="30A444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w:t>
            </w:r>
          </w:p>
        </w:tc>
        <w:tc>
          <w:tcPr>
            <w:tcW w:w="500" w:type="pct"/>
            <w:shd w:val="clear" w:color="000000" w:fill="auto"/>
            <w:noWrap/>
            <w:vAlign w:val="center"/>
            <w:hideMark/>
          </w:tcPr>
          <w:p w14:paraId="28EABE3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w:t>
            </w:r>
          </w:p>
        </w:tc>
        <w:tc>
          <w:tcPr>
            <w:tcW w:w="500" w:type="pct"/>
            <w:shd w:val="clear" w:color="000000" w:fill="auto"/>
            <w:noWrap/>
            <w:vAlign w:val="center"/>
            <w:hideMark/>
          </w:tcPr>
          <w:p w14:paraId="509128D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6.577</w:t>
            </w:r>
          </w:p>
        </w:tc>
      </w:tr>
      <w:tr w:rsidR="00535FE1" w:rsidRPr="009054AA" w14:paraId="3C8393CE" w14:textId="77777777" w:rsidTr="00535FE1">
        <w:trPr>
          <w:trHeight w:val="290"/>
        </w:trPr>
        <w:tc>
          <w:tcPr>
            <w:tcW w:w="657" w:type="pct"/>
            <w:shd w:val="clear" w:color="000000" w:fill="auto"/>
            <w:noWrap/>
            <w:vAlign w:val="bottom"/>
            <w:hideMark/>
          </w:tcPr>
          <w:p w14:paraId="12F83315"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 </w:t>
            </w:r>
          </w:p>
        </w:tc>
        <w:tc>
          <w:tcPr>
            <w:tcW w:w="343" w:type="pct"/>
            <w:shd w:val="clear" w:color="000000" w:fill="auto"/>
            <w:noWrap/>
            <w:vAlign w:val="center"/>
            <w:hideMark/>
          </w:tcPr>
          <w:p w14:paraId="56CC736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33.922</w:t>
            </w:r>
          </w:p>
        </w:tc>
        <w:tc>
          <w:tcPr>
            <w:tcW w:w="500" w:type="pct"/>
            <w:shd w:val="clear" w:color="000000" w:fill="auto"/>
            <w:noWrap/>
            <w:vAlign w:val="center"/>
            <w:hideMark/>
          </w:tcPr>
          <w:p w14:paraId="7C755C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4.691</w:t>
            </w:r>
          </w:p>
        </w:tc>
        <w:tc>
          <w:tcPr>
            <w:tcW w:w="500" w:type="pct"/>
            <w:shd w:val="clear" w:color="000000" w:fill="auto"/>
            <w:noWrap/>
            <w:vAlign w:val="center"/>
            <w:hideMark/>
          </w:tcPr>
          <w:p w14:paraId="3D5BA8D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2.411</w:t>
            </w:r>
          </w:p>
        </w:tc>
        <w:tc>
          <w:tcPr>
            <w:tcW w:w="500" w:type="pct"/>
            <w:shd w:val="clear" w:color="000000" w:fill="auto"/>
            <w:noWrap/>
            <w:vAlign w:val="center"/>
            <w:hideMark/>
          </w:tcPr>
          <w:p w14:paraId="006A088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41.023</w:t>
            </w:r>
          </w:p>
        </w:tc>
        <w:tc>
          <w:tcPr>
            <w:tcW w:w="500" w:type="pct"/>
            <w:shd w:val="clear" w:color="000000" w:fill="auto"/>
            <w:noWrap/>
            <w:vAlign w:val="center"/>
            <w:hideMark/>
          </w:tcPr>
          <w:p w14:paraId="7ED58E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3.443</w:t>
            </w:r>
          </w:p>
        </w:tc>
        <w:tc>
          <w:tcPr>
            <w:tcW w:w="500" w:type="pct"/>
            <w:shd w:val="clear" w:color="000000" w:fill="auto"/>
            <w:noWrap/>
            <w:vAlign w:val="center"/>
            <w:hideMark/>
          </w:tcPr>
          <w:p w14:paraId="61D499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4.588</w:t>
            </w:r>
          </w:p>
        </w:tc>
        <w:tc>
          <w:tcPr>
            <w:tcW w:w="500" w:type="pct"/>
            <w:shd w:val="clear" w:color="000000" w:fill="auto"/>
            <w:noWrap/>
            <w:vAlign w:val="center"/>
            <w:hideMark/>
          </w:tcPr>
          <w:p w14:paraId="341B616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401</w:t>
            </w:r>
          </w:p>
        </w:tc>
        <w:tc>
          <w:tcPr>
            <w:tcW w:w="500" w:type="pct"/>
            <w:shd w:val="clear" w:color="000000" w:fill="auto"/>
            <w:noWrap/>
            <w:vAlign w:val="center"/>
            <w:hideMark/>
          </w:tcPr>
          <w:p w14:paraId="197449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w:t>
            </w:r>
          </w:p>
        </w:tc>
        <w:tc>
          <w:tcPr>
            <w:tcW w:w="500" w:type="pct"/>
            <w:shd w:val="clear" w:color="000000" w:fill="auto"/>
            <w:noWrap/>
            <w:vAlign w:val="center"/>
            <w:hideMark/>
          </w:tcPr>
          <w:p w14:paraId="1D28AD0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8.589</w:t>
            </w:r>
          </w:p>
        </w:tc>
      </w:tr>
      <w:tr w:rsidR="00535FE1" w:rsidRPr="009054AA" w14:paraId="4E72F479" w14:textId="77777777" w:rsidTr="00535FE1">
        <w:trPr>
          <w:trHeight w:val="290"/>
        </w:trPr>
        <w:tc>
          <w:tcPr>
            <w:tcW w:w="657" w:type="pct"/>
            <w:shd w:val="clear" w:color="000000" w:fill="auto"/>
            <w:noWrap/>
            <w:vAlign w:val="bottom"/>
            <w:hideMark/>
          </w:tcPr>
          <w:p w14:paraId="1ECA15A3"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SE-N_7 </w:t>
            </w:r>
          </w:p>
        </w:tc>
        <w:tc>
          <w:tcPr>
            <w:tcW w:w="343" w:type="pct"/>
            <w:shd w:val="clear" w:color="000000" w:fill="auto"/>
            <w:noWrap/>
            <w:vAlign w:val="center"/>
            <w:hideMark/>
          </w:tcPr>
          <w:p w14:paraId="49ACD2D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94.464</w:t>
            </w:r>
          </w:p>
        </w:tc>
        <w:tc>
          <w:tcPr>
            <w:tcW w:w="500" w:type="pct"/>
            <w:shd w:val="clear" w:color="000000" w:fill="auto"/>
            <w:noWrap/>
            <w:vAlign w:val="center"/>
            <w:hideMark/>
          </w:tcPr>
          <w:p w14:paraId="0621B75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41.077</w:t>
            </w:r>
          </w:p>
        </w:tc>
        <w:tc>
          <w:tcPr>
            <w:tcW w:w="500" w:type="pct"/>
            <w:shd w:val="clear" w:color="000000" w:fill="auto"/>
            <w:noWrap/>
            <w:vAlign w:val="center"/>
            <w:hideMark/>
          </w:tcPr>
          <w:p w14:paraId="568406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17.638</w:t>
            </w:r>
          </w:p>
        </w:tc>
        <w:tc>
          <w:tcPr>
            <w:tcW w:w="500" w:type="pct"/>
            <w:shd w:val="clear" w:color="000000" w:fill="auto"/>
            <w:noWrap/>
            <w:vAlign w:val="center"/>
            <w:hideMark/>
          </w:tcPr>
          <w:p w14:paraId="22060A7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153.179</w:t>
            </w:r>
          </w:p>
        </w:tc>
        <w:tc>
          <w:tcPr>
            <w:tcW w:w="500" w:type="pct"/>
            <w:shd w:val="clear" w:color="000000" w:fill="auto"/>
            <w:noWrap/>
            <w:vAlign w:val="center"/>
            <w:hideMark/>
          </w:tcPr>
          <w:p w14:paraId="5CCD4EB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60.079</w:t>
            </w:r>
          </w:p>
        </w:tc>
        <w:tc>
          <w:tcPr>
            <w:tcW w:w="500" w:type="pct"/>
            <w:shd w:val="clear" w:color="000000" w:fill="auto"/>
            <w:noWrap/>
            <w:vAlign w:val="center"/>
            <w:hideMark/>
          </w:tcPr>
          <w:p w14:paraId="4B511B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40.059</w:t>
            </w:r>
          </w:p>
        </w:tc>
        <w:tc>
          <w:tcPr>
            <w:tcW w:w="500" w:type="pct"/>
            <w:shd w:val="clear" w:color="000000" w:fill="auto"/>
            <w:noWrap/>
            <w:vAlign w:val="center"/>
            <w:hideMark/>
          </w:tcPr>
          <w:p w14:paraId="0196A5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2.206</w:t>
            </w:r>
          </w:p>
        </w:tc>
        <w:tc>
          <w:tcPr>
            <w:tcW w:w="500" w:type="pct"/>
            <w:shd w:val="clear" w:color="000000" w:fill="auto"/>
            <w:noWrap/>
            <w:vAlign w:val="center"/>
            <w:hideMark/>
          </w:tcPr>
          <w:p w14:paraId="0B675F5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1.191</w:t>
            </w:r>
          </w:p>
        </w:tc>
        <w:tc>
          <w:tcPr>
            <w:tcW w:w="500" w:type="pct"/>
            <w:shd w:val="clear" w:color="000000" w:fill="auto"/>
            <w:noWrap/>
            <w:vAlign w:val="center"/>
            <w:hideMark/>
          </w:tcPr>
          <w:p w14:paraId="17C07C7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103.535</w:t>
            </w:r>
          </w:p>
        </w:tc>
      </w:tr>
      <w:tr w:rsidR="00535FE1" w:rsidRPr="009054AA" w14:paraId="581BD8C0" w14:textId="77777777" w:rsidTr="00535FE1">
        <w:trPr>
          <w:trHeight w:val="290"/>
        </w:trPr>
        <w:tc>
          <w:tcPr>
            <w:tcW w:w="657" w:type="pct"/>
            <w:shd w:val="clear" w:color="000000" w:fill="auto"/>
            <w:noWrap/>
            <w:vAlign w:val="bottom"/>
            <w:hideMark/>
          </w:tcPr>
          <w:p w14:paraId="2B1999FE"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SE-N_8 </w:t>
            </w:r>
          </w:p>
        </w:tc>
        <w:tc>
          <w:tcPr>
            <w:tcW w:w="343" w:type="pct"/>
            <w:shd w:val="clear" w:color="000000" w:fill="auto"/>
            <w:noWrap/>
            <w:vAlign w:val="center"/>
            <w:hideMark/>
          </w:tcPr>
          <w:p w14:paraId="103560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23.157</w:t>
            </w:r>
          </w:p>
        </w:tc>
        <w:tc>
          <w:tcPr>
            <w:tcW w:w="500" w:type="pct"/>
            <w:shd w:val="clear" w:color="000000" w:fill="auto"/>
            <w:noWrap/>
            <w:vAlign w:val="center"/>
            <w:hideMark/>
          </w:tcPr>
          <w:p w14:paraId="6ACE219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12.079</w:t>
            </w:r>
          </w:p>
        </w:tc>
        <w:tc>
          <w:tcPr>
            <w:tcW w:w="500" w:type="pct"/>
            <w:shd w:val="clear" w:color="000000" w:fill="auto"/>
            <w:noWrap/>
            <w:vAlign w:val="center"/>
            <w:hideMark/>
          </w:tcPr>
          <w:p w14:paraId="00EB3D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5.187</w:t>
            </w:r>
          </w:p>
        </w:tc>
        <w:tc>
          <w:tcPr>
            <w:tcW w:w="500" w:type="pct"/>
            <w:shd w:val="clear" w:color="000000" w:fill="auto"/>
            <w:noWrap/>
            <w:vAlign w:val="center"/>
            <w:hideMark/>
          </w:tcPr>
          <w:p w14:paraId="5BB37D0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40.422</w:t>
            </w:r>
          </w:p>
        </w:tc>
        <w:tc>
          <w:tcPr>
            <w:tcW w:w="500" w:type="pct"/>
            <w:shd w:val="clear" w:color="000000" w:fill="auto"/>
            <w:noWrap/>
            <w:vAlign w:val="center"/>
            <w:hideMark/>
          </w:tcPr>
          <w:p w14:paraId="0FD107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17.667</w:t>
            </w:r>
          </w:p>
        </w:tc>
        <w:tc>
          <w:tcPr>
            <w:tcW w:w="500" w:type="pct"/>
            <w:shd w:val="clear" w:color="000000" w:fill="auto"/>
            <w:noWrap/>
            <w:vAlign w:val="center"/>
            <w:hideMark/>
          </w:tcPr>
          <w:p w14:paraId="612A21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11.780</w:t>
            </w:r>
          </w:p>
        </w:tc>
        <w:tc>
          <w:tcPr>
            <w:tcW w:w="500" w:type="pct"/>
            <w:shd w:val="clear" w:color="000000" w:fill="auto"/>
            <w:noWrap/>
            <w:vAlign w:val="center"/>
            <w:hideMark/>
          </w:tcPr>
          <w:p w14:paraId="2848CFB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649</w:t>
            </w:r>
          </w:p>
        </w:tc>
        <w:tc>
          <w:tcPr>
            <w:tcW w:w="500" w:type="pct"/>
            <w:shd w:val="clear" w:color="000000" w:fill="auto"/>
            <w:noWrap/>
            <w:vAlign w:val="center"/>
            <w:hideMark/>
          </w:tcPr>
          <w:p w14:paraId="0C56453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350</w:t>
            </w:r>
          </w:p>
        </w:tc>
        <w:tc>
          <w:tcPr>
            <w:tcW w:w="500" w:type="pct"/>
            <w:shd w:val="clear" w:color="000000" w:fill="auto"/>
            <w:noWrap/>
            <w:vAlign w:val="center"/>
            <w:hideMark/>
          </w:tcPr>
          <w:p w14:paraId="64A9909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30.446</w:t>
            </w:r>
          </w:p>
        </w:tc>
      </w:tr>
      <w:tr w:rsidR="00535FE1" w:rsidRPr="009054AA" w14:paraId="1716479F" w14:textId="77777777" w:rsidTr="00535FE1">
        <w:trPr>
          <w:trHeight w:val="290"/>
        </w:trPr>
        <w:tc>
          <w:tcPr>
            <w:tcW w:w="657" w:type="pct"/>
            <w:shd w:val="clear" w:color="000000" w:fill="auto"/>
            <w:noWrap/>
            <w:vAlign w:val="bottom"/>
            <w:hideMark/>
          </w:tcPr>
          <w:p w14:paraId="3F5721EE"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SE-N_9 </w:t>
            </w:r>
          </w:p>
        </w:tc>
        <w:tc>
          <w:tcPr>
            <w:tcW w:w="343" w:type="pct"/>
            <w:shd w:val="clear" w:color="000000" w:fill="auto"/>
            <w:noWrap/>
            <w:vAlign w:val="center"/>
            <w:hideMark/>
          </w:tcPr>
          <w:p w14:paraId="0CBD7B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36.294</w:t>
            </w:r>
          </w:p>
        </w:tc>
        <w:tc>
          <w:tcPr>
            <w:tcW w:w="500" w:type="pct"/>
            <w:shd w:val="clear" w:color="000000" w:fill="auto"/>
            <w:noWrap/>
            <w:vAlign w:val="center"/>
            <w:hideMark/>
          </w:tcPr>
          <w:p w14:paraId="5C3EA25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18.988</w:t>
            </w:r>
          </w:p>
        </w:tc>
        <w:tc>
          <w:tcPr>
            <w:tcW w:w="500" w:type="pct"/>
            <w:shd w:val="clear" w:color="000000" w:fill="auto"/>
            <w:noWrap/>
            <w:vAlign w:val="center"/>
            <w:hideMark/>
          </w:tcPr>
          <w:p w14:paraId="69E6E58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20.659</w:t>
            </w:r>
          </w:p>
        </w:tc>
        <w:tc>
          <w:tcPr>
            <w:tcW w:w="500" w:type="pct"/>
            <w:shd w:val="clear" w:color="000000" w:fill="auto"/>
            <w:noWrap/>
            <w:vAlign w:val="center"/>
            <w:hideMark/>
          </w:tcPr>
          <w:p w14:paraId="5A006AE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75.940</w:t>
            </w:r>
          </w:p>
        </w:tc>
        <w:tc>
          <w:tcPr>
            <w:tcW w:w="500" w:type="pct"/>
            <w:shd w:val="clear" w:color="000000" w:fill="auto"/>
            <w:noWrap/>
            <w:vAlign w:val="center"/>
            <w:hideMark/>
          </w:tcPr>
          <w:p w14:paraId="5D11C0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36.143</w:t>
            </w:r>
          </w:p>
        </w:tc>
        <w:tc>
          <w:tcPr>
            <w:tcW w:w="500" w:type="pct"/>
            <w:shd w:val="clear" w:color="000000" w:fill="auto"/>
            <w:noWrap/>
            <w:vAlign w:val="center"/>
            <w:hideMark/>
          </w:tcPr>
          <w:p w14:paraId="0D219B4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18.765</w:t>
            </w:r>
          </w:p>
        </w:tc>
        <w:tc>
          <w:tcPr>
            <w:tcW w:w="500" w:type="pct"/>
            <w:shd w:val="clear" w:color="000000" w:fill="auto"/>
            <w:noWrap/>
            <w:vAlign w:val="center"/>
            <w:hideMark/>
          </w:tcPr>
          <w:p w14:paraId="5D4FED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3.596</w:t>
            </w:r>
          </w:p>
        </w:tc>
        <w:tc>
          <w:tcPr>
            <w:tcW w:w="500" w:type="pct"/>
            <w:shd w:val="clear" w:color="000000" w:fill="auto"/>
            <w:noWrap/>
            <w:vAlign w:val="center"/>
            <w:hideMark/>
          </w:tcPr>
          <w:p w14:paraId="5E4AE2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944</w:t>
            </w:r>
          </w:p>
        </w:tc>
        <w:tc>
          <w:tcPr>
            <w:tcW w:w="500" w:type="pct"/>
            <w:shd w:val="clear" w:color="000000" w:fill="auto"/>
            <w:noWrap/>
            <w:vAlign w:val="center"/>
            <w:hideMark/>
          </w:tcPr>
          <w:p w14:paraId="79DFBB0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59.448</w:t>
            </w:r>
          </w:p>
        </w:tc>
      </w:tr>
      <w:tr w:rsidR="00535FE1" w:rsidRPr="009054AA" w14:paraId="1607E479" w14:textId="77777777" w:rsidTr="00535FE1">
        <w:trPr>
          <w:trHeight w:val="290"/>
        </w:trPr>
        <w:tc>
          <w:tcPr>
            <w:tcW w:w="657" w:type="pct"/>
            <w:shd w:val="clear" w:color="000000" w:fill="auto"/>
            <w:noWrap/>
            <w:vAlign w:val="bottom"/>
            <w:hideMark/>
          </w:tcPr>
          <w:p w14:paraId="4CC65708"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SE-N_10 </w:t>
            </w:r>
          </w:p>
        </w:tc>
        <w:tc>
          <w:tcPr>
            <w:tcW w:w="343" w:type="pct"/>
            <w:shd w:val="clear" w:color="000000" w:fill="auto"/>
            <w:noWrap/>
            <w:vAlign w:val="center"/>
            <w:hideMark/>
          </w:tcPr>
          <w:p w14:paraId="7005B7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285.756</w:t>
            </w:r>
          </w:p>
        </w:tc>
        <w:tc>
          <w:tcPr>
            <w:tcW w:w="500" w:type="pct"/>
            <w:shd w:val="clear" w:color="000000" w:fill="auto"/>
            <w:noWrap/>
            <w:vAlign w:val="center"/>
            <w:hideMark/>
          </w:tcPr>
          <w:p w14:paraId="265FA0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149.307</w:t>
            </w:r>
          </w:p>
        </w:tc>
        <w:tc>
          <w:tcPr>
            <w:tcW w:w="500" w:type="pct"/>
            <w:shd w:val="clear" w:color="000000" w:fill="auto"/>
            <w:noWrap/>
            <w:vAlign w:val="center"/>
            <w:hideMark/>
          </w:tcPr>
          <w:p w14:paraId="3DA78BD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76.741</w:t>
            </w:r>
          </w:p>
        </w:tc>
        <w:tc>
          <w:tcPr>
            <w:tcW w:w="500" w:type="pct"/>
            <w:shd w:val="clear" w:color="000000" w:fill="auto"/>
            <w:noWrap/>
            <w:vAlign w:val="center"/>
            <w:hideMark/>
          </w:tcPr>
          <w:p w14:paraId="5FACB4F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511.804</w:t>
            </w:r>
          </w:p>
        </w:tc>
        <w:tc>
          <w:tcPr>
            <w:tcW w:w="500" w:type="pct"/>
            <w:shd w:val="clear" w:color="000000" w:fill="auto"/>
            <w:noWrap/>
            <w:vAlign w:val="center"/>
            <w:hideMark/>
          </w:tcPr>
          <w:p w14:paraId="7FA807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109.593</w:t>
            </w:r>
          </w:p>
        </w:tc>
        <w:tc>
          <w:tcPr>
            <w:tcW w:w="500" w:type="pct"/>
            <w:shd w:val="clear" w:color="000000" w:fill="auto"/>
            <w:noWrap/>
            <w:vAlign w:val="center"/>
            <w:hideMark/>
          </w:tcPr>
          <w:p w14:paraId="6C2FFA4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146.048</w:t>
            </w:r>
          </w:p>
        </w:tc>
        <w:tc>
          <w:tcPr>
            <w:tcW w:w="500" w:type="pct"/>
            <w:shd w:val="clear" w:color="000000" w:fill="auto"/>
            <w:noWrap/>
            <w:vAlign w:val="center"/>
            <w:hideMark/>
          </w:tcPr>
          <w:p w14:paraId="07A1D20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12.749</w:t>
            </w:r>
          </w:p>
        </w:tc>
        <w:tc>
          <w:tcPr>
            <w:tcW w:w="500" w:type="pct"/>
            <w:shd w:val="clear" w:color="000000" w:fill="auto"/>
            <w:noWrap/>
            <w:vAlign w:val="center"/>
            <w:hideMark/>
          </w:tcPr>
          <w:p w14:paraId="66026A9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5.026</w:t>
            </w:r>
          </w:p>
        </w:tc>
        <w:tc>
          <w:tcPr>
            <w:tcW w:w="500" w:type="pct"/>
            <w:shd w:val="clear" w:color="000000" w:fill="auto"/>
            <w:noWrap/>
            <w:vAlign w:val="center"/>
            <w:hideMark/>
          </w:tcPr>
          <w:p w14:paraId="05BF46B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273.416</w:t>
            </w:r>
          </w:p>
        </w:tc>
      </w:tr>
      <w:tr w:rsidR="00535FE1" w:rsidRPr="009054AA" w14:paraId="0CF9331A" w14:textId="77777777" w:rsidTr="00535FE1">
        <w:trPr>
          <w:trHeight w:val="290"/>
        </w:trPr>
        <w:tc>
          <w:tcPr>
            <w:tcW w:w="657" w:type="pct"/>
            <w:shd w:val="clear" w:color="000000" w:fill="auto"/>
            <w:noWrap/>
            <w:vAlign w:val="bottom"/>
            <w:hideMark/>
          </w:tcPr>
          <w:p w14:paraId="47D4A636"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SE-N_11 </w:t>
            </w:r>
          </w:p>
        </w:tc>
        <w:tc>
          <w:tcPr>
            <w:tcW w:w="343" w:type="pct"/>
            <w:shd w:val="clear" w:color="000000" w:fill="auto"/>
            <w:noWrap/>
            <w:vAlign w:val="center"/>
            <w:hideMark/>
          </w:tcPr>
          <w:p w14:paraId="43F93E8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183.539</w:t>
            </w:r>
          </w:p>
        </w:tc>
        <w:tc>
          <w:tcPr>
            <w:tcW w:w="500" w:type="pct"/>
            <w:shd w:val="clear" w:color="000000" w:fill="auto"/>
            <w:noWrap/>
            <w:vAlign w:val="center"/>
            <w:hideMark/>
          </w:tcPr>
          <w:p w14:paraId="4BE1BE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99.820</w:t>
            </w:r>
          </w:p>
        </w:tc>
        <w:tc>
          <w:tcPr>
            <w:tcW w:w="500" w:type="pct"/>
            <w:shd w:val="clear" w:color="000000" w:fill="auto"/>
            <w:noWrap/>
            <w:vAlign w:val="center"/>
            <w:hideMark/>
          </w:tcPr>
          <w:p w14:paraId="2E5ECA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108.603</w:t>
            </w:r>
          </w:p>
        </w:tc>
        <w:tc>
          <w:tcPr>
            <w:tcW w:w="500" w:type="pct"/>
            <w:shd w:val="clear" w:color="000000" w:fill="auto"/>
            <w:noWrap/>
            <w:vAlign w:val="center"/>
            <w:hideMark/>
          </w:tcPr>
          <w:p w14:paraId="057A1E7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391.962</w:t>
            </w:r>
          </w:p>
        </w:tc>
        <w:tc>
          <w:tcPr>
            <w:tcW w:w="500" w:type="pct"/>
            <w:shd w:val="clear" w:color="000000" w:fill="auto"/>
            <w:noWrap/>
            <w:vAlign w:val="center"/>
            <w:hideMark/>
          </w:tcPr>
          <w:p w14:paraId="38EF17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190.007</w:t>
            </w:r>
          </w:p>
        </w:tc>
        <w:tc>
          <w:tcPr>
            <w:tcW w:w="500" w:type="pct"/>
            <w:shd w:val="clear" w:color="000000" w:fill="auto"/>
            <w:noWrap/>
            <w:vAlign w:val="center"/>
            <w:hideMark/>
          </w:tcPr>
          <w:p w14:paraId="47707D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98.649</w:t>
            </w:r>
          </w:p>
        </w:tc>
        <w:tc>
          <w:tcPr>
            <w:tcW w:w="500" w:type="pct"/>
            <w:shd w:val="clear" w:color="000000" w:fill="auto"/>
            <w:noWrap/>
            <w:vAlign w:val="center"/>
            <w:hideMark/>
          </w:tcPr>
          <w:p w14:paraId="418948D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18.905</w:t>
            </w:r>
          </w:p>
        </w:tc>
        <w:tc>
          <w:tcPr>
            <w:tcW w:w="500" w:type="pct"/>
            <w:shd w:val="clear" w:color="000000" w:fill="auto"/>
            <w:noWrap/>
            <w:vAlign w:val="center"/>
            <w:hideMark/>
          </w:tcPr>
          <w:p w14:paraId="4ABB61E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4.963</w:t>
            </w:r>
          </w:p>
        </w:tc>
        <w:tc>
          <w:tcPr>
            <w:tcW w:w="500" w:type="pct"/>
            <w:shd w:val="clear" w:color="000000" w:fill="auto"/>
            <w:noWrap/>
            <w:vAlign w:val="center"/>
            <w:hideMark/>
          </w:tcPr>
          <w:p w14:paraId="11A89F6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312.524</w:t>
            </w:r>
          </w:p>
        </w:tc>
      </w:tr>
      <w:tr w:rsidR="00535FE1" w:rsidRPr="009054AA" w14:paraId="67A6E21F" w14:textId="77777777" w:rsidTr="00535FE1">
        <w:trPr>
          <w:trHeight w:val="290"/>
        </w:trPr>
        <w:tc>
          <w:tcPr>
            <w:tcW w:w="657" w:type="pct"/>
            <w:shd w:val="clear" w:color="000000" w:fill="auto"/>
            <w:noWrap/>
            <w:vAlign w:val="bottom"/>
            <w:hideMark/>
          </w:tcPr>
          <w:p w14:paraId="4F2A34C0"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SE-N_12 </w:t>
            </w:r>
          </w:p>
        </w:tc>
        <w:tc>
          <w:tcPr>
            <w:tcW w:w="343" w:type="pct"/>
            <w:shd w:val="clear" w:color="000000" w:fill="auto"/>
            <w:noWrap/>
            <w:vAlign w:val="center"/>
            <w:hideMark/>
          </w:tcPr>
          <w:p w14:paraId="21368E7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47.240</w:t>
            </w:r>
          </w:p>
        </w:tc>
        <w:tc>
          <w:tcPr>
            <w:tcW w:w="500" w:type="pct"/>
            <w:shd w:val="clear" w:color="000000" w:fill="auto"/>
            <w:noWrap/>
            <w:vAlign w:val="center"/>
            <w:hideMark/>
          </w:tcPr>
          <w:p w14:paraId="4503D6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62.182</w:t>
            </w:r>
          </w:p>
        </w:tc>
        <w:tc>
          <w:tcPr>
            <w:tcW w:w="500" w:type="pct"/>
            <w:shd w:val="clear" w:color="000000" w:fill="auto"/>
            <w:noWrap/>
            <w:vAlign w:val="center"/>
            <w:hideMark/>
          </w:tcPr>
          <w:p w14:paraId="3F53539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31.960</w:t>
            </w:r>
          </w:p>
        </w:tc>
        <w:tc>
          <w:tcPr>
            <w:tcW w:w="500" w:type="pct"/>
            <w:shd w:val="clear" w:color="000000" w:fill="auto"/>
            <w:noWrap/>
            <w:vAlign w:val="center"/>
            <w:hideMark/>
          </w:tcPr>
          <w:p w14:paraId="7ABA32F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141.383</w:t>
            </w:r>
          </w:p>
        </w:tc>
        <w:tc>
          <w:tcPr>
            <w:tcW w:w="500" w:type="pct"/>
            <w:shd w:val="clear" w:color="000000" w:fill="auto"/>
            <w:noWrap/>
            <w:vAlign w:val="center"/>
            <w:hideMark/>
          </w:tcPr>
          <w:p w14:paraId="54417A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45.642</w:t>
            </w:r>
          </w:p>
        </w:tc>
        <w:tc>
          <w:tcPr>
            <w:tcW w:w="500" w:type="pct"/>
            <w:shd w:val="clear" w:color="000000" w:fill="auto"/>
            <w:noWrap/>
            <w:vAlign w:val="center"/>
            <w:hideMark/>
          </w:tcPr>
          <w:p w14:paraId="6F04913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60.825</w:t>
            </w:r>
          </w:p>
        </w:tc>
        <w:tc>
          <w:tcPr>
            <w:tcW w:w="500" w:type="pct"/>
            <w:shd w:val="clear" w:color="000000" w:fill="auto"/>
            <w:noWrap/>
            <w:vAlign w:val="center"/>
            <w:hideMark/>
          </w:tcPr>
          <w:p w14:paraId="1D44686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5.310</w:t>
            </w:r>
          </w:p>
        </w:tc>
        <w:tc>
          <w:tcPr>
            <w:tcW w:w="500" w:type="pct"/>
            <w:shd w:val="clear" w:color="000000" w:fill="auto"/>
            <w:noWrap/>
            <w:vAlign w:val="center"/>
            <w:hideMark/>
          </w:tcPr>
          <w:p w14:paraId="646583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2.093</w:t>
            </w:r>
          </w:p>
        </w:tc>
        <w:tc>
          <w:tcPr>
            <w:tcW w:w="500" w:type="pct"/>
            <w:shd w:val="clear" w:color="000000" w:fill="auto"/>
            <w:noWrap/>
            <w:vAlign w:val="center"/>
            <w:hideMark/>
          </w:tcPr>
          <w:p w14:paraId="257DD6D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113.870</w:t>
            </w:r>
          </w:p>
        </w:tc>
      </w:tr>
      <w:tr w:rsidR="00535FE1" w:rsidRPr="009054AA" w14:paraId="796D4B96" w14:textId="77777777" w:rsidTr="00535FE1">
        <w:trPr>
          <w:trHeight w:val="290"/>
        </w:trPr>
        <w:tc>
          <w:tcPr>
            <w:tcW w:w="657" w:type="pct"/>
            <w:shd w:val="clear" w:color="000000" w:fill="auto"/>
            <w:noWrap/>
            <w:vAlign w:val="bottom"/>
            <w:hideMark/>
          </w:tcPr>
          <w:p w14:paraId="083DA312"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SE-N_13 </w:t>
            </w:r>
          </w:p>
        </w:tc>
        <w:tc>
          <w:tcPr>
            <w:tcW w:w="343" w:type="pct"/>
            <w:shd w:val="clear" w:color="000000" w:fill="auto"/>
            <w:noWrap/>
            <w:vAlign w:val="center"/>
            <w:hideMark/>
          </w:tcPr>
          <w:p w14:paraId="3FA59A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36.087</w:t>
            </w:r>
          </w:p>
        </w:tc>
        <w:tc>
          <w:tcPr>
            <w:tcW w:w="500" w:type="pct"/>
            <w:shd w:val="clear" w:color="000000" w:fill="auto"/>
            <w:noWrap/>
            <w:vAlign w:val="center"/>
            <w:hideMark/>
          </w:tcPr>
          <w:p w14:paraId="4F34F7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8.343</w:t>
            </w:r>
          </w:p>
        </w:tc>
        <w:tc>
          <w:tcPr>
            <w:tcW w:w="500" w:type="pct"/>
            <w:shd w:val="clear" w:color="000000" w:fill="auto"/>
            <w:noWrap/>
            <w:vAlign w:val="center"/>
            <w:hideMark/>
          </w:tcPr>
          <w:p w14:paraId="3E11341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9.077</w:t>
            </w:r>
          </w:p>
        </w:tc>
        <w:tc>
          <w:tcPr>
            <w:tcW w:w="500" w:type="pct"/>
            <w:shd w:val="clear" w:color="000000" w:fill="auto"/>
            <w:noWrap/>
            <w:vAlign w:val="center"/>
            <w:hideMark/>
          </w:tcPr>
          <w:p w14:paraId="3507A70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53.507</w:t>
            </w:r>
          </w:p>
        </w:tc>
        <w:tc>
          <w:tcPr>
            <w:tcW w:w="500" w:type="pct"/>
            <w:shd w:val="clear" w:color="000000" w:fill="auto"/>
            <w:noWrap/>
            <w:vAlign w:val="center"/>
            <w:hideMark/>
          </w:tcPr>
          <w:p w14:paraId="019E8CA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15.881</w:t>
            </w:r>
          </w:p>
        </w:tc>
        <w:tc>
          <w:tcPr>
            <w:tcW w:w="500" w:type="pct"/>
            <w:shd w:val="clear" w:color="000000" w:fill="auto"/>
            <w:noWrap/>
            <w:vAlign w:val="center"/>
            <w:hideMark/>
          </w:tcPr>
          <w:p w14:paraId="3A85F0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8.245</w:t>
            </w:r>
          </w:p>
        </w:tc>
        <w:tc>
          <w:tcPr>
            <w:tcW w:w="500" w:type="pct"/>
            <w:shd w:val="clear" w:color="000000" w:fill="auto"/>
            <w:noWrap/>
            <w:vAlign w:val="center"/>
            <w:hideMark/>
          </w:tcPr>
          <w:p w14:paraId="3F61995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1.580</w:t>
            </w:r>
          </w:p>
        </w:tc>
        <w:tc>
          <w:tcPr>
            <w:tcW w:w="500" w:type="pct"/>
            <w:shd w:val="clear" w:color="000000" w:fill="auto"/>
            <w:noWrap/>
            <w:vAlign w:val="center"/>
            <w:hideMark/>
          </w:tcPr>
          <w:p w14:paraId="1E436C5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415</w:t>
            </w:r>
          </w:p>
        </w:tc>
        <w:tc>
          <w:tcPr>
            <w:tcW w:w="500" w:type="pct"/>
            <w:shd w:val="clear" w:color="000000" w:fill="auto"/>
            <w:noWrap/>
            <w:vAlign w:val="center"/>
            <w:hideMark/>
          </w:tcPr>
          <w:p w14:paraId="1BA08DD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26.121</w:t>
            </w:r>
          </w:p>
        </w:tc>
      </w:tr>
      <w:tr w:rsidR="00535FE1" w:rsidRPr="009054AA" w14:paraId="6B992E11" w14:textId="77777777" w:rsidTr="00535FE1">
        <w:trPr>
          <w:trHeight w:val="290"/>
        </w:trPr>
        <w:tc>
          <w:tcPr>
            <w:tcW w:w="657" w:type="pct"/>
            <w:shd w:val="clear" w:color="000000" w:fill="auto"/>
            <w:noWrap/>
            <w:vAlign w:val="bottom"/>
            <w:hideMark/>
          </w:tcPr>
          <w:p w14:paraId="70F9B053"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SE-N_14 </w:t>
            </w:r>
          </w:p>
        </w:tc>
        <w:tc>
          <w:tcPr>
            <w:tcW w:w="343" w:type="pct"/>
            <w:shd w:val="clear" w:color="000000" w:fill="auto"/>
            <w:noWrap/>
            <w:vAlign w:val="center"/>
            <w:hideMark/>
          </w:tcPr>
          <w:p w14:paraId="35EE63A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46.656</w:t>
            </w:r>
          </w:p>
        </w:tc>
        <w:tc>
          <w:tcPr>
            <w:tcW w:w="500" w:type="pct"/>
            <w:shd w:val="clear" w:color="000000" w:fill="auto"/>
            <w:noWrap/>
            <w:vAlign w:val="center"/>
            <w:hideMark/>
          </w:tcPr>
          <w:p w14:paraId="1571CF1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7.811</w:t>
            </w:r>
          </w:p>
        </w:tc>
        <w:tc>
          <w:tcPr>
            <w:tcW w:w="500" w:type="pct"/>
            <w:shd w:val="clear" w:color="000000" w:fill="auto"/>
            <w:noWrap/>
            <w:vAlign w:val="center"/>
            <w:hideMark/>
          </w:tcPr>
          <w:p w14:paraId="4A23766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3.354</w:t>
            </w:r>
          </w:p>
        </w:tc>
        <w:tc>
          <w:tcPr>
            <w:tcW w:w="500" w:type="pct"/>
            <w:shd w:val="clear" w:color="000000" w:fill="auto"/>
            <w:noWrap/>
            <w:vAlign w:val="center"/>
            <w:hideMark/>
          </w:tcPr>
          <w:p w14:paraId="4D81683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57.820</w:t>
            </w:r>
          </w:p>
        </w:tc>
        <w:tc>
          <w:tcPr>
            <w:tcW w:w="500" w:type="pct"/>
            <w:shd w:val="clear" w:color="000000" w:fill="auto"/>
            <w:noWrap/>
            <w:vAlign w:val="center"/>
            <w:hideMark/>
          </w:tcPr>
          <w:p w14:paraId="7886EA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11.424</w:t>
            </w:r>
          </w:p>
        </w:tc>
        <w:tc>
          <w:tcPr>
            <w:tcW w:w="500" w:type="pct"/>
            <w:shd w:val="clear" w:color="000000" w:fill="auto"/>
            <w:noWrap/>
            <w:vAlign w:val="center"/>
            <w:hideMark/>
          </w:tcPr>
          <w:p w14:paraId="6ADC54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7.617</w:t>
            </w:r>
          </w:p>
        </w:tc>
        <w:tc>
          <w:tcPr>
            <w:tcW w:w="500" w:type="pct"/>
            <w:shd w:val="clear" w:color="000000" w:fill="auto"/>
            <w:noWrap/>
            <w:vAlign w:val="center"/>
            <w:hideMark/>
          </w:tcPr>
          <w:p w14:paraId="21A2AAE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420</w:t>
            </w:r>
          </w:p>
        </w:tc>
        <w:tc>
          <w:tcPr>
            <w:tcW w:w="500" w:type="pct"/>
            <w:shd w:val="clear" w:color="000000" w:fill="auto"/>
            <w:noWrap/>
            <w:vAlign w:val="center"/>
            <w:hideMark/>
          </w:tcPr>
          <w:p w14:paraId="7883829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227</w:t>
            </w:r>
          </w:p>
        </w:tc>
        <w:tc>
          <w:tcPr>
            <w:tcW w:w="500" w:type="pct"/>
            <w:shd w:val="clear" w:color="000000" w:fill="auto"/>
            <w:noWrap/>
            <w:vAlign w:val="center"/>
            <w:hideMark/>
          </w:tcPr>
          <w:p w14:paraId="68359B7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19.688</w:t>
            </w:r>
          </w:p>
        </w:tc>
      </w:tr>
      <w:tr w:rsidR="00535FE1" w:rsidRPr="009054AA" w14:paraId="0CAF77F8" w14:textId="77777777" w:rsidTr="00535FE1">
        <w:trPr>
          <w:trHeight w:val="290"/>
        </w:trPr>
        <w:tc>
          <w:tcPr>
            <w:tcW w:w="657" w:type="pct"/>
            <w:shd w:val="clear" w:color="000000" w:fill="auto"/>
            <w:noWrap/>
            <w:vAlign w:val="bottom"/>
            <w:hideMark/>
          </w:tcPr>
          <w:p w14:paraId="6E893138"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SE-N_15 </w:t>
            </w:r>
          </w:p>
        </w:tc>
        <w:tc>
          <w:tcPr>
            <w:tcW w:w="343" w:type="pct"/>
            <w:shd w:val="clear" w:color="000000" w:fill="auto"/>
            <w:noWrap/>
            <w:vAlign w:val="center"/>
            <w:hideMark/>
          </w:tcPr>
          <w:p w14:paraId="203212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35.972</w:t>
            </w:r>
          </w:p>
        </w:tc>
        <w:tc>
          <w:tcPr>
            <w:tcW w:w="500" w:type="pct"/>
            <w:shd w:val="clear" w:color="000000" w:fill="auto"/>
            <w:noWrap/>
            <w:vAlign w:val="center"/>
            <w:hideMark/>
          </w:tcPr>
          <w:p w14:paraId="3C034EE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18.506</w:t>
            </w:r>
          </w:p>
        </w:tc>
        <w:tc>
          <w:tcPr>
            <w:tcW w:w="500" w:type="pct"/>
            <w:shd w:val="clear" w:color="000000" w:fill="auto"/>
            <w:noWrap/>
            <w:vAlign w:val="center"/>
            <w:hideMark/>
          </w:tcPr>
          <w:p w14:paraId="65F644B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20.135</w:t>
            </w:r>
          </w:p>
        </w:tc>
        <w:tc>
          <w:tcPr>
            <w:tcW w:w="500" w:type="pct"/>
            <w:shd w:val="clear" w:color="000000" w:fill="auto"/>
            <w:noWrap/>
            <w:vAlign w:val="center"/>
            <w:hideMark/>
          </w:tcPr>
          <w:p w14:paraId="33B6E9B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74.613</w:t>
            </w:r>
          </w:p>
        </w:tc>
        <w:tc>
          <w:tcPr>
            <w:tcW w:w="500" w:type="pct"/>
            <w:shd w:val="clear" w:color="000000" w:fill="auto"/>
            <w:noWrap/>
            <w:vAlign w:val="center"/>
            <w:hideMark/>
          </w:tcPr>
          <w:p w14:paraId="0B2FCA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35.227</w:t>
            </w:r>
          </w:p>
        </w:tc>
        <w:tc>
          <w:tcPr>
            <w:tcW w:w="500" w:type="pct"/>
            <w:shd w:val="clear" w:color="000000" w:fill="auto"/>
            <w:noWrap/>
            <w:vAlign w:val="center"/>
            <w:hideMark/>
          </w:tcPr>
          <w:p w14:paraId="436BCD8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18.289</w:t>
            </w:r>
          </w:p>
        </w:tc>
        <w:tc>
          <w:tcPr>
            <w:tcW w:w="500" w:type="pct"/>
            <w:shd w:val="clear" w:color="000000" w:fill="auto"/>
            <w:noWrap/>
            <w:vAlign w:val="center"/>
            <w:hideMark/>
          </w:tcPr>
          <w:p w14:paraId="19B8A2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3.505</w:t>
            </w:r>
          </w:p>
        </w:tc>
        <w:tc>
          <w:tcPr>
            <w:tcW w:w="500" w:type="pct"/>
            <w:shd w:val="clear" w:color="000000" w:fill="auto"/>
            <w:noWrap/>
            <w:vAlign w:val="center"/>
            <w:hideMark/>
          </w:tcPr>
          <w:p w14:paraId="5B32E5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920</w:t>
            </w:r>
          </w:p>
        </w:tc>
        <w:tc>
          <w:tcPr>
            <w:tcW w:w="500" w:type="pct"/>
            <w:shd w:val="clear" w:color="000000" w:fill="auto"/>
            <w:noWrap/>
            <w:vAlign w:val="center"/>
            <w:hideMark/>
          </w:tcPr>
          <w:p w14:paraId="4AA3E5B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57.941</w:t>
            </w:r>
          </w:p>
        </w:tc>
      </w:tr>
      <w:tr w:rsidR="00535FE1" w:rsidRPr="009054AA" w14:paraId="36A9C53C" w14:textId="77777777" w:rsidTr="00535FE1">
        <w:trPr>
          <w:trHeight w:val="290"/>
        </w:trPr>
        <w:tc>
          <w:tcPr>
            <w:tcW w:w="657" w:type="pct"/>
            <w:shd w:val="clear" w:color="000000" w:fill="auto"/>
            <w:noWrap/>
            <w:vAlign w:val="bottom"/>
            <w:hideMark/>
          </w:tcPr>
          <w:p w14:paraId="429A0F34"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SE-N_16 </w:t>
            </w:r>
          </w:p>
        </w:tc>
        <w:tc>
          <w:tcPr>
            <w:tcW w:w="343" w:type="pct"/>
            <w:shd w:val="clear" w:color="000000" w:fill="auto"/>
            <w:noWrap/>
            <w:vAlign w:val="center"/>
            <w:hideMark/>
          </w:tcPr>
          <w:p w14:paraId="2B461AE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79.930</w:t>
            </w:r>
          </w:p>
        </w:tc>
        <w:tc>
          <w:tcPr>
            <w:tcW w:w="500" w:type="pct"/>
            <w:shd w:val="clear" w:color="000000" w:fill="auto"/>
            <w:noWrap/>
            <w:vAlign w:val="center"/>
            <w:hideMark/>
          </w:tcPr>
          <w:p w14:paraId="3B81ED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9.716</w:t>
            </w:r>
          </w:p>
        </w:tc>
        <w:tc>
          <w:tcPr>
            <w:tcW w:w="500" w:type="pct"/>
            <w:shd w:val="clear" w:color="000000" w:fill="auto"/>
            <w:noWrap/>
            <w:vAlign w:val="center"/>
            <w:hideMark/>
          </w:tcPr>
          <w:p w14:paraId="02749D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12.268</w:t>
            </w:r>
          </w:p>
        </w:tc>
        <w:tc>
          <w:tcPr>
            <w:tcW w:w="500" w:type="pct"/>
            <w:shd w:val="clear" w:color="000000" w:fill="auto"/>
            <w:noWrap/>
            <w:vAlign w:val="center"/>
            <w:hideMark/>
          </w:tcPr>
          <w:p w14:paraId="4EBBF2C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101.914</w:t>
            </w:r>
          </w:p>
        </w:tc>
        <w:tc>
          <w:tcPr>
            <w:tcW w:w="500" w:type="pct"/>
            <w:shd w:val="clear" w:color="000000" w:fill="auto"/>
            <w:noWrap/>
            <w:vAlign w:val="center"/>
            <w:hideMark/>
          </w:tcPr>
          <w:p w14:paraId="1B5D40D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12.563</w:t>
            </w:r>
          </w:p>
        </w:tc>
        <w:tc>
          <w:tcPr>
            <w:tcW w:w="500" w:type="pct"/>
            <w:shd w:val="clear" w:color="000000" w:fill="auto"/>
            <w:noWrap/>
            <w:vAlign w:val="center"/>
            <w:hideMark/>
          </w:tcPr>
          <w:p w14:paraId="638E52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9.648</w:t>
            </w:r>
          </w:p>
        </w:tc>
        <w:tc>
          <w:tcPr>
            <w:tcW w:w="500" w:type="pct"/>
            <w:shd w:val="clear" w:color="000000" w:fill="auto"/>
            <w:noWrap/>
            <w:vAlign w:val="center"/>
            <w:hideMark/>
          </w:tcPr>
          <w:p w14:paraId="65F4484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2.358</w:t>
            </w:r>
          </w:p>
        </w:tc>
        <w:tc>
          <w:tcPr>
            <w:tcW w:w="500" w:type="pct"/>
            <w:shd w:val="clear" w:color="000000" w:fill="auto"/>
            <w:noWrap/>
            <w:vAlign w:val="center"/>
            <w:hideMark/>
          </w:tcPr>
          <w:p w14:paraId="67862F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555</w:t>
            </w:r>
          </w:p>
        </w:tc>
        <w:tc>
          <w:tcPr>
            <w:tcW w:w="500" w:type="pct"/>
            <w:shd w:val="clear" w:color="000000" w:fill="auto"/>
            <w:noWrap/>
            <w:vAlign w:val="center"/>
            <w:hideMark/>
          </w:tcPr>
          <w:p w14:paraId="21EA5AC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25.124</w:t>
            </w:r>
          </w:p>
        </w:tc>
      </w:tr>
      <w:tr w:rsidR="00535FE1" w:rsidRPr="009054AA" w14:paraId="08A0F44B" w14:textId="77777777" w:rsidTr="00535FE1">
        <w:trPr>
          <w:trHeight w:val="290"/>
        </w:trPr>
        <w:tc>
          <w:tcPr>
            <w:tcW w:w="657" w:type="pct"/>
            <w:shd w:val="clear" w:color="000000" w:fill="auto"/>
            <w:noWrap/>
            <w:vAlign w:val="bottom"/>
            <w:hideMark/>
          </w:tcPr>
          <w:p w14:paraId="2A005E13"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SE-N_17 </w:t>
            </w:r>
          </w:p>
        </w:tc>
        <w:tc>
          <w:tcPr>
            <w:tcW w:w="343" w:type="pct"/>
            <w:shd w:val="clear" w:color="000000" w:fill="auto"/>
            <w:noWrap/>
            <w:vAlign w:val="center"/>
            <w:hideMark/>
          </w:tcPr>
          <w:p w14:paraId="6B25B91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70.920</w:t>
            </w:r>
          </w:p>
        </w:tc>
        <w:tc>
          <w:tcPr>
            <w:tcW w:w="500" w:type="pct"/>
            <w:shd w:val="clear" w:color="000000" w:fill="auto"/>
            <w:noWrap/>
            <w:vAlign w:val="center"/>
            <w:hideMark/>
          </w:tcPr>
          <w:p w14:paraId="213BB9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20.327</w:t>
            </w:r>
          </w:p>
        </w:tc>
        <w:tc>
          <w:tcPr>
            <w:tcW w:w="500" w:type="pct"/>
            <w:shd w:val="clear" w:color="000000" w:fill="auto"/>
            <w:noWrap/>
            <w:vAlign w:val="center"/>
            <w:hideMark/>
          </w:tcPr>
          <w:p w14:paraId="0B3F723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22.116</w:t>
            </w:r>
          </w:p>
        </w:tc>
        <w:tc>
          <w:tcPr>
            <w:tcW w:w="500" w:type="pct"/>
            <w:shd w:val="clear" w:color="000000" w:fill="auto"/>
            <w:noWrap/>
            <w:vAlign w:val="center"/>
            <w:hideMark/>
          </w:tcPr>
          <w:p w14:paraId="1C0CB1B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113.363</w:t>
            </w:r>
          </w:p>
        </w:tc>
        <w:tc>
          <w:tcPr>
            <w:tcW w:w="500" w:type="pct"/>
            <w:shd w:val="clear" w:color="000000" w:fill="auto"/>
            <w:noWrap/>
            <w:vAlign w:val="center"/>
            <w:hideMark/>
          </w:tcPr>
          <w:p w14:paraId="2E0BAE1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38.692</w:t>
            </w:r>
          </w:p>
        </w:tc>
        <w:tc>
          <w:tcPr>
            <w:tcW w:w="500" w:type="pct"/>
            <w:shd w:val="clear" w:color="000000" w:fill="auto"/>
            <w:noWrap/>
            <w:vAlign w:val="center"/>
            <w:hideMark/>
          </w:tcPr>
          <w:p w14:paraId="1122DA6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20.088</w:t>
            </w:r>
          </w:p>
        </w:tc>
        <w:tc>
          <w:tcPr>
            <w:tcW w:w="500" w:type="pct"/>
            <w:shd w:val="clear" w:color="000000" w:fill="auto"/>
            <w:noWrap/>
            <w:vAlign w:val="center"/>
            <w:hideMark/>
          </w:tcPr>
          <w:p w14:paraId="0120D1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3.850</w:t>
            </w:r>
          </w:p>
        </w:tc>
        <w:tc>
          <w:tcPr>
            <w:tcW w:w="500" w:type="pct"/>
            <w:shd w:val="clear" w:color="000000" w:fill="auto"/>
            <w:noWrap/>
            <w:vAlign w:val="center"/>
            <w:hideMark/>
          </w:tcPr>
          <w:p w14:paraId="631689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1.011</w:t>
            </w:r>
          </w:p>
        </w:tc>
        <w:tc>
          <w:tcPr>
            <w:tcW w:w="500" w:type="pct"/>
            <w:shd w:val="clear" w:color="000000" w:fill="auto"/>
            <w:noWrap/>
            <w:vAlign w:val="center"/>
            <w:hideMark/>
          </w:tcPr>
          <w:p w14:paraId="72A3953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63.641</w:t>
            </w:r>
          </w:p>
        </w:tc>
      </w:tr>
      <w:tr w:rsidR="00535FE1" w:rsidRPr="009054AA" w14:paraId="11FF1884" w14:textId="77777777" w:rsidTr="00535FE1">
        <w:trPr>
          <w:trHeight w:val="290"/>
        </w:trPr>
        <w:tc>
          <w:tcPr>
            <w:tcW w:w="657" w:type="pct"/>
            <w:shd w:val="clear" w:color="000000" w:fill="auto"/>
            <w:noWrap/>
            <w:vAlign w:val="bottom"/>
            <w:hideMark/>
          </w:tcPr>
          <w:p w14:paraId="21C89E77"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SE-N_18 </w:t>
            </w:r>
          </w:p>
        </w:tc>
        <w:tc>
          <w:tcPr>
            <w:tcW w:w="343" w:type="pct"/>
            <w:shd w:val="clear" w:color="000000" w:fill="auto"/>
            <w:noWrap/>
            <w:vAlign w:val="center"/>
            <w:hideMark/>
          </w:tcPr>
          <w:p w14:paraId="2873FE1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40.432</w:t>
            </w:r>
          </w:p>
        </w:tc>
        <w:tc>
          <w:tcPr>
            <w:tcW w:w="500" w:type="pct"/>
            <w:shd w:val="clear" w:color="000000" w:fill="auto"/>
            <w:noWrap/>
            <w:vAlign w:val="center"/>
            <w:hideMark/>
          </w:tcPr>
          <w:p w14:paraId="04E6AC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18.457</w:t>
            </w:r>
          </w:p>
        </w:tc>
        <w:tc>
          <w:tcPr>
            <w:tcW w:w="500" w:type="pct"/>
            <w:shd w:val="clear" w:color="000000" w:fill="auto"/>
            <w:noWrap/>
            <w:vAlign w:val="center"/>
            <w:hideMark/>
          </w:tcPr>
          <w:p w14:paraId="2084659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7.925</w:t>
            </w:r>
          </w:p>
        </w:tc>
        <w:tc>
          <w:tcPr>
            <w:tcW w:w="500" w:type="pct"/>
            <w:shd w:val="clear" w:color="000000" w:fill="auto"/>
            <w:noWrap/>
            <w:vAlign w:val="center"/>
            <w:hideMark/>
          </w:tcPr>
          <w:p w14:paraId="123986B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66.815</w:t>
            </w:r>
          </w:p>
        </w:tc>
        <w:tc>
          <w:tcPr>
            <w:tcW w:w="500" w:type="pct"/>
            <w:shd w:val="clear" w:color="000000" w:fill="auto"/>
            <w:noWrap/>
            <w:vAlign w:val="center"/>
            <w:hideMark/>
          </w:tcPr>
          <w:p w14:paraId="43F17A1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26.996</w:t>
            </w:r>
          </w:p>
        </w:tc>
        <w:tc>
          <w:tcPr>
            <w:tcW w:w="500" w:type="pct"/>
            <w:shd w:val="clear" w:color="000000" w:fill="auto"/>
            <w:noWrap/>
            <w:vAlign w:val="center"/>
            <w:hideMark/>
          </w:tcPr>
          <w:p w14:paraId="21E6726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18.000</w:t>
            </w:r>
          </w:p>
        </w:tc>
        <w:tc>
          <w:tcPr>
            <w:tcW w:w="500" w:type="pct"/>
            <w:shd w:val="clear" w:color="000000" w:fill="auto"/>
            <w:noWrap/>
            <w:vAlign w:val="center"/>
            <w:hideMark/>
          </w:tcPr>
          <w:p w14:paraId="20BF479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991</w:t>
            </w:r>
          </w:p>
        </w:tc>
        <w:tc>
          <w:tcPr>
            <w:tcW w:w="500" w:type="pct"/>
            <w:shd w:val="clear" w:color="000000" w:fill="auto"/>
            <w:noWrap/>
            <w:vAlign w:val="center"/>
            <w:hideMark/>
          </w:tcPr>
          <w:p w14:paraId="652A16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535</w:t>
            </w:r>
          </w:p>
        </w:tc>
        <w:tc>
          <w:tcPr>
            <w:tcW w:w="500" w:type="pct"/>
            <w:shd w:val="clear" w:color="000000" w:fill="auto"/>
            <w:noWrap/>
            <w:vAlign w:val="center"/>
            <w:hideMark/>
          </w:tcPr>
          <w:p w14:paraId="1AADA0D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46.523</w:t>
            </w:r>
          </w:p>
        </w:tc>
      </w:tr>
      <w:tr w:rsidR="00535FE1" w:rsidRPr="009054AA" w14:paraId="3781AD5F" w14:textId="77777777" w:rsidTr="00535FE1">
        <w:trPr>
          <w:trHeight w:val="290"/>
        </w:trPr>
        <w:tc>
          <w:tcPr>
            <w:tcW w:w="657" w:type="pct"/>
            <w:shd w:val="clear" w:color="000000" w:fill="auto"/>
            <w:noWrap/>
            <w:vAlign w:val="bottom"/>
            <w:hideMark/>
          </w:tcPr>
          <w:p w14:paraId="025C4857"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SE-N_19 </w:t>
            </w:r>
          </w:p>
        </w:tc>
        <w:tc>
          <w:tcPr>
            <w:tcW w:w="343" w:type="pct"/>
            <w:shd w:val="clear" w:color="000000" w:fill="auto"/>
            <w:noWrap/>
            <w:vAlign w:val="center"/>
            <w:hideMark/>
          </w:tcPr>
          <w:p w14:paraId="294FD0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68.200</w:t>
            </w:r>
          </w:p>
        </w:tc>
        <w:tc>
          <w:tcPr>
            <w:tcW w:w="500" w:type="pct"/>
            <w:shd w:val="clear" w:color="000000" w:fill="auto"/>
            <w:noWrap/>
            <w:vAlign w:val="center"/>
            <w:hideMark/>
          </w:tcPr>
          <w:p w14:paraId="76008B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26.110</w:t>
            </w:r>
          </w:p>
        </w:tc>
        <w:tc>
          <w:tcPr>
            <w:tcW w:w="500" w:type="pct"/>
            <w:shd w:val="clear" w:color="000000" w:fill="auto"/>
            <w:noWrap/>
            <w:vAlign w:val="center"/>
            <w:hideMark/>
          </w:tcPr>
          <w:p w14:paraId="0DFDAC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11.211</w:t>
            </w:r>
          </w:p>
        </w:tc>
        <w:tc>
          <w:tcPr>
            <w:tcW w:w="500" w:type="pct"/>
            <w:shd w:val="clear" w:color="000000" w:fill="auto"/>
            <w:noWrap/>
            <w:vAlign w:val="center"/>
            <w:hideMark/>
          </w:tcPr>
          <w:p w14:paraId="57C8BDE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105.521</w:t>
            </w:r>
          </w:p>
        </w:tc>
        <w:tc>
          <w:tcPr>
            <w:tcW w:w="500" w:type="pct"/>
            <w:shd w:val="clear" w:color="000000" w:fill="auto"/>
            <w:noWrap/>
            <w:vAlign w:val="center"/>
            <w:hideMark/>
          </w:tcPr>
          <w:p w14:paraId="4B2A00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38.188</w:t>
            </w:r>
          </w:p>
        </w:tc>
        <w:tc>
          <w:tcPr>
            <w:tcW w:w="500" w:type="pct"/>
            <w:shd w:val="clear" w:color="000000" w:fill="auto"/>
            <w:noWrap/>
            <w:vAlign w:val="center"/>
            <w:hideMark/>
          </w:tcPr>
          <w:p w14:paraId="2571DB1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25.463</w:t>
            </w:r>
          </w:p>
        </w:tc>
        <w:tc>
          <w:tcPr>
            <w:tcW w:w="500" w:type="pct"/>
            <w:shd w:val="clear" w:color="000000" w:fill="auto"/>
            <w:noWrap/>
            <w:vAlign w:val="center"/>
            <w:hideMark/>
          </w:tcPr>
          <w:p w14:paraId="1BEFB3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1.402</w:t>
            </w:r>
          </w:p>
        </w:tc>
        <w:tc>
          <w:tcPr>
            <w:tcW w:w="500" w:type="pct"/>
            <w:shd w:val="clear" w:color="000000" w:fill="auto"/>
            <w:noWrap/>
            <w:vAlign w:val="center"/>
            <w:hideMark/>
          </w:tcPr>
          <w:p w14:paraId="55CC49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757</w:t>
            </w:r>
          </w:p>
        </w:tc>
        <w:tc>
          <w:tcPr>
            <w:tcW w:w="500" w:type="pct"/>
            <w:shd w:val="clear" w:color="000000" w:fill="auto"/>
            <w:noWrap/>
            <w:vAlign w:val="center"/>
            <w:hideMark/>
          </w:tcPr>
          <w:p w14:paraId="19218F4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65.810</w:t>
            </w:r>
          </w:p>
        </w:tc>
      </w:tr>
      <w:tr w:rsidR="00535FE1" w:rsidRPr="009054AA" w14:paraId="11CDB7F7" w14:textId="77777777" w:rsidTr="00535FE1">
        <w:trPr>
          <w:trHeight w:val="290"/>
        </w:trPr>
        <w:tc>
          <w:tcPr>
            <w:tcW w:w="657" w:type="pct"/>
            <w:shd w:val="clear" w:color="000000" w:fill="auto"/>
            <w:noWrap/>
            <w:vAlign w:val="bottom"/>
            <w:hideMark/>
          </w:tcPr>
          <w:p w14:paraId="04E4D98D"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SE-N_20 </w:t>
            </w:r>
          </w:p>
        </w:tc>
        <w:tc>
          <w:tcPr>
            <w:tcW w:w="343" w:type="pct"/>
            <w:shd w:val="clear" w:color="000000" w:fill="auto"/>
            <w:noWrap/>
            <w:vAlign w:val="center"/>
            <w:hideMark/>
          </w:tcPr>
          <w:p w14:paraId="5A7AA70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60.598</w:t>
            </w:r>
          </w:p>
        </w:tc>
        <w:tc>
          <w:tcPr>
            <w:tcW w:w="500" w:type="pct"/>
            <w:shd w:val="clear" w:color="000000" w:fill="auto"/>
            <w:noWrap/>
            <w:vAlign w:val="center"/>
            <w:hideMark/>
          </w:tcPr>
          <w:p w14:paraId="2E658E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27.488</w:t>
            </w:r>
          </w:p>
        </w:tc>
        <w:tc>
          <w:tcPr>
            <w:tcW w:w="500" w:type="pct"/>
            <w:shd w:val="clear" w:color="000000" w:fill="auto"/>
            <w:noWrap/>
            <w:vAlign w:val="center"/>
            <w:hideMark/>
          </w:tcPr>
          <w:p w14:paraId="09130D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11.803</w:t>
            </w:r>
          </w:p>
        </w:tc>
        <w:tc>
          <w:tcPr>
            <w:tcW w:w="500" w:type="pct"/>
            <w:shd w:val="clear" w:color="000000" w:fill="auto"/>
            <w:noWrap/>
            <w:vAlign w:val="center"/>
            <w:hideMark/>
          </w:tcPr>
          <w:p w14:paraId="3AF41CC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99.889</w:t>
            </w:r>
          </w:p>
        </w:tc>
        <w:tc>
          <w:tcPr>
            <w:tcW w:w="500" w:type="pct"/>
            <w:shd w:val="clear" w:color="000000" w:fill="auto"/>
            <w:noWrap/>
            <w:vAlign w:val="center"/>
            <w:hideMark/>
          </w:tcPr>
          <w:p w14:paraId="420195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40.203</w:t>
            </w:r>
          </w:p>
        </w:tc>
        <w:tc>
          <w:tcPr>
            <w:tcW w:w="500" w:type="pct"/>
            <w:shd w:val="clear" w:color="000000" w:fill="auto"/>
            <w:noWrap/>
            <w:vAlign w:val="center"/>
            <w:hideMark/>
          </w:tcPr>
          <w:p w14:paraId="51D31B1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26.806</w:t>
            </w:r>
          </w:p>
        </w:tc>
        <w:tc>
          <w:tcPr>
            <w:tcW w:w="500" w:type="pct"/>
            <w:shd w:val="clear" w:color="000000" w:fill="auto"/>
            <w:noWrap/>
            <w:vAlign w:val="center"/>
            <w:hideMark/>
          </w:tcPr>
          <w:p w14:paraId="2AC3052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1.477</w:t>
            </w:r>
          </w:p>
        </w:tc>
        <w:tc>
          <w:tcPr>
            <w:tcW w:w="500" w:type="pct"/>
            <w:shd w:val="clear" w:color="000000" w:fill="auto"/>
            <w:noWrap/>
            <w:vAlign w:val="center"/>
            <w:hideMark/>
          </w:tcPr>
          <w:p w14:paraId="16AA04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797</w:t>
            </w:r>
          </w:p>
        </w:tc>
        <w:tc>
          <w:tcPr>
            <w:tcW w:w="500" w:type="pct"/>
            <w:shd w:val="clear" w:color="000000" w:fill="auto"/>
            <w:noWrap/>
            <w:vAlign w:val="center"/>
            <w:hideMark/>
          </w:tcPr>
          <w:p w14:paraId="1389354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69.283</w:t>
            </w:r>
          </w:p>
        </w:tc>
      </w:tr>
      <w:tr w:rsidR="00535FE1" w:rsidRPr="009054AA" w14:paraId="138CAC51" w14:textId="77777777" w:rsidTr="00535FE1">
        <w:trPr>
          <w:trHeight w:val="290"/>
        </w:trPr>
        <w:tc>
          <w:tcPr>
            <w:tcW w:w="657" w:type="pct"/>
            <w:shd w:val="clear" w:color="000000" w:fill="auto"/>
            <w:noWrap/>
            <w:vAlign w:val="bottom"/>
            <w:hideMark/>
          </w:tcPr>
          <w:p w14:paraId="1C174A09"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SE-N_21 </w:t>
            </w:r>
          </w:p>
        </w:tc>
        <w:tc>
          <w:tcPr>
            <w:tcW w:w="343" w:type="pct"/>
            <w:shd w:val="clear" w:color="000000" w:fill="auto"/>
            <w:noWrap/>
            <w:vAlign w:val="center"/>
            <w:hideMark/>
          </w:tcPr>
          <w:p w14:paraId="448003C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120.058</w:t>
            </w:r>
          </w:p>
        </w:tc>
        <w:tc>
          <w:tcPr>
            <w:tcW w:w="500" w:type="pct"/>
            <w:shd w:val="clear" w:color="000000" w:fill="auto"/>
            <w:noWrap/>
            <w:vAlign w:val="center"/>
            <w:hideMark/>
          </w:tcPr>
          <w:p w14:paraId="7E1EA2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86.935</w:t>
            </w:r>
          </w:p>
        </w:tc>
        <w:tc>
          <w:tcPr>
            <w:tcW w:w="500" w:type="pct"/>
            <w:shd w:val="clear" w:color="000000" w:fill="auto"/>
            <w:noWrap/>
            <w:vAlign w:val="center"/>
            <w:hideMark/>
          </w:tcPr>
          <w:p w14:paraId="78553F1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37.328</w:t>
            </w:r>
          </w:p>
        </w:tc>
        <w:tc>
          <w:tcPr>
            <w:tcW w:w="500" w:type="pct"/>
            <w:shd w:val="clear" w:color="000000" w:fill="auto"/>
            <w:noWrap/>
            <w:vAlign w:val="center"/>
            <w:hideMark/>
          </w:tcPr>
          <w:p w14:paraId="7963267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244.322</w:t>
            </w:r>
          </w:p>
        </w:tc>
        <w:tc>
          <w:tcPr>
            <w:tcW w:w="500" w:type="pct"/>
            <w:shd w:val="clear" w:color="000000" w:fill="auto"/>
            <w:noWrap/>
            <w:vAlign w:val="center"/>
            <w:hideMark/>
          </w:tcPr>
          <w:p w14:paraId="6BC7382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127.151</w:t>
            </w:r>
          </w:p>
        </w:tc>
        <w:tc>
          <w:tcPr>
            <w:tcW w:w="500" w:type="pct"/>
            <w:shd w:val="clear" w:color="000000" w:fill="auto"/>
            <w:noWrap/>
            <w:vAlign w:val="center"/>
            <w:hideMark/>
          </w:tcPr>
          <w:p w14:paraId="54C1644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84.781</w:t>
            </w:r>
          </w:p>
        </w:tc>
        <w:tc>
          <w:tcPr>
            <w:tcW w:w="500" w:type="pct"/>
            <w:shd w:val="clear" w:color="000000" w:fill="auto"/>
            <w:noWrap/>
            <w:vAlign w:val="center"/>
            <w:hideMark/>
          </w:tcPr>
          <w:p w14:paraId="1A305E8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4.670</w:t>
            </w:r>
          </w:p>
        </w:tc>
        <w:tc>
          <w:tcPr>
            <w:tcW w:w="500" w:type="pct"/>
            <w:shd w:val="clear" w:color="000000" w:fill="auto"/>
            <w:noWrap/>
            <w:vAlign w:val="center"/>
            <w:hideMark/>
          </w:tcPr>
          <w:p w14:paraId="4CA7CC2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2.521</w:t>
            </w:r>
          </w:p>
        </w:tc>
        <w:tc>
          <w:tcPr>
            <w:tcW w:w="500" w:type="pct"/>
            <w:shd w:val="clear" w:color="000000" w:fill="auto"/>
            <w:noWrap/>
            <w:vAlign w:val="center"/>
            <w:hideMark/>
          </w:tcPr>
          <w:p w14:paraId="5C50670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219.122</w:t>
            </w:r>
          </w:p>
        </w:tc>
      </w:tr>
      <w:tr w:rsidR="00535FE1" w:rsidRPr="009054AA" w14:paraId="3EB4798E" w14:textId="77777777" w:rsidTr="00535FE1">
        <w:trPr>
          <w:trHeight w:val="290"/>
        </w:trPr>
        <w:tc>
          <w:tcPr>
            <w:tcW w:w="657" w:type="pct"/>
            <w:shd w:val="clear" w:color="000000" w:fill="auto"/>
            <w:noWrap/>
            <w:vAlign w:val="bottom"/>
            <w:hideMark/>
          </w:tcPr>
          <w:p w14:paraId="16BB6B2E"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SE-N_22 </w:t>
            </w:r>
          </w:p>
        </w:tc>
        <w:tc>
          <w:tcPr>
            <w:tcW w:w="343" w:type="pct"/>
            <w:shd w:val="clear" w:color="000000" w:fill="auto"/>
            <w:noWrap/>
            <w:vAlign w:val="center"/>
            <w:hideMark/>
          </w:tcPr>
          <w:p w14:paraId="2F0B8F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17.343</w:t>
            </w:r>
          </w:p>
        </w:tc>
        <w:tc>
          <w:tcPr>
            <w:tcW w:w="500" w:type="pct"/>
            <w:shd w:val="clear" w:color="000000" w:fill="auto"/>
            <w:noWrap/>
            <w:vAlign w:val="center"/>
            <w:hideMark/>
          </w:tcPr>
          <w:p w14:paraId="699433D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1.468</w:t>
            </w:r>
          </w:p>
        </w:tc>
        <w:tc>
          <w:tcPr>
            <w:tcW w:w="500" w:type="pct"/>
            <w:shd w:val="clear" w:color="000000" w:fill="auto"/>
            <w:noWrap/>
            <w:vAlign w:val="center"/>
            <w:hideMark/>
          </w:tcPr>
          <w:p w14:paraId="7594D3C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630</w:t>
            </w:r>
          </w:p>
        </w:tc>
        <w:tc>
          <w:tcPr>
            <w:tcW w:w="500" w:type="pct"/>
            <w:shd w:val="clear" w:color="000000" w:fill="auto"/>
            <w:noWrap/>
            <w:vAlign w:val="center"/>
            <w:hideMark/>
          </w:tcPr>
          <w:p w14:paraId="698E81D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19.441</w:t>
            </w:r>
          </w:p>
        </w:tc>
        <w:tc>
          <w:tcPr>
            <w:tcW w:w="500" w:type="pct"/>
            <w:shd w:val="clear" w:color="000000" w:fill="auto"/>
            <w:noWrap/>
            <w:vAlign w:val="center"/>
            <w:hideMark/>
          </w:tcPr>
          <w:p w14:paraId="1B1806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2.146</w:t>
            </w:r>
          </w:p>
        </w:tc>
        <w:tc>
          <w:tcPr>
            <w:tcW w:w="500" w:type="pct"/>
            <w:shd w:val="clear" w:color="000000" w:fill="auto"/>
            <w:noWrap/>
            <w:vAlign w:val="center"/>
            <w:hideMark/>
          </w:tcPr>
          <w:p w14:paraId="03C2E2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1.431</w:t>
            </w:r>
          </w:p>
        </w:tc>
        <w:tc>
          <w:tcPr>
            <w:tcW w:w="500" w:type="pct"/>
            <w:shd w:val="clear" w:color="000000" w:fill="auto"/>
            <w:noWrap/>
            <w:vAlign w:val="center"/>
            <w:hideMark/>
          </w:tcPr>
          <w:p w14:paraId="668088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w:t>
            </w:r>
          </w:p>
        </w:tc>
        <w:tc>
          <w:tcPr>
            <w:tcW w:w="500" w:type="pct"/>
            <w:shd w:val="clear" w:color="000000" w:fill="auto"/>
            <w:noWrap/>
            <w:vAlign w:val="center"/>
            <w:hideMark/>
          </w:tcPr>
          <w:p w14:paraId="6BFAF66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w:t>
            </w:r>
          </w:p>
        </w:tc>
        <w:tc>
          <w:tcPr>
            <w:tcW w:w="500" w:type="pct"/>
            <w:shd w:val="clear" w:color="000000" w:fill="auto"/>
            <w:noWrap/>
            <w:vAlign w:val="center"/>
            <w:hideMark/>
          </w:tcPr>
          <w:p w14:paraId="15CB98E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3.699</w:t>
            </w:r>
          </w:p>
        </w:tc>
      </w:tr>
      <w:tr w:rsidR="00535FE1" w:rsidRPr="009054AA" w14:paraId="628672E6" w14:textId="77777777" w:rsidTr="00535FE1">
        <w:trPr>
          <w:trHeight w:val="290"/>
        </w:trPr>
        <w:tc>
          <w:tcPr>
            <w:tcW w:w="657" w:type="pct"/>
            <w:shd w:val="clear" w:color="000000" w:fill="auto"/>
            <w:noWrap/>
            <w:vAlign w:val="bottom"/>
            <w:hideMark/>
          </w:tcPr>
          <w:p w14:paraId="2CA80E8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SE-N_23 </w:t>
            </w:r>
          </w:p>
        </w:tc>
        <w:tc>
          <w:tcPr>
            <w:tcW w:w="343" w:type="pct"/>
            <w:shd w:val="clear" w:color="000000" w:fill="auto"/>
            <w:noWrap/>
            <w:vAlign w:val="center"/>
            <w:hideMark/>
          </w:tcPr>
          <w:p w14:paraId="464352D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25.805</w:t>
            </w:r>
          </w:p>
        </w:tc>
        <w:tc>
          <w:tcPr>
            <w:tcW w:w="500" w:type="pct"/>
            <w:shd w:val="clear" w:color="000000" w:fill="auto"/>
            <w:noWrap/>
            <w:vAlign w:val="center"/>
            <w:hideMark/>
          </w:tcPr>
          <w:p w14:paraId="1FCE32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7.101</w:t>
            </w:r>
          </w:p>
        </w:tc>
        <w:tc>
          <w:tcPr>
            <w:tcW w:w="500" w:type="pct"/>
            <w:shd w:val="clear" w:color="000000" w:fill="auto"/>
            <w:noWrap/>
            <w:vAlign w:val="center"/>
            <w:hideMark/>
          </w:tcPr>
          <w:p w14:paraId="4484EE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3.049</w:t>
            </w:r>
          </w:p>
        </w:tc>
        <w:tc>
          <w:tcPr>
            <w:tcW w:w="500" w:type="pct"/>
            <w:shd w:val="clear" w:color="000000" w:fill="auto"/>
            <w:noWrap/>
            <w:vAlign w:val="center"/>
            <w:hideMark/>
          </w:tcPr>
          <w:p w14:paraId="3ABC22F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35.956</w:t>
            </w:r>
          </w:p>
        </w:tc>
        <w:tc>
          <w:tcPr>
            <w:tcW w:w="500" w:type="pct"/>
            <w:shd w:val="clear" w:color="000000" w:fill="auto"/>
            <w:noWrap/>
            <w:vAlign w:val="center"/>
            <w:hideMark/>
          </w:tcPr>
          <w:p w14:paraId="5E9552B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10.387</w:t>
            </w:r>
          </w:p>
        </w:tc>
        <w:tc>
          <w:tcPr>
            <w:tcW w:w="500" w:type="pct"/>
            <w:shd w:val="clear" w:color="000000" w:fill="auto"/>
            <w:noWrap/>
            <w:vAlign w:val="center"/>
            <w:hideMark/>
          </w:tcPr>
          <w:p w14:paraId="2193F8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6.926</w:t>
            </w:r>
          </w:p>
        </w:tc>
        <w:tc>
          <w:tcPr>
            <w:tcW w:w="500" w:type="pct"/>
            <w:shd w:val="clear" w:color="000000" w:fill="auto"/>
            <w:noWrap/>
            <w:vAlign w:val="center"/>
            <w:hideMark/>
          </w:tcPr>
          <w:p w14:paraId="44B7BA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381</w:t>
            </w:r>
          </w:p>
        </w:tc>
        <w:tc>
          <w:tcPr>
            <w:tcW w:w="500" w:type="pct"/>
            <w:shd w:val="clear" w:color="000000" w:fill="auto"/>
            <w:noWrap/>
            <w:vAlign w:val="center"/>
            <w:hideMark/>
          </w:tcPr>
          <w:p w14:paraId="5777963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206</w:t>
            </w:r>
          </w:p>
        </w:tc>
        <w:tc>
          <w:tcPr>
            <w:tcW w:w="500" w:type="pct"/>
            <w:shd w:val="clear" w:color="000000" w:fill="auto"/>
            <w:noWrap/>
            <w:vAlign w:val="center"/>
            <w:hideMark/>
          </w:tcPr>
          <w:p w14:paraId="21CA21F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17.900</w:t>
            </w:r>
          </w:p>
        </w:tc>
      </w:tr>
      <w:tr w:rsidR="00535FE1" w:rsidRPr="009054AA" w14:paraId="594788D9" w14:textId="77777777" w:rsidTr="00535FE1">
        <w:trPr>
          <w:trHeight w:val="290"/>
        </w:trPr>
        <w:tc>
          <w:tcPr>
            <w:tcW w:w="657" w:type="pct"/>
            <w:shd w:val="clear" w:color="000000" w:fill="auto"/>
            <w:noWrap/>
            <w:vAlign w:val="bottom"/>
            <w:hideMark/>
          </w:tcPr>
          <w:p w14:paraId="5AF2BDCA"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SE-N_24 </w:t>
            </w:r>
          </w:p>
        </w:tc>
        <w:tc>
          <w:tcPr>
            <w:tcW w:w="343" w:type="pct"/>
            <w:shd w:val="clear" w:color="000000" w:fill="auto"/>
            <w:noWrap/>
            <w:vAlign w:val="center"/>
            <w:hideMark/>
          </w:tcPr>
          <w:p w14:paraId="2D67DF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37.328</w:t>
            </w:r>
          </w:p>
        </w:tc>
        <w:tc>
          <w:tcPr>
            <w:tcW w:w="500" w:type="pct"/>
            <w:shd w:val="clear" w:color="000000" w:fill="auto"/>
            <w:noWrap/>
            <w:vAlign w:val="center"/>
            <w:hideMark/>
          </w:tcPr>
          <w:p w14:paraId="04EB7C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17.013</w:t>
            </w:r>
          </w:p>
        </w:tc>
        <w:tc>
          <w:tcPr>
            <w:tcW w:w="500" w:type="pct"/>
            <w:shd w:val="clear" w:color="000000" w:fill="auto"/>
            <w:noWrap/>
            <w:vAlign w:val="center"/>
            <w:hideMark/>
          </w:tcPr>
          <w:p w14:paraId="591AD30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18.510</w:t>
            </w:r>
          </w:p>
        </w:tc>
        <w:tc>
          <w:tcPr>
            <w:tcW w:w="500" w:type="pct"/>
            <w:shd w:val="clear" w:color="000000" w:fill="auto"/>
            <w:noWrap/>
            <w:vAlign w:val="center"/>
            <w:hideMark/>
          </w:tcPr>
          <w:p w14:paraId="751FDAF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72.851</w:t>
            </w:r>
          </w:p>
        </w:tc>
        <w:tc>
          <w:tcPr>
            <w:tcW w:w="500" w:type="pct"/>
            <w:shd w:val="clear" w:color="000000" w:fill="auto"/>
            <w:noWrap/>
            <w:vAlign w:val="center"/>
            <w:hideMark/>
          </w:tcPr>
          <w:p w14:paraId="621FFA8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32.384</w:t>
            </w:r>
          </w:p>
        </w:tc>
        <w:tc>
          <w:tcPr>
            <w:tcW w:w="500" w:type="pct"/>
            <w:shd w:val="clear" w:color="000000" w:fill="auto"/>
            <w:noWrap/>
            <w:vAlign w:val="center"/>
            <w:hideMark/>
          </w:tcPr>
          <w:p w14:paraId="7FDA6A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16.813</w:t>
            </w:r>
          </w:p>
        </w:tc>
        <w:tc>
          <w:tcPr>
            <w:tcW w:w="500" w:type="pct"/>
            <w:shd w:val="clear" w:color="000000" w:fill="auto"/>
            <w:noWrap/>
            <w:vAlign w:val="center"/>
            <w:hideMark/>
          </w:tcPr>
          <w:p w14:paraId="792914F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3.222</w:t>
            </w:r>
          </w:p>
        </w:tc>
        <w:tc>
          <w:tcPr>
            <w:tcW w:w="500" w:type="pct"/>
            <w:shd w:val="clear" w:color="000000" w:fill="auto"/>
            <w:noWrap/>
            <w:vAlign w:val="center"/>
            <w:hideMark/>
          </w:tcPr>
          <w:p w14:paraId="381664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846</w:t>
            </w:r>
          </w:p>
        </w:tc>
        <w:tc>
          <w:tcPr>
            <w:tcW w:w="500" w:type="pct"/>
            <w:shd w:val="clear" w:color="000000" w:fill="auto"/>
            <w:noWrap/>
            <w:vAlign w:val="center"/>
            <w:hideMark/>
          </w:tcPr>
          <w:p w14:paraId="4E16BC6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53.266</w:t>
            </w:r>
          </w:p>
        </w:tc>
      </w:tr>
      <w:tr w:rsidR="00535FE1" w:rsidRPr="009054AA" w14:paraId="200E9655" w14:textId="77777777" w:rsidTr="00535FE1">
        <w:trPr>
          <w:trHeight w:val="290"/>
        </w:trPr>
        <w:tc>
          <w:tcPr>
            <w:tcW w:w="657" w:type="pct"/>
            <w:shd w:val="clear" w:color="000000" w:fill="auto"/>
            <w:noWrap/>
            <w:vAlign w:val="bottom"/>
            <w:hideMark/>
          </w:tcPr>
          <w:p w14:paraId="2859D236"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SE-N_25 </w:t>
            </w:r>
          </w:p>
        </w:tc>
        <w:tc>
          <w:tcPr>
            <w:tcW w:w="343" w:type="pct"/>
            <w:shd w:val="clear" w:color="000000" w:fill="auto"/>
            <w:noWrap/>
            <w:vAlign w:val="center"/>
            <w:hideMark/>
          </w:tcPr>
          <w:p w14:paraId="18E2323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25.311</w:t>
            </w:r>
          </w:p>
        </w:tc>
        <w:tc>
          <w:tcPr>
            <w:tcW w:w="500" w:type="pct"/>
            <w:shd w:val="clear" w:color="000000" w:fill="auto"/>
            <w:noWrap/>
            <w:vAlign w:val="center"/>
            <w:hideMark/>
          </w:tcPr>
          <w:p w14:paraId="38AE39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9.549</w:t>
            </w:r>
          </w:p>
        </w:tc>
        <w:tc>
          <w:tcPr>
            <w:tcW w:w="500" w:type="pct"/>
            <w:shd w:val="clear" w:color="000000" w:fill="auto"/>
            <w:noWrap/>
            <w:vAlign w:val="center"/>
            <w:hideMark/>
          </w:tcPr>
          <w:p w14:paraId="0ED0BC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4.100</w:t>
            </w:r>
          </w:p>
        </w:tc>
        <w:tc>
          <w:tcPr>
            <w:tcW w:w="500" w:type="pct"/>
            <w:shd w:val="clear" w:color="000000" w:fill="auto"/>
            <w:noWrap/>
            <w:vAlign w:val="center"/>
            <w:hideMark/>
          </w:tcPr>
          <w:p w14:paraId="78D043F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38.960</w:t>
            </w:r>
          </w:p>
        </w:tc>
        <w:tc>
          <w:tcPr>
            <w:tcW w:w="500" w:type="pct"/>
            <w:shd w:val="clear" w:color="000000" w:fill="auto"/>
            <w:noWrap/>
            <w:vAlign w:val="center"/>
            <w:hideMark/>
          </w:tcPr>
          <w:p w14:paraId="68CB71D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13.966</w:t>
            </w:r>
          </w:p>
        </w:tc>
        <w:tc>
          <w:tcPr>
            <w:tcW w:w="500" w:type="pct"/>
            <w:shd w:val="clear" w:color="000000" w:fill="auto"/>
            <w:noWrap/>
            <w:vAlign w:val="center"/>
            <w:hideMark/>
          </w:tcPr>
          <w:p w14:paraId="5FDAC6D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9.312</w:t>
            </w:r>
          </w:p>
        </w:tc>
        <w:tc>
          <w:tcPr>
            <w:tcW w:w="500" w:type="pct"/>
            <w:shd w:val="clear" w:color="000000" w:fill="auto"/>
            <w:noWrap/>
            <w:vAlign w:val="center"/>
            <w:hideMark/>
          </w:tcPr>
          <w:p w14:paraId="670A93A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513</w:t>
            </w:r>
          </w:p>
        </w:tc>
        <w:tc>
          <w:tcPr>
            <w:tcW w:w="500" w:type="pct"/>
            <w:shd w:val="clear" w:color="000000" w:fill="auto"/>
            <w:noWrap/>
            <w:vAlign w:val="center"/>
            <w:hideMark/>
          </w:tcPr>
          <w:p w14:paraId="1BD013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277</w:t>
            </w:r>
          </w:p>
        </w:tc>
        <w:tc>
          <w:tcPr>
            <w:tcW w:w="500" w:type="pct"/>
            <w:shd w:val="clear" w:color="000000" w:fill="auto"/>
            <w:noWrap/>
            <w:vAlign w:val="center"/>
            <w:hideMark/>
          </w:tcPr>
          <w:p w14:paraId="188777E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24.069</w:t>
            </w:r>
          </w:p>
        </w:tc>
      </w:tr>
      <w:tr w:rsidR="00535FE1" w:rsidRPr="009054AA" w14:paraId="624D270A" w14:textId="77777777" w:rsidTr="00535FE1">
        <w:trPr>
          <w:trHeight w:val="290"/>
        </w:trPr>
        <w:tc>
          <w:tcPr>
            <w:tcW w:w="657" w:type="pct"/>
            <w:shd w:val="clear" w:color="000000" w:fill="auto"/>
            <w:noWrap/>
            <w:vAlign w:val="bottom"/>
            <w:hideMark/>
          </w:tcPr>
          <w:p w14:paraId="6AA9F911"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SE-N_26 </w:t>
            </w:r>
          </w:p>
        </w:tc>
        <w:tc>
          <w:tcPr>
            <w:tcW w:w="343" w:type="pct"/>
            <w:shd w:val="clear" w:color="000000" w:fill="auto"/>
            <w:noWrap/>
            <w:vAlign w:val="center"/>
            <w:hideMark/>
          </w:tcPr>
          <w:p w14:paraId="15C4F8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66.299</w:t>
            </w:r>
          </w:p>
        </w:tc>
        <w:tc>
          <w:tcPr>
            <w:tcW w:w="500" w:type="pct"/>
            <w:shd w:val="clear" w:color="000000" w:fill="auto"/>
            <w:noWrap/>
            <w:vAlign w:val="center"/>
            <w:hideMark/>
          </w:tcPr>
          <w:p w14:paraId="407407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25.270</w:t>
            </w:r>
          </w:p>
        </w:tc>
        <w:tc>
          <w:tcPr>
            <w:tcW w:w="500" w:type="pct"/>
            <w:shd w:val="clear" w:color="000000" w:fill="auto"/>
            <w:noWrap/>
            <w:vAlign w:val="center"/>
            <w:hideMark/>
          </w:tcPr>
          <w:p w14:paraId="3E57C8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10.850</w:t>
            </w:r>
          </w:p>
        </w:tc>
        <w:tc>
          <w:tcPr>
            <w:tcW w:w="500" w:type="pct"/>
            <w:shd w:val="clear" w:color="000000" w:fill="auto"/>
            <w:noWrap/>
            <w:vAlign w:val="center"/>
            <w:hideMark/>
          </w:tcPr>
          <w:p w14:paraId="48AED1C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102.419</w:t>
            </w:r>
          </w:p>
        </w:tc>
        <w:tc>
          <w:tcPr>
            <w:tcW w:w="500" w:type="pct"/>
            <w:shd w:val="clear" w:color="000000" w:fill="auto"/>
            <w:noWrap/>
            <w:vAlign w:val="center"/>
            <w:hideMark/>
          </w:tcPr>
          <w:p w14:paraId="75B1D2D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36.959</w:t>
            </w:r>
          </w:p>
        </w:tc>
        <w:tc>
          <w:tcPr>
            <w:tcW w:w="500" w:type="pct"/>
            <w:shd w:val="clear" w:color="000000" w:fill="auto"/>
            <w:noWrap/>
            <w:vAlign w:val="center"/>
            <w:hideMark/>
          </w:tcPr>
          <w:p w14:paraId="41F3953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24.644</w:t>
            </w:r>
          </w:p>
        </w:tc>
        <w:tc>
          <w:tcPr>
            <w:tcW w:w="500" w:type="pct"/>
            <w:shd w:val="clear" w:color="000000" w:fill="auto"/>
            <w:noWrap/>
            <w:vAlign w:val="center"/>
            <w:hideMark/>
          </w:tcPr>
          <w:p w14:paraId="38B067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1.357</w:t>
            </w:r>
          </w:p>
        </w:tc>
        <w:tc>
          <w:tcPr>
            <w:tcW w:w="500" w:type="pct"/>
            <w:shd w:val="clear" w:color="000000" w:fill="auto"/>
            <w:noWrap/>
            <w:vAlign w:val="center"/>
            <w:hideMark/>
          </w:tcPr>
          <w:p w14:paraId="628DD0B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733</w:t>
            </w:r>
          </w:p>
        </w:tc>
        <w:tc>
          <w:tcPr>
            <w:tcW w:w="500" w:type="pct"/>
            <w:shd w:val="clear" w:color="000000" w:fill="auto"/>
            <w:noWrap/>
            <w:vAlign w:val="center"/>
            <w:hideMark/>
          </w:tcPr>
          <w:p w14:paraId="758DF71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63.693</w:t>
            </w:r>
          </w:p>
        </w:tc>
      </w:tr>
      <w:tr w:rsidR="00535FE1" w:rsidRPr="009054AA" w14:paraId="344CB36B" w14:textId="77777777" w:rsidTr="00535FE1">
        <w:trPr>
          <w:trHeight w:val="290"/>
        </w:trPr>
        <w:tc>
          <w:tcPr>
            <w:tcW w:w="657" w:type="pct"/>
            <w:shd w:val="clear" w:color="000000" w:fill="auto"/>
            <w:noWrap/>
            <w:vAlign w:val="bottom"/>
            <w:hideMark/>
          </w:tcPr>
          <w:p w14:paraId="44DF83D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SE-N_27 </w:t>
            </w:r>
          </w:p>
        </w:tc>
        <w:tc>
          <w:tcPr>
            <w:tcW w:w="343" w:type="pct"/>
            <w:shd w:val="clear" w:color="000000" w:fill="auto"/>
            <w:noWrap/>
            <w:vAlign w:val="center"/>
            <w:hideMark/>
          </w:tcPr>
          <w:p w14:paraId="4DD2E8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43.641</w:t>
            </w:r>
          </w:p>
        </w:tc>
        <w:tc>
          <w:tcPr>
            <w:tcW w:w="500" w:type="pct"/>
            <w:shd w:val="clear" w:color="000000" w:fill="auto"/>
            <w:noWrap/>
            <w:vAlign w:val="center"/>
            <w:hideMark/>
          </w:tcPr>
          <w:p w14:paraId="2F3495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236</w:t>
            </w:r>
          </w:p>
        </w:tc>
        <w:tc>
          <w:tcPr>
            <w:tcW w:w="500" w:type="pct"/>
            <w:shd w:val="clear" w:color="000000" w:fill="auto"/>
            <w:noWrap/>
            <w:vAlign w:val="center"/>
            <w:hideMark/>
          </w:tcPr>
          <w:p w14:paraId="0F61D85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w:t>
            </w:r>
          </w:p>
        </w:tc>
        <w:tc>
          <w:tcPr>
            <w:tcW w:w="500" w:type="pct"/>
            <w:shd w:val="clear" w:color="000000" w:fill="auto"/>
            <w:noWrap/>
            <w:vAlign w:val="center"/>
            <w:hideMark/>
          </w:tcPr>
          <w:p w14:paraId="37B5698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43.978</w:t>
            </w:r>
          </w:p>
        </w:tc>
        <w:tc>
          <w:tcPr>
            <w:tcW w:w="500" w:type="pct"/>
            <w:shd w:val="clear" w:color="000000" w:fill="auto"/>
            <w:noWrap/>
            <w:vAlign w:val="center"/>
            <w:hideMark/>
          </w:tcPr>
          <w:p w14:paraId="459E5D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345</w:t>
            </w:r>
          </w:p>
        </w:tc>
        <w:tc>
          <w:tcPr>
            <w:tcW w:w="500" w:type="pct"/>
            <w:shd w:val="clear" w:color="000000" w:fill="auto"/>
            <w:noWrap/>
            <w:vAlign w:val="center"/>
            <w:hideMark/>
          </w:tcPr>
          <w:p w14:paraId="678046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230</w:t>
            </w:r>
          </w:p>
        </w:tc>
        <w:tc>
          <w:tcPr>
            <w:tcW w:w="500" w:type="pct"/>
            <w:shd w:val="clear" w:color="000000" w:fill="auto"/>
            <w:noWrap/>
            <w:vAlign w:val="center"/>
            <w:hideMark/>
          </w:tcPr>
          <w:p w14:paraId="3F29FAF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w:t>
            </w:r>
          </w:p>
        </w:tc>
        <w:tc>
          <w:tcPr>
            <w:tcW w:w="500" w:type="pct"/>
            <w:shd w:val="clear" w:color="000000" w:fill="auto"/>
            <w:noWrap/>
            <w:vAlign w:val="center"/>
            <w:hideMark/>
          </w:tcPr>
          <w:p w14:paraId="488CFE2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w:t>
            </w:r>
          </w:p>
        </w:tc>
        <w:tc>
          <w:tcPr>
            <w:tcW w:w="500" w:type="pct"/>
            <w:shd w:val="clear" w:color="000000" w:fill="auto"/>
            <w:noWrap/>
            <w:vAlign w:val="center"/>
            <w:hideMark/>
          </w:tcPr>
          <w:p w14:paraId="63FE77F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594</w:t>
            </w:r>
          </w:p>
        </w:tc>
      </w:tr>
      <w:tr w:rsidR="00535FE1" w:rsidRPr="009054AA" w14:paraId="7339DCAC" w14:textId="77777777" w:rsidTr="00535FE1">
        <w:trPr>
          <w:trHeight w:val="290"/>
        </w:trPr>
        <w:tc>
          <w:tcPr>
            <w:tcW w:w="657" w:type="pct"/>
            <w:shd w:val="clear" w:color="000000" w:fill="auto"/>
            <w:noWrap/>
            <w:vAlign w:val="bottom"/>
            <w:hideMark/>
          </w:tcPr>
          <w:p w14:paraId="7D8BD94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SE-N_28 </w:t>
            </w:r>
          </w:p>
        </w:tc>
        <w:tc>
          <w:tcPr>
            <w:tcW w:w="343" w:type="pct"/>
            <w:shd w:val="clear" w:color="000000" w:fill="auto"/>
            <w:noWrap/>
            <w:vAlign w:val="center"/>
            <w:hideMark/>
          </w:tcPr>
          <w:p w14:paraId="791C39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17.863</w:t>
            </w:r>
          </w:p>
        </w:tc>
        <w:tc>
          <w:tcPr>
            <w:tcW w:w="500" w:type="pct"/>
            <w:shd w:val="clear" w:color="000000" w:fill="auto"/>
            <w:noWrap/>
            <w:vAlign w:val="center"/>
            <w:hideMark/>
          </w:tcPr>
          <w:p w14:paraId="4AC7D4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13.756</w:t>
            </w:r>
          </w:p>
        </w:tc>
        <w:tc>
          <w:tcPr>
            <w:tcW w:w="500" w:type="pct"/>
            <w:shd w:val="clear" w:color="000000" w:fill="auto"/>
            <w:noWrap/>
            <w:vAlign w:val="center"/>
            <w:hideMark/>
          </w:tcPr>
          <w:p w14:paraId="6F3B3F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14.967</w:t>
            </w:r>
          </w:p>
        </w:tc>
        <w:tc>
          <w:tcPr>
            <w:tcW w:w="500" w:type="pct"/>
            <w:shd w:val="clear" w:color="000000" w:fill="auto"/>
            <w:noWrap/>
            <w:vAlign w:val="center"/>
            <w:hideMark/>
          </w:tcPr>
          <w:p w14:paraId="4F07623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46.586</w:t>
            </w:r>
          </w:p>
        </w:tc>
        <w:tc>
          <w:tcPr>
            <w:tcW w:w="500" w:type="pct"/>
            <w:shd w:val="clear" w:color="000000" w:fill="auto"/>
            <w:noWrap/>
            <w:vAlign w:val="center"/>
            <w:hideMark/>
          </w:tcPr>
          <w:p w14:paraId="695078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26.185</w:t>
            </w:r>
          </w:p>
        </w:tc>
        <w:tc>
          <w:tcPr>
            <w:tcW w:w="500" w:type="pct"/>
            <w:shd w:val="clear" w:color="000000" w:fill="auto"/>
            <w:noWrap/>
            <w:vAlign w:val="center"/>
            <w:hideMark/>
          </w:tcPr>
          <w:p w14:paraId="4F2140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13.595</w:t>
            </w:r>
          </w:p>
        </w:tc>
        <w:tc>
          <w:tcPr>
            <w:tcW w:w="500" w:type="pct"/>
            <w:shd w:val="clear" w:color="000000" w:fill="auto"/>
            <w:noWrap/>
            <w:vAlign w:val="center"/>
            <w:hideMark/>
          </w:tcPr>
          <w:p w14:paraId="49B4833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2.605</w:t>
            </w:r>
          </w:p>
        </w:tc>
        <w:tc>
          <w:tcPr>
            <w:tcW w:w="500" w:type="pct"/>
            <w:shd w:val="clear" w:color="000000" w:fill="auto"/>
            <w:noWrap/>
            <w:vAlign w:val="center"/>
            <w:hideMark/>
          </w:tcPr>
          <w:p w14:paraId="2D1B5DA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684</w:t>
            </w:r>
          </w:p>
        </w:tc>
        <w:tc>
          <w:tcPr>
            <w:tcW w:w="500" w:type="pct"/>
            <w:shd w:val="clear" w:color="000000" w:fill="auto"/>
            <w:noWrap/>
            <w:vAlign w:val="center"/>
            <w:hideMark/>
          </w:tcPr>
          <w:p w14:paraId="0DE3B23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43.069</w:t>
            </w:r>
          </w:p>
        </w:tc>
      </w:tr>
      <w:tr w:rsidR="00535FE1" w:rsidRPr="009054AA" w14:paraId="4DCDC214" w14:textId="77777777" w:rsidTr="00535FE1">
        <w:trPr>
          <w:trHeight w:val="290"/>
        </w:trPr>
        <w:tc>
          <w:tcPr>
            <w:tcW w:w="657" w:type="pct"/>
            <w:shd w:val="clear" w:color="000000" w:fill="auto"/>
            <w:noWrap/>
            <w:vAlign w:val="bottom"/>
            <w:hideMark/>
          </w:tcPr>
          <w:p w14:paraId="0DD39EC2"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SE-N_29 </w:t>
            </w:r>
          </w:p>
        </w:tc>
        <w:tc>
          <w:tcPr>
            <w:tcW w:w="343" w:type="pct"/>
            <w:shd w:val="clear" w:color="000000" w:fill="auto"/>
            <w:noWrap/>
            <w:vAlign w:val="center"/>
            <w:hideMark/>
          </w:tcPr>
          <w:p w14:paraId="0A7E3E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60.624</w:t>
            </w:r>
          </w:p>
        </w:tc>
        <w:tc>
          <w:tcPr>
            <w:tcW w:w="500" w:type="pct"/>
            <w:shd w:val="clear" w:color="000000" w:fill="auto"/>
            <w:noWrap/>
            <w:vAlign w:val="center"/>
            <w:hideMark/>
          </w:tcPr>
          <w:p w14:paraId="2820A20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36.660</w:t>
            </w:r>
          </w:p>
        </w:tc>
        <w:tc>
          <w:tcPr>
            <w:tcW w:w="500" w:type="pct"/>
            <w:shd w:val="clear" w:color="000000" w:fill="auto"/>
            <w:noWrap/>
            <w:vAlign w:val="center"/>
            <w:hideMark/>
          </w:tcPr>
          <w:p w14:paraId="06F44C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46.288</w:t>
            </w:r>
          </w:p>
        </w:tc>
        <w:tc>
          <w:tcPr>
            <w:tcW w:w="500" w:type="pct"/>
            <w:shd w:val="clear" w:color="000000" w:fill="auto"/>
            <w:noWrap/>
            <w:vAlign w:val="center"/>
            <w:hideMark/>
          </w:tcPr>
          <w:p w14:paraId="653A886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143.572</w:t>
            </w:r>
          </w:p>
        </w:tc>
        <w:tc>
          <w:tcPr>
            <w:tcW w:w="500" w:type="pct"/>
            <w:shd w:val="clear" w:color="000000" w:fill="auto"/>
            <w:noWrap/>
            <w:vAlign w:val="center"/>
            <w:hideMark/>
          </w:tcPr>
          <w:p w14:paraId="1190F4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47.400</w:t>
            </w:r>
          </w:p>
        </w:tc>
        <w:tc>
          <w:tcPr>
            <w:tcW w:w="500" w:type="pct"/>
            <w:shd w:val="clear" w:color="000000" w:fill="auto"/>
            <w:noWrap/>
            <w:vAlign w:val="center"/>
            <w:hideMark/>
          </w:tcPr>
          <w:p w14:paraId="00F515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36.403</w:t>
            </w:r>
          </w:p>
        </w:tc>
        <w:tc>
          <w:tcPr>
            <w:tcW w:w="500" w:type="pct"/>
            <w:shd w:val="clear" w:color="000000" w:fill="auto"/>
            <w:noWrap/>
            <w:vAlign w:val="center"/>
            <w:hideMark/>
          </w:tcPr>
          <w:p w14:paraId="553D38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8.896</w:t>
            </w:r>
          </w:p>
        </w:tc>
        <w:tc>
          <w:tcPr>
            <w:tcW w:w="500" w:type="pct"/>
            <w:shd w:val="clear" w:color="000000" w:fill="auto"/>
            <w:noWrap/>
            <w:vAlign w:val="center"/>
            <w:hideMark/>
          </w:tcPr>
          <w:p w14:paraId="28AB8BD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2.096</w:t>
            </w:r>
          </w:p>
        </w:tc>
        <w:tc>
          <w:tcPr>
            <w:tcW w:w="500" w:type="pct"/>
            <w:shd w:val="clear" w:color="000000" w:fill="auto"/>
            <w:noWrap/>
            <w:vAlign w:val="center"/>
            <w:hideMark/>
          </w:tcPr>
          <w:p w14:paraId="581F8F6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94.796</w:t>
            </w:r>
          </w:p>
        </w:tc>
      </w:tr>
      <w:tr w:rsidR="00535FE1" w:rsidRPr="009054AA" w14:paraId="349CBF8F" w14:textId="77777777" w:rsidTr="00535FE1">
        <w:trPr>
          <w:trHeight w:val="290"/>
        </w:trPr>
        <w:tc>
          <w:tcPr>
            <w:tcW w:w="657" w:type="pct"/>
            <w:shd w:val="clear" w:color="000000" w:fill="auto"/>
            <w:noWrap/>
            <w:vAlign w:val="bottom"/>
            <w:hideMark/>
          </w:tcPr>
          <w:p w14:paraId="699B5AA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SE-N_30 </w:t>
            </w:r>
          </w:p>
        </w:tc>
        <w:tc>
          <w:tcPr>
            <w:tcW w:w="343" w:type="pct"/>
            <w:shd w:val="clear" w:color="000000" w:fill="auto"/>
            <w:noWrap/>
            <w:vAlign w:val="center"/>
            <w:hideMark/>
          </w:tcPr>
          <w:p w14:paraId="07F257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22.409</w:t>
            </w:r>
          </w:p>
        </w:tc>
        <w:tc>
          <w:tcPr>
            <w:tcW w:w="500" w:type="pct"/>
            <w:shd w:val="clear" w:color="000000" w:fill="auto"/>
            <w:noWrap/>
            <w:vAlign w:val="center"/>
            <w:hideMark/>
          </w:tcPr>
          <w:p w14:paraId="771083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14.764</w:t>
            </w:r>
          </w:p>
        </w:tc>
        <w:tc>
          <w:tcPr>
            <w:tcW w:w="500" w:type="pct"/>
            <w:shd w:val="clear" w:color="000000" w:fill="auto"/>
            <w:noWrap/>
            <w:vAlign w:val="center"/>
            <w:hideMark/>
          </w:tcPr>
          <w:p w14:paraId="4F7F979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6.339</w:t>
            </w:r>
          </w:p>
        </w:tc>
        <w:tc>
          <w:tcPr>
            <w:tcW w:w="500" w:type="pct"/>
            <w:shd w:val="clear" w:color="000000" w:fill="auto"/>
            <w:noWrap/>
            <w:vAlign w:val="center"/>
            <w:hideMark/>
          </w:tcPr>
          <w:p w14:paraId="6CE7FD1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43.512</w:t>
            </w:r>
          </w:p>
        </w:tc>
        <w:tc>
          <w:tcPr>
            <w:tcW w:w="500" w:type="pct"/>
            <w:shd w:val="clear" w:color="000000" w:fill="auto"/>
            <w:noWrap/>
            <w:vAlign w:val="center"/>
            <w:hideMark/>
          </w:tcPr>
          <w:p w14:paraId="1AE4FE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21.594</w:t>
            </w:r>
          </w:p>
        </w:tc>
        <w:tc>
          <w:tcPr>
            <w:tcW w:w="500" w:type="pct"/>
            <w:shd w:val="clear" w:color="000000" w:fill="auto"/>
            <w:noWrap/>
            <w:vAlign w:val="center"/>
            <w:hideMark/>
          </w:tcPr>
          <w:p w14:paraId="5E014F5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14.398</w:t>
            </w:r>
          </w:p>
        </w:tc>
        <w:tc>
          <w:tcPr>
            <w:tcW w:w="500" w:type="pct"/>
            <w:shd w:val="clear" w:color="000000" w:fill="auto"/>
            <w:noWrap/>
            <w:vAlign w:val="center"/>
            <w:hideMark/>
          </w:tcPr>
          <w:p w14:paraId="734EDD0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793</w:t>
            </w:r>
          </w:p>
        </w:tc>
        <w:tc>
          <w:tcPr>
            <w:tcW w:w="500" w:type="pct"/>
            <w:shd w:val="clear" w:color="000000" w:fill="auto"/>
            <w:noWrap/>
            <w:vAlign w:val="center"/>
            <w:hideMark/>
          </w:tcPr>
          <w:p w14:paraId="338351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428</w:t>
            </w:r>
          </w:p>
        </w:tc>
        <w:tc>
          <w:tcPr>
            <w:tcW w:w="500" w:type="pct"/>
            <w:shd w:val="clear" w:color="000000" w:fill="auto"/>
            <w:noWrap/>
            <w:vAlign w:val="center"/>
            <w:hideMark/>
          </w:tcPr>
          <w:p w14:paraId="4FD4DFD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37.213</w:t>
            </w:r>
          </w:p>
        </w:tc>
      </w:tr>
      <w:tr w:rsidR="00535FE1" w:rsidRPr="009054AA" w14:paraId="1A040358" w14:textId="77777777" w:rsidTr="00535FE1">
        <w:trPr>
          <w:trHeight w:val="290"/>
        </w:trPr>
        <w:tc>
          <w:tcPr>
            <w:tcW w:w="657" w:type="pct"/>
            <w:shd w:val="clear" w:color="000000" w:fill="auto"/>
            <w:noWrap/>
            <w:vAlign w:val="bottom"/>
            <w:hideMark/>
          </w:tcPr>
          <w:p w14:paraId="7C6D931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SE-N_31 </w:t>
            </w:r>
          </w:p>
        </w:tc>
        <w:tc>
          <w:tcPr>
            <w:tcW w:w="343" w:type="pct"/>
            <w:shd w:val="clear" w:color="000000" w:fill="auto"/>
            <w:noWrap/>
            <w:vAlign w:val="center"/>
            <w:hideMark/>
          </w:tcPr>
          <w:p w14:paraId="12B181E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24.457</w:t>
            </w:r>
          </w:p>
        </w:tc>
        <w:tc>
          <w:tcPr>
            <w:tcW w:w="500" w:type="pct"/>
            <w:shd w:val="clear" w:color="000000" w:fill="auto"/>
            <w:noWrap/>
            <w:vAlign w:val="center"/>
            <w:hideMark/>
          </w:tcPr>
          <w:p w14:paraId="3ED212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1.135</w:t>
            </w:r>
          </w:p>
        </w:tc>
        <w:tc>
          <w:tcPr>
            <w:tcW w:w="500" w:type="pct"/>
            <w:shd w:val="clear" w:color="000000" w:fill="auto"/>
            <w:noWrap/>
            <w:vAlign w:val="center"/>
            <w:hideMark/>
          </w:tcPr>
          <w:p w14:paraId="1C1021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487</w:t>
            </w:r>
          </w:p>
        </w:tc>
        <w:tc>
          <w:tcPr>
            <w:tcW w:w="500" w:type="pct"/>
            <w:shd w:val="clear" w:color="000000" w:fill="auto"/>
            <w:noWrap/>
            <w:vAlign w:val="center"/>
            <w:hideMark/>
          </w:tcPr>
          <w:p w14:paraId="31D6FEC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26.079</w:t>
            </w:r>
          </w:p>
        </w:tc>
        <w:tc>
          <w:tcPr>
            <w:tcW w:w="500" w:type="pct"/>
            <w:shd w:val="clear" w:color="000000" w:fill="auto"/>
            <w:noWrap/>
            <w:vAlign w:val="center"/>
            <w:hideMark/>
          </w:tcPr>
          <w:p w14:paraId="1FF973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1.660</w:t>
            </w:r>
          </w:p>
        </w:tc>
        <w:tc>
          <w:tcPr>
            <w:tcW w:w="500" w:type="pct"/>
            <w:shd w:val="clear" w:color="000000" w:fill="auto"/>
            <w:noWrap/>
            <w:vAlign w:val="center"/>
            <w:hideMark/>
          </w:tcPr>
          <w:p w14:paraId="3FE353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1.107</w:t>
            </w:r>
          </w:p>
        </w:tc>
        <w:tc>
          <w:tcPr>
            <w:tcW w:w="500" w:type="pct"/>
            <w:shd w:val="clear" w:color="000000" w:fill="auto"/>
            <w:noWrap/>
            <w:vAlign w:val="center"/>
            <w:hideMark/>
          </w:tcPr>
          <w:p w14:paraId="0F1698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w:t>
            </w:r>
          </w:p>
        </w:tc>
        <w:tc>
          <w:tcPr>
            <w:tcW w:w="500" w:type="pct"/>
            <w:shd w:val="clear" w:color="000000" w:fill="auto"/>
            <w:noWrap/>
            <w:vAlign w:val="center"/>
            <w:hideMark/>
          </w:tcPr>
          <w:p w14:paraId="70D575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w:t>
            </w:r>
          </w:p>
        </w:tc>
        <w:tc>
          <w:tcPr>
            <w:tcW w:w="500" w:type="pct"/>
            <w:shd w:val="clear" w:color="000000" w:fill="auto"/>
            <w:noWrap/>
            <w:vAlign w:val="center"/>
            <w:hideMark/>
          </w:tcPr>
          <w:p w14:paraId="480F9CE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2.861</w:t>
            </w:r>
          </w:p>
        </w:tc>
      </w:tr>
      <w:tr w:rsidR="00535FE1" w:rsidRPr="009054AA" w14:paraId="7BB0A4EE" w14:textId="77777777" w:rsidTr="00535FE1">
        <w:trPr>
          <w:trHeight w:val="290"/>
        </w:trPr>
        <w:tc>
          <w:tcPr>
            <w:tcW w:w="657" w:type="pct"/>
            <w:shd w:val="clear" w:color="000000" w:fill="auto"/>
            <w:noWrap/>
            <w:vAlign w:val="bottom"/>
            <w:hideMark/>
          </w:tcPr>
          <w:p w14:paraId="2701193E"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SE-N_32 </w:t>
            </w:r>
          </w:p>
        </w:tc>
        <w:tc>
          <w:tcPr>
            <w:tcW w:w="343" w:type="pct"/>
            <w:shd w:val="clear" w:color="000000" w:fill="auto"/>
            <w:noWrap/>
            <w:vAlign w:val="center"/>
            <w:hideMark/>
          </w:tcPr>
          <w:p w14:paraId="703223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35.273</w:t>
            </w:r>
          </w:p>
        </w:tc>
        <w:tc>
          <w:tcPr>
            <w:tcW w:w="500" w:type="pct"/>
            <w:shd w:val="clear" w:color="000000" w:fill="auto"/>
            <w:noWrap/>
            <w:vAlign w:val="center"/>
            <w:hideMark/>
          </w:tcPr>
          <w:p w14:paraId="4E995B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4.238</w:t>
            </w:r>
          </w:p>
        </w:tc>
        <w:tc>
          <w:tcPr>
            <w:tcW w:w="500" w:type="pct"/>
            <w:shd w:val="clear" w:color="000000" w:fill="auto"/>
            <w:noWrap/>
            <w:vAlign w:val="center"/>
            <w:hideMark/>
          </w:tcPr>
          <w:p w14:paraId="6C55F32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1.820</w:t>
            </w:r>
          </w:p>
        </w:tc>
        <w:tc>
          <w:tcPr>
            <w:tcW w:w="500" w:type="pct"/>
            <w:shd w:val="clear" w:color="000000" w:fill="auto"/>
            <w:noWrap/>
            <w:vAlign w:val="center"/>
            <w:hideMark/>
          </w:tcPr>
          <w:p w14:paraId="385E686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41.330</w:t>
            </w:r>
          </w:p>
        </w:tc>
        <w:tc>
          <w:tcPr>
            <w:tcW w:w="500" w:type="pct"/>
            <w:shd w:val="clear" w:color="000000" w:fill="auto"/>
            <w:noWrap/>
            <w:vAlign w:val="center"/>
            <w:hideMark/>
          </w:tcPr>
          <w:p w14:paraId="18D8F33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6.199</w:t>
            </w:r>
          </w:p>
        </w:tc>
        <w:tc>
          <w:tcPr>
            <w:tcW w:w="500" w:type="pct"/>
            <w:shd w:val="clear" w:color="000000" w:fill="auto"/>
            <w:noWrap/>
            <w:vAlign w:val="center"/>
            <w:hideMark/>
          </w:tcPr>
          <w:p w14:paraId="55F85C9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4.133</w:t>
            </w:r>
          </w:p>
        </w:tc>
        <w:tc>
          <w:tcPr>
            <w:tcW w:w="500" w:type="pct"/>
            <w:shd w:val="clear" w:color="000000" w:fill="auto"/>
            <w:noWrap/>
            <w:vAlign w:val="center"/>
            <w:hideMark/>
          </w:tcPr>
          <w:p w14:paraId="340559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228</w:t>
            </w:r>
          </w:p>
        </w:tc>
        <w:tc>
          <w:tcPr>
            <w:tcW w:w="500" w:type="pct"/>
            <w:shd w:val="clear" w:color="000000" w:fill="auto"/>
            <w:noWrap/>
            <w:vAlign w:val="center"/>
            <w:hideMark/>
          </w:tcPr>
          <w:p w14:paraId="4C58056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123</w:t>
            </w:r>
          </w:p>
        </w:tc>
        <w:tc>
          <w:tcPr>
            <w:tcW w:w="500" w:type="pct"/>
            <w:shd w:val="clear" w:color="000000" w:fill="auto"/>
            <w:noWrap/>
            <w:vAlign w:val="center"/>
            <w:hideMark/>
          </w:tcPr>
          <w:p w14:paraId="67D5447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10.682</w:t>
            </w:r>
          </w:p>
        </w:tc>
      </w:tr>
      <w:tr w:rsidR="00535FE1" w:rsidRPr="009054AA" w14:paraId="06E8F4AE" w14:textId="77777777" w:rsidTr="00535FE1">
        <w:trPr>
          <w:trHeight w:val="290"/>
        </w:trPr>
        <w:tc>
          <w:tcPr>
            <w:tcW w:w="657" w:type="pct"/>
            <w:shd w:val="clear" w:color="000000" w:fill="auto"/>
            <w:noWrap/>
            <w:vAlign w:val="bottom"/>
            <w:hideMark/>
          </w:tcPr>
          <w:p w14:paraId="42B42989"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SE-N_33 </w:t>
            </w:r>
          </w:p>
        </w:tc>
        <w:tc>
          <w:tcPr>
            <w:tcW w:w="343" w:type="pct"/>
            <w:shd w:val="clear" w:color="000000" w:fill="auto"/>
            <w:noWrap/>
            <w:vAlign w:val="center"/>
            <w:hideMark/>
          </w:tcPr>
          <w:p w14:paraId="14AA35F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42.009</w:t>
            </w:r>
          </w:p>
        </w:tc>
        <w:tc>
          <w:tcPr>
            <w:tcW w:w="500" w:type="pct"/>
            <w:shd w:val="clear" w:color="000000" w:fill="auto"/>
            <w:noWrap/>
            <w:vAlign w:val="center"/>
            <w:hideMark/>
          </w:tcPr>
          <w:p w14:paraId="60E57D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20.693</w:t>
            </w:r>
          </w:p>
        </w:tc>
        <w:tc>
          <w:tcPr>
            <w:tcW w:w="500" w:type="pct"/>
            <w:shd w:val="clear" w:color="000000" w:fill="auto"/>
            <w:noWrap/>
            <w:vAlign w:val="center"/>
            <w:hideMark/>
          </w:tcPr>
          <w:p w14:paraId="5EFB55A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8.885</w:t>
            </w:r>
          </w:p>
        </w:tc>
        <w:tc>
          <w:tcPr>
            <w:tcW w:w="500" w:type="pct"/>
            <w:shd w:val="clear" w:color="000000" w:fill="auto"/>
            <w:noWrap/>
            <w:vAlign w:val="center"/>
            <w:hideMark/>
          </w:tcPr>
          <w:p w14:paraId="6B10EFA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71.587</w:t>
            </w:r>
          </w:p>
        </w:tc>
        <w:tc>
          <w:tcPr>
            <w:tcW w:w="500" w:type="pct"/>
            <w:shd w:val="clear" w:color="000000" w:fill="auto"/>
            <w:noWrap/>
            <w:vAlign w:val="center"/>
            <w:hideMark/>
          </w:tcPr>
          <w:p w14:paraId="03C5F42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30.265</w:t>
            </w:r>
          </w:p>
        </w:tc>
        <w:tc>
          <w:tcPr>
            <w:tcW w:w="500" w:type="pct"/>
            <w:shd w:val="clear" w:color="000000" w:fill="auto"/>
            <w:noWrap/>
            <w:vAlign w:val="center"/>
            <w:hideMark/>
          </w:tcPr>
          <w:p w14:paraId="5C33DE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20.180</w:t>
            </w:r>
          </w:p>
        </w:tc>
        <w:tc>
          <w:tcPr>
            <w:tcW w:w="500" w:type="pct"/>
            <w:shd w:val="clear" w:color="000000" w:fill="auto"/>
            <w:noWrap/>
            <w:vAlign w:val="center"/>
            <w:hideMark/>
          </w:tcPr>
          <w:p w14:paraId="4CE2EB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1.112</w:t>
            </w:r>
          </w:p>
        </w:tc>
        <w:tc>
          <w:tcPr>
            <w:tcW w:w="500" w:type="pct"/>
            <w:shd w:val="clear" w:color="000000" w:fill="auto"/>
            <w:noWrap/>
            <w:vAlign w:val="center"/>
            <w:hideMark/>
          </w:tcPr>
          <w:p w14:paraId="3860912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600</w:t>
            </w:r>
          </w:p>
        </w:tc>
        <w:tc>
          <w:tcPr>
            <w:tcW w:w="500" w:type="pct"/>
            <w:shd w:val="clear" w:color="000000" w:fill="auto"/>
            <w:noWrap/>
            <w:vAlign w:val="center"/>
            <w:hideMark/>
          </w:tcPr>
          <w:p w14:paraId="6BADD59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52.157</w:t>
            </w:r>
          </w:p>
        </w:tc>
      </w:tr>
      <w:tr w:rsidR="00535FE1" w:rsidRPr="009054AA" w14:paraId="6473160B" w14:textId="77777777" w:rsidTr="00535FE1">
        <w:trPr>
          <w:trHeight w:val="290"/>
        </w:trPr>
        <w:tc>
          <w:tcPr>
            <w:tcW w:w="657" w:type="pct"/>
            <w:shd w:val="clear" w:color="000000" w:fill="auto"/>
            <w:noWrap/>
            <w:vAlign w:val="bottom"/>
            <w:hideMark/>
          </w:tcPr>
          <w:p w14:paraId="31FF6871"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SE-N_34 </w:t>
            </w:r>
          </w:p>
        </w:tc>
        <w:tc>
          <w:tcPr>
            <w:tcW w:w="343" w:type="pct"/>
            <w:shd w:val="clear" w:color="000000" w:fill="auto"/>
            <w:noWrap/>
            <w:vAlign w:val="center"/>
            <w:hideMark/>
          </w:tcPr>
          <w:p w14:paraId="2E56777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22.011</w:t>
            </w:r>
          </w:p>
        </w:tc>
        <w:tc>
          <w:tcPr>
            <w:tcW w:w="500" w:type="pct"/>
            <w:shd w:val="clear" w:color="000000" w:fill="auto"/>
            <w:noWrap/>
            <w:vAlign w:val="center"/>
            <w:hideMark/>
          </w:tcPr>
          <w:p w14:paraId="4632D8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16.873</w:t>
            </w:r>
          </w:p>
        </w:tc>
        <w:tc>
          <w:tcPr>
            <w:tcW w:w="500" w:type="pct"/>
            <w:shd w:val="clear" w:color="000000" w:fill="auto"/>
            <w:noWrap/>
            <w:vAlign w:val="center"/>
            <w:hideMark/>
          </w:tcPr>
          <w:p w14:paraId="27A26AF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18.358</w:t>
            </w:r>
          </w:p>
        </w:tc>
        <w:tc>
          <w:tcPr>
            <w:tcW w:w="500" w:type="pct"/>
            <w:shd w:val="clear" w:color="000000" w:fill="auto"/>
            <w:noWrap/>
            <w:vAlign w:val="center"/>
            <w:hideMark/>
          </w:tcPr>
          <w:p w14:paraId="1CEDFB5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57.242</w:t>
            </w:r>
          </w:p>
        </w:tc>
        <w:tc>
          <w:tcPr>
            <w:tcW w:w="500" w:type="pct"/>
            <w:shd w:val="clear" w:color="000000" w:fill="auto"/>
            <w:noWrap/>
            <w:vAlign w:val="center"/>
            <w:hideMark/>
          </w:tcPr>
          <w:p w14:paraId="70CF22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32.119</w:t>
            </w:r>
          </w:p>
        </w:tc>
        <w:tc>
          <w:tcPr>
            <w:tcW w:w="500" w:type="pct"/>
            <w:shd w:val="clear" w:color="000000" w:fill="auto"/>
            <w:noWrap/>
            <w:vAlign w:val="center"/>
            <w:hideMark/>
          </w:tcPr>
          <w:p w14:paraId="5574EE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16.675</w:t>
            </w:r>
          </w:p>
        </w:tc>
        <w:tc>
          <w:tcPr>
            <w:tcW w:w="500" w:type="pct"/>
            <w:shd w:val="clear" w:color="000000" w:fill="auto"/>
            <w:noWrap/>
            <w:vAlign w:val="center"/>
            <w:hideMark/>
          </w:tcPr>
          <w:p w14:paraId="01F9FA3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3.196</w:t>
            </w:r>
          </w:p>
        </w:tc>
        <w:tc>
          <w:tcPr>
            <w:tcW w:w="500" w:type="pct"/>
            <w:shd w:val="clear" w:color="000000" w:fill="auto"/>
            <w:noWrap/>
            <w:vAlign w:val="center"/>
            <w:hideMark/>
          </w:tcPr>
          <w:p w14:paraId="6E014F0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839</w:t>
            </w:r>
          </w:p>
        </w:tc>
        <w:tc>
          <w:tcPr>
            <w:tcW w:w="500" w:type="pct"/>
            <w:shd w:val="clear" w:color="000000" w:fill="auto"/>
            <w:noWrap/>
            <w:vAlign w:val="center"/>
            <w:hideMark/>
          </w:tcPr>
          <w:p w14:paraId="4342603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52.829</w:t>
            </w:r>
          </w:p>
        </w:tc>
      </w:tr>
      <w:tr w:rsidR="00535FE1" w:rsidRPr="009054AA" w14:paraId="20E0087C" w14:textId="77777777" w:rsidTr="00535FE1">
        <w:trPr>
          <w:trHeight w:val="290"/>
        </w:trPr>
        <w:tc>
          <w:tcPr>
            <w:tcW w:w="657" w:type="pct"/>
            <w:shd w:val="clear" w:color="000000" w:fill="auto"/>
            <w:noWrap/>
            <w:vAlign w:val="bottom"/>
            <w:hideMark/>
          </w:tcPr>
          <w:p w14:paraId="2E2196F0"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SE-N_35 </w:t>
            </w:r>
          </w:p>
        </w:tc>
        <w:tc>
          <w:tcPr>
            <w:tcW w:w="343" w:type="pct"/>
            <w:shd w:val="clear" w:color="000000" w:fill="auto"/>
            <w:noWrap/>
            <w:vAlign w:val="center"/>
            <w:hideMark/>
          </w:tcPr>
          <w:p w14:paraId="59A841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26.361</w:t>
            </w:r>
          </w:p>
        </w:tc>
        <w:tc>
          <w:tcPr>
            <w:tcW w:w="500" w:type="pct"/>
            <w:shd w:val="clear" w:color="000000" w:fill="auto"/>
            <w:noWrap/>
            <w:vAlign w:val="center"/>
            <w:hideMark/>
          </w:tcPr>
          <w:p w14:paraId="26D5E9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9.803</w:t>
            </w:r>
          </w:p>
        </w:tc>
        <w:tc>
          <w:tcPr>
            <w:tcW w:w="500" w:type="pct"/>
            <w:shd w:val="clear" w:color="000000" w:fill="auto"/>
            <w:noWrap/>
            <w:vAlign w:val="center"/>
            <w:hideMark/>
          </w:tcPr>
          <w:p w14:paraId="7762D4B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4.209</w:t>
            </w:r>
          </w:p>
        </w:tc>
        <w:tc>
          <w:tcPr>
            <w:tcW w:w="500" w:type="pct"/>
            <w:shd w:val="clear" w:color="000000" w:fill="auto"/>
            <w:noWrap/>
            <w:vAlign w:val="center"/>
            <w:hideMark/>
          </w:tcPr>
          <w:p w14:paraId="2586F90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40.373</w:t>
            </w:r>
          </w:p>
        </w:tc>
        <w:tc>
          <w:tcPr>
            <w:tcW w:w="500" w:type="pct"/>
            <w:shd w:val="clear" w:color="000000" w:fill="auto"/>
            <w:noWrap/>
            <w:vAlign w:val="center"/>
            <w:hideMark/>
          </w:tcPr>
          <w:p w14:paraId="460C29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14.338</w:t>
            </w:r>
          </w:p>
        </w:tc>
        <w:tc>
          <w:tcPr>
            <w:tcW w:w="500" w:type="pct"/>
            <w:shd w:val="clear" w:color="000000" w:fill="auto"/>
            <w:noWrap/>
            <w:vAlign w:val="center"/>
            <w:hideMark/>
          </w:tcPr>
          <w:p w14:paraId="5BB165A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9.560</w:t>
            </w:r>
          </w:p>
        </w:tc>
        <w:tc>
          <w:tcPr>
            <w:tcW w:w="500" w:type="pct"/>
            <w:shd w:val="clear" w:color="000000" w:fill="auto"/>
            <w:noWrap/>
            <w:vAlign w:val="center"/>
            <w:hideMark/>
          </w:tcPr>
          <w:p w14:paraId="3F94A6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527</w:t>
            </w:r>
          </w:p>
        </w:tc>
        <w:tc>
          <w:tcPr>
            <w:tcW w:w="500" w:type="pct"/>
            <w:shd w:val="clear" w:color="000000" w:fill="auto"/>
            <w:noWrap/>
            <w:vAlign w:val="center"/>
            <w:hideMark/>
          </w:tcPr>
          <w:p w14:paraId="44D6CE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284</w:t>
            </w:r>
          </w:p>
        </w:tc>
        <w:tc>
          <w:tcPr>
            <w:tcW w:w="500" w:type="pct"/>
            <w:shd w:val="clear" w:color="000000" w:fill="auto"/>
            <w:noWrap/>
            <w:vAlign w:val="center"/>
            <w:hideMark/>
          </w:tcPr>
          <w:p w14:paraId="7FC4182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24.708</w:t>
            </w:r>
          </w:p>
        </w:tc>
      </w:tr>
      <w:tr w:rsidR="00535FE1" w:rsidRPr="009054AA" w14:paraId="4E64B7C6" w14:textId="77777777" w:rsidTr="00535FE1">
        <w:trPr>
          <w:trHeight w:val="290"/>
        </w:trPr>
        <w:tc>
          <w:tcPr>
            <w:tcW w:w="657" w:type="pct"/>
            <w:shd w:val="clear" w:color="000000" w:fill="auto"/>
            <w:noWrap/>
            <w:vAlign w:val="bottom"/>
            <w:hideMark/>
          </w:tcPr>
          <w:p w14:paraId="4DB22F06"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SE-N_37 </w:t>
            </w:r>
          </w:p>
        </w:tc>
        <w:tc>
          <w:tcPr>
            <w:tcW w:w="343" w:type="pct"/>
            <w:shd w:val="clear" w:color="000000" w:fill="auto"/>
            <w:noWrap/>
            <w:vAlign w:val="center"/>
            <w:hideMark/>
          </w:tcPr>
          <w:p w14:paraId="47C2D8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52.209</w:t>
            </w:r>
          </w:p>
        </w:tc>
        <w:tc>
          <w:tcPr>
            <w:tcW w:w="500" w:type="pct"/>
            <w:shd w:val="clear" w:color="000000" w:fill="auto"/>
            <w:noWrap/>
            <w:vAlign w:val="center"/>
            <w:hideMark/>
          </w:tcPr>
          <w:p w14:paraId="19094E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66.319</w:t>
            </w:r>
          </w:p>
        </w:tc>
        <w:tc>
          <w:tcPr>
            <w:tcW w:w="500" w:type="pct"/>
            <w:shd w:val="clear" w:color="000000" w:fill="auto"/>
            <w:noWrap/>
            <w:vAlign w:val="center"/>
            <w:hideMark/>
          </w:tcPr>
          <w:p w14:paraId="150C9A2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28.476</w:t>
            </w:r>
          </w:p>
        </w:tc>
        <w:tc>
          <w:tcPr>
            <w:tcW w:w="500" w:type="pct"/>
            <w:shd w:val="clear" w:color="000000" w:fill="auto"/>
            <w:noWrap/>
            <w:vAlign w:val="center"/>
            <w:hideMark/>
          </w:tcPr>
          <w:p w14:paraId="1F8302B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147.004</w:t>
            </w:r>
          </w:p>
        </w:tc>
        <w:tc>
          <w:tcPr>
            <w:tcW w:w="500" w:type="pct"/>
            <w:shd w:val="clear" w:color="000000" w:fill="auto"/>
            <w:noWrap/>
            <w:vAlign w:val="center"/>
            <w:hideMark/>
          </w:tcPr>
          <w:p w14:paraId="000C0E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96.998</w:t>
            </w:r>
          </w:p>
        </w:tc>
        <w:tc>
          <w:tcPr>
            <w:tcW w:w="500" w:type="pct"/>
            <w:shd w:val="clear" w:color="000000" w:fill="auto"/>
            <w:noWrap/>
            <w:vAlign w:val="center"/>
            <w:hideMark/>
          </w:tcPr>
          <w:p w14:paraId="69A5A2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64.676</w:t>
            </w:r>
          </w:p>
        </w:tc>
        <w:tc>
          <w:tcPr>
            <w:tcW w:w="500" w:type="pct"/>
            <w:shd w:val="clear" w:color="000000" w:fill="auto"/>
            <w:noWrap/>
            <w:vAlign w:val="center"/>
            <w:hideMark/>
          </w:tcPr>
          <w:p w14:paraId="124DFF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3.562</w:t>
            </w:r>
          </w:p>
        </w:tc>
        <w:tc>
          <w:tcPr>
            <w:tcW w:w="500" w:type="pct"/>
            <w:shd w:val="clear" w:color="000000" w:fill="auto"/>
            <w:noWrap/>
            <w:vAlign w:val="center"/>
            <w:hideMark/>
          </w:tcPr>
          <w:p w14:paraId="5560726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1.923</w:t>
            </w:r>
          </w:p>
        </w:tc>
        <w:tc>
          <w:tcPr>
            <w:tcW w:w="500" w:type="pct"/>
            <w:shd w:val="clear" w:color="000000" w:fill="auto"/>
            <w:noWrap/>
            <w:vAlign w:val="center"/>
            <w:hideMark/>
          </w:tcPr>
          <w:p w14:paraId="7010C50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167.160</w:t>
            </w:r>
          </w:p>
        </w:tc>
      </w:tr>
      <w:tr w:rsidR="00535FE1" w:rsidRPr="009054AA" w14:paraId="5877D429" w14:textId="77777777" w:rsidTr="00535FE1">
        <w:trPr>
          <w:trHeight w:val="290"/>
        </w:trPr>
        <w:tc>
          <w:tcPr>
            <w:tcW w:w="657" w:type="pct"/>
            <w:shd w:val="clear" w:color="000000" w:fill="auto"/>
            <w:noWrap/>
            <w:vAlign w:val="bottom"/>
            <w:hideMark/>
          </w:tcPr>
          <w:p w14:paraId="08EB135B"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SE-N_38 </w:t>
            </w:r>
          </w:p>
        </w:tc>
        <w:tc>
          <w:tcPr>
            <w:tcW w:w="343" w:type="pct"/>
            <w:shd w:val="clear" w:color="000000" w:fill="auto"/>
            <w:noWrap/>
            <w:vAlign w:val="center"/>
            <w:hideMark/>
          </w:tcPr>
          <w:p w14:paraId="3D52372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23.064</w:t>
            </w:r>
          </w:p>
        </w:tc>
        <w:tc>
          <w:tcPr>
            <w:tcW w:w="500" w:type="pct"/>
            <w:shd w:val="clear" w:color="000000" w:fill="auto"/>
            <w:noWrap/>
            <w:vAlign w:val="center"/>
            <w:hideMark/>
          </w:tcPr>
          <w:p w14:paraId="161B2D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4.698</w:t>
            </w:r>
          </w:p>
        </w:tc>
        <w:tc>
          <w:tcPr>
            <w:tcW w:w="500" w:type="pct"/>
            <w:shd w:val="clear" w:color="000000" w:fill="auto"/>
            <w:noWrap/>
            <w:vAlign w:val="center"/>
            <w:hideMark/>
          </w:tcPr>
          <w:p w14:paraId="2BAAD9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2.415</w:t>
            </w:r>
          </w:p>
        </w:tc>
        <w:tc>
          <w:tcPr>
            <w:tcW w:w="500" w:type="pct"/>
            <w:shd w:val="clear" w:color="000000" w:fill="auto"/>
            <w:noWrap/>
            <w:vAlign w:val="center"/>
            <w:hideMark/>
          </w:tcPr>
          <w:p w14:paraId="546FD60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30.176</w:t>
            </w:r>
          </w:p>
        </w:tc>
        <w:tc>
          <w:tcPr>
            <w:tcW w:w="500" w:type="pct"/>
            <w:shd w:val="clear" w:color="000000" w:fill="auto"/>
            <w:noWrap/>
            <w:vAlign w:val="center"/>
            <w:hideMark/>
          </w:tcPr>
          <w:p w14:paraId="617328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3.448</w:t>
            </w:r>
          </w:p>
        </w:tc>
        <w:tc>
          <w:tcPr>
            <w:tcW w:w="500" w:type="pct"/>
            <w:shd w:val="clear" w:color="000000" w:fill="auto"/>
            <w:noWrap/>
            <w:vAlign w:val="center"/>
            <w:hideMark/>
          </w:tcPr>
          <w:p w14:paraId="19D951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4.595</w:t>
            </w:r>
          </w:p>
        </w:tc>
        <w:tc>
          <w:tcPr>
            <w:tcW w:w="500" w:type="pct"/>
            <w:shd w:val="clear" w:color="000000" w:fill="auto"/>
            <w:noWrap/>
            <w:vAlign w:val="center"/>
            <w:hideMark/>
          </w:tcPr>
          <w:p w14:paraId="41238D7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401</w:t>
            </w:r>
          </w:p>
        </w:tc>
        <w:tc>
          <w:tcPr>
            <w:tcW w:w="500" w:type="pct"/>
            <w:shd w:val="clear" w:color="000000" w:fill="auto"/>
            <w:noWrap/>
            <w:vAlign w:val="center"/>
            <w:hideMark/>
          </w:tcPr>
          <w:p w14:paraId="0BF816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w:t>
            </w:r>
          </w:p>
        </w:tc>
        <w:tc>
          <w:tcPr>
            <w:tcW w:w="500" w:type="pct"/>
            <w:shd w:val="clear" w:color="000000" w:fill="auto"/>
            <w:noWrap/>
            <w:vAlign w:val="center"/>
            <w:hideMark/>
          </w:tcPr>
          <w:p w14:paraId="4777C2C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8.603</w:t>
            </w:r>
          </w:p>
        </w:tc>
      </w:tr>
      <w:tr w:rsidR="00535FE1" w:rsidRPr="009054AA" w14:paraId="545A2510" w14:textId="77777777" w:rsidTr="00535FE1">
        <w:trPr>
          <w:trHeight w:val="290"/>
        </w:trPr>
        <w:tc>
          <w:tcPr>
            <w:tcW w:w="657" w:type="pct"/>
            <w:shd w:val="clear" w:color="000000" w:fill="auto"/>
            <w:noWrap/>
            <w:vAlign w:val="bottom"/>
            <w:hideMark/>
          </w:tcPr>
          <w:p w14:paraId="08130582"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SE-N_39 </w:t>
            </w:r>
          </w:p>
        </w:tc>
        <w:tc>
          <w:tcPr>
            <w:tcW w:w="343" w:type="pct"/>
            <w:shd w:val="clear" w:color="000000" w:fill="auto"/>
            <w:noWrap/>
            <w:vAlign w:val="center"/>
            <w:hideMark/>
          </w:tcPr>
          <w:p w14:paraId="5CC713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19.566</w:t>
            </w:r>
          </w:p>
        </w:tc>
        <w:tc>
          <w:tcPr>
            <w:tcW w:w="500" w:type="pct"/>
            <w:shd w:val="clear" w:color="000000" w:fill="auto"/>
            <w:noWrap/>
            <w:vAlign w:val="center"/>
            <w:hideMark/>
          </w:tcPr>
          <w:p w14:paraId="5C37CC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19.457</w:t>
            </w:r>
          </w:p>
        </w:tc>
        <w:tc>
          <w:tcPr>
            <w:tcW w:w="500" w:type="pct"/>
            <w:shd w:val="clear" w:color="000000" w:fill="auto"/>
            <w:noWrap/>
            <w:vAlign w:val="center"/>
            <w:hideMark/>
          </w:tcPr>
          <w:p w14:paraId="63AAC0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21.169</w:t>
            </w:r>
          </w:p>
        </w:tc>
        <w:tc>
          <w:tcPr>
            <w:tcW w:w="500" w:type="pct"/>
            <w:shd w:val="clear" w:color="000000" w:fill="auto"/>
            <w:noWrap/>
            <w:vAlign w:val="center"/>
            <w:hideMark/>
          </w:tcPr>
          <w:p w14:paraId="28B24ED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60.193</w:t>
            </w:r>
          </w:p>
        </w:tc>
        <w:tc>
          <w:tcPr>
            <w:tcW w:w="500" w:type="pct"/>
            <w:shd w:val="clear" w:color="000000" w:fill="auto"/>
            <w:noWrap/>
            <w:vAlign w:val="center"/>
            <w:hideMark/>
          </w:tcPr>
          <w:p w14:paraId="5B87389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37.037</w:t>
            </w:r>
          </w:p>
        </w:tc>
        <w:tc>
          <w:tcPr>
            <w:tcW w:w="500" w:type="pct"/>
            <w:shd w:val="clear" w:color="000000" w:fill="auto"/>
            <w:noWrap/>
            <w:vAlign w:val="center"/>
            <w:hideMark/>
          </w:tcPr>
          <w:p w14:paraId="6D92D25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19.229</w:t>
            </w:r>
          </w:p>
        </w:tc>
        <w:tc>
          <w:tcPr>
            <w:tcW w:w="500" w:type="pct"/>
            <w:shd w:val="clear" w:color="000000" w:fill="auto"/>
            <w:noWrap/>
            <w:vAlign w:val="center"/>
            <w:hideMark/>
          </w:tcPr>
          <w:p w14:paraId="349B68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3.685</w:t>
            </w:r>
          </w:p>
        </w:tc>
        <w:tc>
          <w:tcPr>
            <w:tcW w:w="500" w:type="pct"/>
            <w:shd w:val="clear" w:color="000000" w:fill="auto"/>
            <w:noWrap/>
            <w:vAlign w:val="center"/>
            <w:hideMark/>
          </w:tcPr>
          <w:p w14:paraId="491753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967</w:t>
            </w:r>
          </w:p>
        </w:tc>
        <w:tc>
          <w:tcPr>
            <w:tcW w:w="500" w:type="pct"/>
            <w:shd w:val="clear" w:color="000000" w:fill="auto"/>
            <w:noWrap/>
            <w:vAlign w:val="center"/>
            <w:hideMark/>
          </w:tcPr>
          <w:p w14:paraId="1EE1B7F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60.919</w:t>
            </w:r>
          </w:p>
        </w:tc>
      </w:tr>
      <w:tr w:rsidR="00535FE1" w:rsidRPr="009054AA" w14:paraId="44407833" w14:textId="77777777" w:rsidTr="00535FE1">
        <w:trPr>
          <w:trHeight w:val="290"/>
        </w:trPr>
        <w:tc>
          <w:tcPr>
            <w:tcW w:w="657" w:type="pct"/>
            <w:shd w:val="clear" w:color="000000" w:fill="auto"/>
            <w:noWrap/>
            <w:vAlign w:val="bottom"/>
            <w:hideMark/>
          </w:tcPr>
          <w:p w14:paraId="214CBD77"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SE-N_40 </w:t>
            </w:r>
          </w:p>
        </w:tc>
        <w:tc>
          <w:tcPr>
            <w:tcW w:w="343" w:type="pct"/>
            <w:shd w:val="clear" w:color="000000" w:fill="auto"/>
            <w:noWrap/>
            <w:vAlign w:val="center"/>
            <w:hideMark/>
          </w:tcPr>
          <w:p w14:paraId="180D52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44.618</w:t>
            </w:r>
          </w:p>
        </w:tc>
        <w:tc>
          <w:tcPr>
            <w:tcW w:w="500" w:type="pct"/>
            <w:shd w:val="clear" w:color="000000" w:fill="auto"/>
            <w:noWrap/>
            <w:vAlign w:val="center"/>
            <w:hideMark/>
          </w:tcPr>
          <w:p w14:paraId="5218464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8.130</w:t>
            </w:r>
          </w:p>
        </w:tc>
        <w:tc>
          <w:tcPr>
            <w:tcW w:w="500" w:type="pct"/>
            <w:shd w:val="clear" w:color="000000" w:fill="auto"/>
            <w:noWrap/>
            <w:vAlign w:val="center"/>
            <w:hideMark/>
          </w:tcPr>
          <w:p w14:paraId="084DB9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3.491</w:t>
            </w:r>
          </w:p>
        </w:tc>
        <w:tc>
          <w:tcPr>
            <w:tcW w:w="500" w:type="pct"/>
            <w:shd w:val="clear" w:color="000000" w:fill="auto"/>
            <w:noWrap/>
            <w:vAlign w:val="center"/>
            <w:hideMark/>
          </w:tcPr>
          <w:p w14:paraId="28D3942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56.238</w:t>
            </w:r>
          </w:p>
        </w:tc>
        <w:tc>
          <w:tcPr>
            <w:tcW w:w="500" w:type="pct"/>
            <w:shd w:val="clear" w:color="000000" w:fill="auto"/>
            <w:noWrap/>
            <w:vAlign w:val="center"/>
            <w:hideMark/>
          </w:tcPr>
          <w:p w14:paraId="57E6D49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11.891</w:t>
            </w:r>
          </w:p>
        </w:tc>
        <w:tc>
          <w:tcPr>
            <w:tcW w:w="500" w:type="pct"/>
            <w:shd w:val="clear" w:color="000000" w:fill="auto"/>
            <w:noWrap/>
            <w:vAlign w:val="center"/>
            <w:hideMark/>
          </w:tcPr>
          <w:p w14:paraId="4D7752F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7.928</w:t>
            </w:r>
          </w:p>
        </w:tc>
        <w:tc>
          <w:tcPr>
            <w:tcW w:w="500" w:type="pct"/>
            <w:shd w:val="clear" w:color="000000" w:fill="auto"/>
            <w:noWrap/>
            <w:vAlign w:val="center"/>
            <w:hideMark/>
          </w:tcPr>
          <w:p w14:paraId="75B6B5F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437</w:t>
            </w:r>
          </w:p>
        </w:tc>
        <w:tc>
          <w:tcPr>
            <w:tcW w:w="500" w:type="pct"/>
            <w:shd w:val="clear" w:color="000000" w:fill="auto"/>
            <w:noWrap/>
            <w:vAlign w:val="center"/>
            <w:hideMark/>
          </w:tcPr>
          <w:p w14:paraId="7D6F44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236</w:t>
            </w:r>
          </w:p>
        </w:tc>
        <w:tc>
          <w:tcPr>
            <w:tcW w:w="500" w:type="pct"/>
            <w:shd w:val="clear" w:color="000000" w:fill="auto"/>
            <w:noWrap/>
            <w:vAlign w:val="center"/>
            <w:hideMark/>
          </w:tcPr>
          <w:p w14:paraId="30B253A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20.491</w:t>
            </w:r>
          </w:p>
        </w:tc>
      </w:tr>
      <w:tr w:rsidR="00535FE1" w:rsidRPr="009054AA" w14:paraId="219C7C97" w14:textId="77777777" w:rsidTr="00535FE1">
        <w:trPr>
          <w:trHeight w:val="290"/>
        </w:trPr>
        <w:tc>
          <w:tcPr>
            <w:tcW w:w="657" w:type="pct"/>
            <w:shd w:val="clear" w:color="000000" w:fill="auto"/>
            <w:noWrap/>
            <w:vAlign w:val="bottom"/>
            <w:hideMark/>
          </w:tcPr>
          <w:p w14:paraId="78501564"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SE-N_41 </w:t>
            </w:r>
          </w:p>
        </w:tc>
        <w:tc>
          <w:tcPr>
            <w:tcW w:w="343" w:type="pct"/>
            <w:shd w:val="clear" w:color="000000" w:fill="auto"/>
            <w:noWrap/>
            <w:vAlign w:val="center"/>
            <w:hideMark/>
          </w:tcPr>
          <w:p w14:paraId="335187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35.625</w:t>
            </w:r>
          </w:p>
        </w:tc>
        <w:tc>
          <w:tcPr>
            <w:tcW w:w="500" w:type="pct"/>
            <w:shd w:val="clear" w:color="000000" w:fill="auto"/>
            <w:noWrap/>
            <w:vAlign w:val="center"/>
            <w:hideMark/>
          </w:tcPr>
          <w:p w14:paraId="59C8222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24.317</w:t>
            </w:r>
          </w:p>
        </w:tc>
        <w:tc>
          <w:tcPr>
            <w:tcW w:w="500" w:type="pct"/>
            <w:shd w:val="clear" w:color="000000" w:fill="auto"/>
            <w:noWrap/>
            <w:vAlign w:val="center"/>
            <w:hideMark/>
          </w:tcPr>
          <w:p w14:paraId="6DD3E8A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12.498</w:t>
            </w:r>
          </w:p>
        </w:tc>
        <w:tc>
          <w:tcPr>
            <w:tcW w:w="500" w:type="pct"/>
            <w:shd w:val="clear" w:color="000000" w:fill="auto"/>
            <w:noWrap/>
            <w:vAlign w:val="center"/>
            <w:hideMark/>
          </w:tcPr>
          <w:p w14:paraId="7591DD8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72.440</w:t>
            </w:r>
          </w:p>
        </w:tc>
        <w:tc>
          <w:tcPr>
            <w:tcW w:w="500" w:type="pct"/>
            <w:shd w:val="clear" w:color="000000" w:fill="auto"/>
            <w:noWrap/>
            <w:vAlign w:val="center"/>
            <w:hideMark/>
          </w:tcPr>
          <w:p w14:paraId="77EC9C8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17.849</w:t>
            </w:r>
          </w:p>
        </w:tc>
        <w:tc>
          <w:tcPr>
            <w:tcW w:w="500" w:type="pct"/>
            <w:shd w:val="clear" w:color="000000" w:fill="auto"/>
            <w:noWrap/>
            <w:vAlign w:val="center"/>
            <w:hideMark/>
          </w:tcPr>
          <w:p w14:paraId="4B3D8CB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23.786</w:t>
            </w:r>
          </w:p>
        </w:tc>
        <w:tc>
          <w:tcPr>
            <w:tcW w:w="500" w:type="pct"/>
            <w:shd w:val="clear" w:color="000000" w:fill="auto"/>
            <w:noWrap/>
            <w:vAlign w:val="center"/>
            <w:hideMark/>
          </w:tcPr>
          <w:p w14:paraId="134CC9D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2.076</w:t>
            </w:r>
          </w:p>
        </w:tc>
        <w:tc>
          <w:tcPr>
            <w:tcW w:w="500" w:type="pct"/>
            <w:shd w:val="clear" w:color="000000" w:fill="auto"/>
            <w:noWrap/>
            <w:vAlign w:val="center"/>
            <w:hideMark/>
          </w:tcPr>
          <w:p w14:paraId="03E8D44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819</w:t>
            </w:r>
          </w:p>
        </w:tc>
        <w:tc>
          <w:tcPr>
            <w:tcW w:w="500" w:type="pct"/>
            <w:shd w:val="clear" w:color="000000" w:fill="auto"/>
            <w:noWrap/>
            <w:vAlign w:val="center"/>
            <w:hideMark/>
          </w:tcPr>
          <w:p w14:paraId="1624ECC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44.530</w:t>
            </w:r>
          </w:p>
        </w:tc>
      </w:tr>
      <w:tr w:rsidR="00535FE1" w:rsidRPr="009054AA" w14:paraId="2B0EA6B6" w14:textId="77777777" w:rsidTr="00535FE1">
        <w:trPr>
          <w:trHeight w:val="290"/>
        </w:trPr>
        <w:tc>
          <w:tcPr>
            <w:tcW w:w="657" w:type="pct"/>
            <w:shd w:val="clear" w:color="000000" w:fill="auto"/>
            <w:noWrap/>
            <w:vAlign w:val="bottom"/>
            <w:hideMark/>
          </w:tcPr>
          <w:p w14:paraId="0B646EB9"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SE-N_42 </w:t>
            </w:r>
          </w:p>
        </w:tc>
        <w:tc>
          <w:tcPr>
            <w:tcW w:w="343" w:type="pct"/>
            <w:shd w:val="clear" w:color="000000" w:fill="auto"/>
            <w:noWrap/>
            <w:vAlign w:val="center"/>
            <w:hideMark/>
          </w:tcPr>
          <w:p w14:paraId="26F855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118.730</w:t>
            </w:r>
          </w:p>
        </w:tc>
        <w:tc>
          <w:tcPr>
            <w:tcW w:w="500" w:type="pct"/>
            <w:shd w:val="clear" w:color="000000" w:fill="auto"/>
            <w:noWrap/>
            <w:vAlign w:val="center"/>
            <w:hideMark/>
          </w:tcPr>
          <w:p w14:paraId="1FFD5B9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60.843</w:t>
            </w:r>
          </w:p>
        </w:tc>
        <w:tc>
          <w:tcPr>
            <w:tcW w:w="500" w:type="pct"/>
            <w:shd w:val="clear" w:color="000000" w:fill="auto"/>
            <w:noWrap/>
            <w:vAlign w:val="center"/>
            <w:hideMark/>
          </w:tcPr>
          <w:p w14:paraId="55B0AC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26.125</w:t>
            </w:r>
          </w:p>
        </w:tc>
        <w:tc>
          <w:tcPr>
            <w:tcW w:w="500" w:type="pct"/>
            <w:shd w:val="clear" w:color="000000" w:fill="auto"/>
            <w:noWrap/>
            <w:vAlign w:val="center"/>
            <w:hideMark/>
          </w:tcPr>
          <w:p w14:paraId="75CAADF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205.698</w:t>
            </w:r>
          </w:p>
        </w:tc>
        <w:tc>
          <w:tcPr>
            <w:tcW w:w="500" w:type="pct"/>
            <w:shd w:val="clear" w:color="000000" w:fill="auto"/>
            <w:noWrap/>
            <w:vAlign w:val="center"/>
            <w:hideMark/>
          </w:tcPr>
          <w:p w14:paraId="7B7FBDB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88.989</w:t>
            </w:r>
          </w:p>
        </w:tc>
        <w:tc>
          <w:tcPr>
            <w:tcW w:w="500" w:type="pct"/>
            <w:shd w:val="clear" w:color="000000" w:fill="auto"/>
            <w:noWrap/>
            <w:vAlign w:val="center"/>
            <w:hideMark/>
          </w:tcPr>
          <w:p w14:paraId="6E9E9E5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59.336</w:t>
            </w:r>
          </w:p>
        </w:tc>
        <w:tc>
          <w:tcPr>
            <w:tcW w:w="500" w:type="pct"/>
            <w:shd w:val="clear" w:color="000000" w:fill="auto"/>
            <w:noWrap/>
            <w:vAlign w:val="center"/>
            <w:hideMark/>
          </w:tcPr>
          <w:p w14:paraId="562DC06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3.268</w:t>
            </w:r>
          </w:p>
        </w:tc>
        <w:tc>
          <w:tcPr>
            <w:tcW w:w="500" w:type="pct"/>
            <w:shd w:val="clear" w:color="000000" w:fill="auto"/>
            <w:noWrap/>
            <w:vAlign w:val="center"/>
            <w:hideMark/>
          </w:tcPr>
          <w:p w14:paraId="343C1E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1.765</w:t>
            </w:r>
          </w:p>
        </w:tc>
        <w:tc>
          <w:tcPr>
            <w:tcW w:w="500" w:type="pct"/>
            <w:shd w:val="clear" w:color="000000" w:fill="auto"/>
            <w:noWrap/>
            <w:vAlign w:val="center"/>
            <w:hideMark/>
          </w:tcPr>
          <w:p w14:paraId="01761BA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153.358</w:t>
            </w:r>
          </w:p>
        </w:tc>
      </w:tr>
      <w:tr w:rsidR="00535FE1" w:rsidRPr="009054AA" w14:paraId="265C1B96" w14:textId="77777777" w:rsidTr="00535FE1">
        <w:trPr>
          <w:trHeight w:val="290"/>
        </w:trPr>
        <w:tc>
          <w:tcPr>
            <w:tcW w:w="657" w:type="pct"/>
            <w:shd w:val="clear" w:color="000000" w:fill="auto"/>
            <w:noWrap/>
            <w:vAlign w:val="bottom"/>
            <w:hideMark/>
          </w:tcPr>
          <w:p w14:paraId="6C1E68E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SE-N_43 </w:t>
            </w:r>
          </w:p>
        </w:tc>
        <w:tc>
          <w:tcPr>
            <w:tcW w:w="343" w:type="pct"/>
            <w:shd w:val="clear" w:color="000000" w:fill="auto"/>
            <w:noWrap/>
            <w:vAlign w:val="center"/>
            <w:hideMark/>
          </w:tcPr>
          <w:p w14:paraId="65AC95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39.721</w:t>
            </w:r>
          </w:p>
        </w:tc>
        <w:tc>
          <w:tcPr>
            <w:tcW w:w="500" w:type="pct"/>
            <w:shd w:val="clear" w:color="000000" w:fill="auto"/>
            <w:noWrap/>
            <w:vAlign w:val="center"/>
            <w:hideMark/>
          </w:tcPr>
          <w:p w14:paraId="28FD48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13.677</w:t>
            </w:r>
          </w:p>
        </w:tc>
        <w:tc>
          <w:tcPr>
            <w:tcW w:w="500" w:type="pct"/>
            <w:shd w:val="clear" w:color="000000" w:fill="auto"/>
            <w:noWrap/>
            <w:vAlign w:val="center"/>
            <w:hideMark/>
          </w:tcPr>
          <w:p w14:paraId="17DF99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5.873</w:t>
            </w:r>
          </w:p>
        </w:tc>
        <w:tc>
          <w:tcPr>
            <w:tcW w:w="500" w:type="pct"/>
            <w:shd w:val="clear" w:color="000000" w:fill="auto"/>
            <w:noWrap/>
            <w:vAlign w:val="center"/>
            <w:hideMark/>
          </w:tcPr>
          <w:p w14:paraId="781CFEF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59.271</w:t>
            </w:r>
          </w:p>
        </w:tc>
        <w:tc>
          <w:tcPr>
            <w:tcW w:w="500" w:type="pct"/>
            <w:shd w:val="clear" w:color="000000" w:fill="auto"/>
            <w:noWrap/>
            <w:vAlign w:val="center"/>
            <w:hideMark/>
          </w:tcPr>
          <w:p w14:paraId="0B6DC5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20.004</w:t>
            </w:r>
          </w:p>
        </w:tc>
        <w:tc>
          <w:tcPr>
            <w:tcW w:w="500" w:type="pct"/>
            <w:shd w:val="clear" w:color="000000" w:fill="auto"/>
            <w:noWrap/>
            <w:vAlign w:val="center"/>
            <w:hideMark/>
          </w:tcPr>
          <w:p w14:paraId="0D3FEC0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13.338</w:t>
            </w:r>
          </w:p>
        </w:tc>
        <w:tc>
          <w:tcPr>
            <w:tcW w:w="500" w:type="pct"/>
            <w:shd w:val="clear" w:color="000000" w:fill="auto"/>
            <w:noWrap/>
            <w:vAlign w:val="center"/>
            <w:hideMark/>
          </w:tcPr>
          <w:p w14:paraId="684E27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735</w:t>
            </w:r>
          </w:p>
        </w:tc>
        <w:tc>
          <w:tcPr>
            <w:tcW w:w="500" w:type="pct"/>
            <w:shd w:val="clear" w:color="000000" w:fill="auto"/>
            <w:noWrap/>
            <w:vAlign w:val="center"/>
            <w:hideMark/>
          </w:tcPr>
          <w:p w14:paraId="1956CE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397</w:t>
            </w:r>
          </w:p>
        </w:tc>
        <w:tc>
          <w:tcPr>
            <w:tcW w:w="500" w:type="pct"/>
            <w:shd w:val="clear" w:color="000000" w:fill="auto"/>
            <w:noWrap/>
            <w:vAlign w:val="center"/>
            <w:hideMark/>
          </w:tcPr>
          <w:p w14:paraId="324F46C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34.474</w:t>
            </w:r>
          </w:p>
        </w:tc>
      </w:tr>
      <w:tr w:rsidR="00535FE1" w:rsidRPr="009054AA" w14:paraId="41726E66" w14:textId="77777777" w:rsidTr="00535FE1">
        <w:trPr>
          <w:trHeight w:val="290"/>
        </w:trPr>
        <w:tc>
          <w:tcPr>
            <w:tcW w:w="657" w:type="pct"/>
            <w:shd w:val="clear" w:color="000000" w:fill="auto"/>
            <w:noWrap/>
            <w:vAlign w:val="bottom"/>
            <w:hideMark/>
          </w:tcPr>
          <w:p w14:paraId="369B1FA9"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SE-N_44 </w:t>
            </w:r>
          </w:p>
        </w:tc>
        <w:tc>
          <w:tcPr>
            <w:tcW w:w="343" w:type="pct"/>
            <w:shd w:val="clear" w:color="000000" w:fill="auto"/>
            <w:noWrap/>
            <w:vAlign w:val="center"/>
            <w:hideMark/>
          </w:tcPr>
          <w:p w14:paraId="781A6B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28.268</w:t>
            </w:r>
          </w:p>
        </w:tc>
        <w:tc>
          <w:tcPr>
            <w:tcW w:w="500" w:type="pct"/>
            <w:shd w:val="clear" w:color="000000" w:fill="auto"/>
            <w:noWrap/>
            <w:vAlign w:val="center"/>
            <w:hideMark/>
          </w:tcPr>
          <w:p w14:paraId="28A9C6F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17.324</w:t>
            </w:r>
          </w:p>
        </w:tc>
        <w:tc>
          <w:tcPr>
            <w:tcW w:w="500" w:type="pct"/>
            <w:shd w:val="clear" w:color="000000" w:fill="auto"/>
            <w:noWrap/>
            <w:vAlign w:val="center"/>
            <w:hideMark/>
          </w:tcPr>
          <w:p w14:paraId="1442FA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18.848</w:t>
            </w:r>
          </w:p>
        </w:tc>
        <w:tc>
          <w:tcPr>
            <w:tcW w:w="500" w:type="pct"/>
            <w:shd w:val="clear" w:color="000000" w:fill="auto"/>
            <w:noWrap/>
            <w:vAlign w:val="center"/>
            <w:hideMark/>
          </w:tcPr>
          <w:p w14:paraId="688A210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64.441</w:t>
            </w:r>
          </w:p>
        </w:tc>
        <w:tc>
          <w:tcPr>
            <w:tcW w:w="500" w:type="pct"/>
            <w:shd w:val="clear" w:color="000000" w:fill="auto"/>
            <w:noWrap/>
            <w:vAlign w:val="center"/>
            <w:hideMark/>
          </w:tcPr>
          <w:p w14:paraId="1621484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32.976</w:t>
            </w:r>
          </w:p>
        </w:tc>
        <w:tc>
          <w:tcPr>
            <w:tcW w:w="500" w:type="pct"/>
            <w:shd w:val="clear" w:color="000000" w:fill="auto"/>
            <w:noWrap/>
            <w:vAlign w:val="center"/>
            <w:hideMark/>
          </w:tcPr>
          <w:p w14:paraId="15DEC3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17.121</w:t>
            </w:r>
          </w:p>
        </w:tc>
        <w:tc>
          <w:tcPr>
            <w:tcW w:w="500" w:type="pct"/>
            <w:shd w:val="clear" w:color="000000" w:fill="auto"/>
            <w:noWrap/>
            <w:vAlign w:val="center"/>
            <w:hideMark/>
          </w:tcPr>
          <w:p w14:paraId="1E1135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3.281</w:t>
            </w:r>
          </w:p>
        </w:tc>
        <w:tc>
          <w:tcPr>
            <w:tcW w:w="500" w:type="pct"/>
            <w:shd w:val="clear" w:color="000000" w:fill="auto"/>
            <w:noWrap/>
            <w:vAlign w:val="center"/>
            <w:hideMark/>
          </w:tcPr>
          <w:p w14:paraId="1530B8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861</w:t>
            </w:r>
          </w:p>
        </w:tc>
        <w:tc>
          <w:tcPr>
            <w:tcW w:w="500" w:type="pct"/>
            <w:shd w:val="clear" w:color="000000" w:fill="auto"/>
            <w:noWrap/>
            <w:vAlign w:val="center"/>
            <w:hideMark/>
          </w:tcPr>
          <w:p w14:paraId="092DE9E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54.239</w:t>
            </w:r>
          </w:p>
        </w:tc>
      </w:tr>
      <w:tr w:rsidR="00535FE1" w:rsidRPr="009054AA" w14:paraId="7754581A" w14:textId="77777777" w:rsidTr="00535FE1">
        <w:trPr>
          <w:trHeight w:val="290"/>
        </w:trPr>
        <w:tc>
          <w:tcPr>
            <w:tcW w:w="657" w:type="pct"/>
            <w:shd w:val="clear" w:color="000000" w:fill="auto"/>
            <w:noWrap/>
            <w:vAlign w:val="bottom"/>
            <w:hideMark/>
          </w:tcPr>
          <w:p w14:paraId="5E021D17"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SE-N_45 </w:t>
            </w:r>
          </w:p>
        </w:tc>
        <w:tc>
          <w:tcPr>
            <w:tcW w:w="343" w:type="pct"/>
            <w:shd w:val="clear" w:color="000000" w:fill="auto"/>
            <w:noWrap/>
            <w:vAlign w:val="center"/>
            <w:hideMark/>
          </w:tcPr>
          <w:p w14:paraId="1222D3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24.707</w:t>
            </w:r>
          </w:p>
        </w:tc>
        <w:tc>
          <w:tcPr>
            <w:tcW w:w="500" w:type="pct"/>
            <w:shd w:val="clear" w:color="000000" w:fill="auto"/>
            <w:noWrap/>
            <w:vAlign w:val="center"/>
            <w:hideMark/>
          </w:tcPr>
          <w:p w14:paraId="5D1D53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5.490</w:t>
            </w:r>
          </w:p>
        </w:tc>
        <w:tc>
          <w:tcPr>
            <w:tcW w:w="500" w:type="pct"/>
            <w:shd w:val="clear" w:color="000000" w:fill="auto"/>
            <w:noWrap/>
            <w:vAlign w:val="center"/>
            <w:hideMark/>
          </w:tcPr>
          <w:p w14:paraId="491B2B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2.357</w:t>
            </w:r>
          </w:p>
        </w:tc>
        <w:tc>
          <w:tcPr>
            <w:tcW w:w="500" w:type="pct"/>
            <w:shd w:val="clear" w:color="000000" w:fill="auto"/>
            <w:noWrap/>
            <w:vAlign w:val="center"/>
            <w:hideMark/>
          </w:tcPr>
          <w:p w14:paraId="325DE15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32.555</w:t>
            </w:r>
          </w:p>
        </w:tc>
        <w:tc>
          <w:tcPr>
            <w:tcW w:w="500" w:type="pct"/>
            <w:shd w:val="clear" w:color="000000" w:fill="auto"/>
            <w:noWrap/>
            <w:vAlign w:val="center"/>
            <w:hideMark/>
          </w:tcPr>
          <w:p w14:paraId="5699CF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8.030</w:t>
            </w:r>
          </w:p>
        </w:tc>
        <w:tc>
          <w:tcPr>
            <w:tcW w:w="500" w:type="pct"/>
            <w:shd w:val="clear" w:color="000000" w:fill="auto"/>
            <w:noWrap/>
            <w:vAlign w:val="center"/>
            <w:hideMark/>
          </w:tcPr>
          <w:p w14:paraId="65C48F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5.354</w:t>
            </w:r>
          </w:p>
        </w:tc>
        <w:tc>
          <w:tcPr>
            <w:tcW w:w="500" w:type="pct"/>
            <w:shd w:val="clear" w:color="000000" w:fill="auto"/>
            <w:noWrap/>
            <w:vAlign w:val="center"/>
            <w:hideMark/>
          </w:tcPr>
          <w:p w14:paraId="40B8B6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295</w:t>
            </w:r>
          </w:p>
        </w:tc>
        <w:tc>
          <w:tcPr>
            <w:tcW w:w="500" w:type="pct"/>
            <w:shd w:val="clear" w:color="000000" w:fill="auto"/>
            <w:noWrap/>
            <w:vAlign w:val="center"/>
            <w:hideMark/>
          </w:tcPr>
          <w:p w14:paraId="094CE92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159</w:t>
            </w:r>
          </w:p>
        </w:tc>
        <w:tc>
          <w:tcPr>
            <w:tcW w:w="500" w:type="pct"/>
            <w:shd w:val="clear" w:color="000000" w:fill="auto"/>
            <w:noWrap/>
            <w:vAlign w:val="center"/>
            <w:hideMark/>
          </w:tcPr>
          <w:p w14:paraId="66982F1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13.839</w:t>
            </w:r>
          </w:p>
        </w:tc>
      </w:tr>
      <w:tr w:rsidR="00535FE1" w:rsidRPr="009054AA" w14:paraId="00F5C958" w14:textId="77777777" w:rsidTr="00535FE1">
        <w:trPr>
          <w:trHeight w:val="290"/>
        </w:trPr>
        <w:tc>
          <w:tcPr>
            <w:tcW w:w="657" w:type="pct"/>
            <w:shd w:val="clear" w:color="000000" w:fill="auto"/>
            <w:noWrap/>
            <w:vAlign w:val="bottom"/>
            <w:hideMark/>
          </w:tcPr>
          <w:p w14:paraId="79C4E536"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SE-N_46 </w:t>
            </w:r>
          </w:p>
        </w:tc>
        <w:tc>
          <w:tcPr>
            <w:tcW w:w="343" w:type="pct"/>
            <w:shd w:val="clear" w:color="000000" w:fill="auto"/>
            <w:noWrap/>
            <w:vAlign w:val="center"/>
            <w:hideMark/>
          </w:tcPr>
          <w:p w14:paraId="119A4D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36.858</w:t>
            </w:r>
          </w:p>
        </w:tc>
        <w:tc>
          <w:tcPr>
            <w:tcW w:w="500" w:type="pct"/>
            <w:shd w:val="clear" w:color="000000" w:fill="auto"/>
            <w:noWrap/>
            <w:vAlign w:val="center"/>
            <w:hideMark/>
          </w:tcPr>
          <w:p w14:paraId="67ABE9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7.999</w:t>
            </w:r>
          </w:p>
        </w:tc>
        <w:tc>
          <w:tcPr>
            <w:tcW w:w="500" w:type="pct"/>
            <w:shd w:val="clear" w:color="000000" w:fill="auto"/>
            <w:noWrap/>
            <w:vAlign w:val="center"/>
            <w:hideMark/>
          </w:tcPr>
          <w:p w14:paraId="491FC4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8.703</w:t>
            </w:r>
          </w:p>
        </w:tc>
        <w:tc>
          <w:tcPr>
            <w:tcW w:w="500" w:type="pct"/>
            <w:shd w:val="clear" w:color="000000" w:fill="auto"/>
            <w:noWrap/>
            <w:vAlign w:val="center"/>
            <w:hideMark/>
          </w:tcPr>
          <w:p w14:paraId="62B66F6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53.560</w:t>
            </w:r>
          </w:p>
        </w:tc>
        <w:tc>
          <w:tcPr>
            <w:tcW w:w="500" w:type="pct"/>
            <w:shd w:val="clear" w:color="000000" w:fill="auto"/>
            <w:noWrap/>
            <w:vAlign w:val="center"/>
            <w:hideMark/>
          </w:tcPr>
          <w:p w14:paraId="0BDBC5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15.226</w:t>
            </w:r>
          </w:p>
        </w:tc>
        <w:tc>
          <w:tcPr>
            <w:tcW w:w="500" w:type="pct"/>
            <w:shd w:val="clear" w:color="000000" w:fill="auto"/>
            <w:noWrap/>
            <w:vAlign w:val="center"/>
            <w:hideMark/>
          </w:tcPr>
          <w:p w14:paraId="0932346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7.905</w:t>
            </w:r>
          </w:p>
        </w:tc>
        <w:tc>
          <w:tcPr>
            <w:tcW w:w="500" w:type="pct"/>
            <w:shd w:val="clear" w:color="000000" w:fill="auto"/>
            <w:noWrap/>
            <w:vAlign w:val="center"/>
            <w:hideMark/>
          </w:tcPr>
          <w:p w14:paraId="6612122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1.515</w:t>
            </w:r>
          </w:p>
        </w:tc>
        <w:tc>
          <w:tcPr>
            <w:tcW w:w="500" w:type="pct"/>
            <w:shd w:val="clear" w:color="000000" w:fill="auto"/>
            <w:noWrap/>
            <w:vAlign w:val="center"/>
            <w:hideMark/>
          </w:tcPr>
          <w:p w14:paraId="5E4FA38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398</w:t>
            </w:r>
          </w:p>
        </w:tc>
        <w:tc>
          <w:tcPr>
            <w:tcW w:w="500" w:type="pct"/>
            <w:shd w:val="clear" w:color="000000" w:fill="auto"/>
            <w:noWrap/>
            <w:vAlign w:val="center"/>
            <w:hideMark/>
          </w:tcPr>
          <w:p w14:paraId="304277A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25.044</w:t>
            </w:r>
          </w:p>
        </w:tc>
      </w:tr>
      <w:tr w:rsidR="00535FE1" w:rsidRPr="009054AA" w14:paraId="4CDAB638" w14:textId="77777777" w:rsidTr="00535FE1">
        <w:trPr>
          <w:trHeight w:val="290"/>
        </w:trPr>
        <w:tc>
          <w:tcPr>
            <w:tcW w:w="657" w:type="pct"/>
            <w:shd w:val="clear" w:color="000000" w:fill="auto"/>
            <w:noWrap/>
            <w:vAlign w:val="bottom"/>
            <w:hideMark/>
          </w:tcPr>
          <w:p w14:paraId="7039EFD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SE-N_47 </w:t>
            </w:r>
          </w:p>
        </w:tc>
        <w:tc>
          <w:tcPr>
            <w:tcW w:w="343" w:type="pct"/>
            <w:shd w:val="clear" w:color="000000" w:fill="auto"/>
            <w:noWrap/>
            <w:vAlign w:val="center"/>
            <w:hideMark/>
          </w:tcPr>
          <w:p w14:paraId="79B3C24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17.124</w:t>
            </w:r>
          </w:p>
        </w:tc>
        <w:tc>
          <w:tcPr>
            <w:tcW w:w="500" w:type="pct"/>
            <w:shd w:val="clear" w:color="000000" w:fill="auto"/>
            <w:noWrap/>
            <w:vAlign w:val="center"/>
            <w:hideMark/>
          </w:tcPr>
          <w:p w14:paraId="003137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4.162</w:t>
            </w:r>
          </w:p>
        </w:tc>
        <w:tc>
          <w:tcPr>
            <w:tcW w:w="500" w:type="pct"/>
            <w:shd w:val="clear" w:color="000000" w:fill="auto"/>
            <w:noWrap/>
            <w:vAlign w:val="center"/>
            <w:hideMark/>
          </w:tcPr>
          <w:p w14:paraId="7B1E65E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2.139</w:t>
            </w:r>
          </w:p>
        </w:tc>
        <w:tc>
          <w:tcPr>
            <w:tcW w:w="500" w:type="pct"/>
            <w:shd w:val="clear" w:color="000000" w:fill="auto"/>
            <w:noWrap/>
            <w:vAlign w:val="center"/>
            <w:hideMark/>
          </w:tcPr>
          <w:p w14:paraId="5839383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23.425</w:t>
            </w:r>
          </w:p>
        </w:tc>
        <w:tc>
          <w:tcPr>
            <w:tcW w:w="500" w:type="pct"/>
            <w:shd w:val="clear" w:color="000000" w:fill="auto"/>
            <w:noWrap/>
            <w:vAlign w:val="center"/>
            <w:hideMark/>
          </w:tcPr>
          <w:p w14:paraId="262EC5F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3.055</w:t>
            </w:r>
          </w:p>
        </w:tc>
        <w:tc>
          <w:tcPr>
            <w:tcW w:w="500" w:type="pct"/>
            <w:shd w:val="clear" w:color="000000" w:fill="auto"/>
            <w:noWrap/>
            <w:vAlign w:val="center"/>
            <w:hideMark/>
          </w:tcPr>
          <w:p w14:paraId="6B6E483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4.071</w:t>
            </w:r>
          </w:p>
        </w:tc>
        <w:tc>
          <w:tcPr>
            <w:tcW w:w="500" w:type="pct"/>
            <w:shd w:val="clear" w:color="000000" w:fill="auto"/>
            <w:noWrap/>
            <w:vAlign w:val="center"/>
            <w:hideMark/>
          </w:tcPr>
          <w:p w14:paraId="00D6110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355</w:t>
            </w:r>
          </w:p>
        </w:tc>
        <w:tc>
          <w:tcPr>
            <w:tcW w:w="500" w:type="pct"/>
            <w:shd w:val="clear" w:color="000000" w:fill="auto"/>
            <w:noWrap/>
            <w:vAlign w:val="center"/>
            <w:hideMark/>
          </w:tcPr>
          <w:p w14:paraId="2F57C3F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w:t>
            </w:r>
          </w:p>
        </w:tc>
        <w:tc>
          <w:tcPr>
            <w:tcW w:w="500" w:type="pct"/>
            <w:shd w:val="clear" w:color="000000" w:fill="auto"/>
            <w:noWrap/>
            <w:vAlign w:val="center"/>
            <w:hideMark/>
          </w:tcPr>
          <w:p w14:paraId="5505715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7.621</w:t>
            </w:r>
          </w:p>
        </w:tc>
      </w:tr>
      <w:tr w:rsidR="00535FE1" w:rsidRPr="009054AA" w14:paraId="2E8528EE" w14:textId="77777777" w:rsidTr="00535FE1">
        <w:trPr>
          <w:trHeight w:val="290"/>
        </w:trPr>
        <w:tc>
          <w:tcPr>
            <w:tcW w:w="657" w:type="pct"/>
            <w:shd w:val="clear" w:color="000000" w:fill="auto"/>
            <w:noWrap/>
            <w:vAlign w:val="bottom"/>
            <w:hideMark/>
          </w:tcPr>
          <w:p w14:paraId="7D8D51C4"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SE-N_48 </w:t>
            </w:r>
          </w:p>
        </w:tc>
        <w:tc>
          <w:tcPr>
            <w:tcW w:w="343" w:type="pct"/>
            <w:shd w:val="clear" w:color="000000" w:fill="auto"/>
            <w:noWrap/>
            <w:vAlign w:val="center"/>
            <w:hideMark/>
          </w:tcPr>
          <w:p w14:paraId="3186BA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38.094</w:t>
            </w:r>
          </w:p>
        </w:tc>
        <w:tc>
          <w:tcPr>
            <w:tcW w:w="500" w:type="pct"/>
            <w:shd w:val="clear" w:color="000000" w:fill="auto"/>
            <w:noWrap/>
            <w:vAlign w:val="center"/>
            <w:hideMark/>
          </w:tcPr>
          <w:p w14:paraId="18B622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4.375</w:t>
            </w:r>
          </w:p>
        </w:tc>
        <w:tc>
          <w:tcPr>
            <w:tcW w:w="500" w:type="pct"/>
            <w:shd w:val="clear" w:color="000000" w:fill="auto"/>
            <w:noWrap/>
            <w:vAlign w:val="center"/>
            <w:hideMark/>
          </w:tcPr>
          <w:p w14:paraId="1E4514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2.249</w:t>
            </w:r>
          </w:p>
        </w:tc>
        <w:tc>
          <w:tcPr>
            <w:tcW w:w="500" w:type="pct"/>
            <w:shd w:val="clear" w:color="000000" w:fill="auto"/>
            <w:noWrap/>
            <w:vAlign w:val="center"/>
            <w:hideMark/>
          </w:tcPr>
          <w:p w14:paraId="5B24F3A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44.718</w:t>
            </w:r>
          </w:p>
        </w:tc>
        <w:tc>
          <w:tcPr>
            <w:tcW w:w="500" w:type="pct"/>
            <w:shd w:val="clear" w:color="000000" w:fill="auto"/>
            <w:noWrap/>
            <w:vAlign w:val="center"/>
            <w:hideMark/>
          </w:tcPr>
          <w:p w14:paraId="33A4CC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3.211</w:t>
            </w:r>
          </w:p>
        </w:tc>
        <w:tc>
          <w:tcPr>
            <w:tcW w:w="500" w:type="pct"/>
            <w:shd w:val="clear" w:color="000000" w:fill="auto"/>
            <w:noWrap/>
            <w:vAlign w:val="center"/>
            <w:hideMark/>
          </w:tcPr>
          <w:p w14:paraId="544EBA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4.280</w:t>
            </w:r>
          </w:p>
        </w:tc>
        <w:tc>
          <w:tcPr>
            <w:tcW w:w="500" w:type="pct"/>
            <w:shd w:val="clear" w:color="000000" w:fill="auto"/>
            <w:noWrap/>
            <w:vAlign w:val="center"/>
            <w:hideMark/>
          </w:tcPr>
          <w:p w14:paraId="6B5E9CD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374</w:t>
            </w:r>
          </w:p>
        </w:tc>
        <w:tc>
          <w:tcPr>
            <w:tcW w:w="500" w:type="pct"/>
            <w:shd w:val="clear" w:color="000000" w:fill="auto"/>
            <w:noWrap/>
            <w:vAlign w:val="center"/>
            <w:hideMark/>
          </w:tcPr>
          <w:p w14:paraId="27B4603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147</w:t>
            </w:r>
          </w:p>
        </w:tc>
        <w:tc>
          <w:tcPr>
            <w:tcW w:w="500" w:type="pct"/>
            <w:shd w:val="clear" w:color="000000" w:fill="auto"/>
            <w:noWrap/>
            <w:vAlign w:val="center"/>
            <w:hideMark/>
          </w:tcPr>
          <w:p w14:paraId="4DDCE68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8.012</w:t>
            </w:r>
          </w:p>
        </w:tc>
      </w:tr>
      <w:tr w:rsidR="00535FE1" w:rsidRPr="009054AA" w14:paraId="0C13889D" w14:textId="77777777" w:rsidTr="00535FE1">
        <w:trPr>
          <w:trHeight w:val="290"/>
        </w:trPr>
        <w:tc>
          <w:tcPr>
            <w:tcW w:w="657" w:type="pct"/>
            <w:shd w:val="clear" w:color="000000" w:fill="auto"/>
            <w:noWrap/>
            <w:vAlign w:val="bottom"/>
            <w:hideMark/>
          </w:tcPr>
          <w:p w14:paraId="45800269"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SE-N_50 </w:t>
            </w:r>
          </w:p>
        </w:tc>
        <w:tc>
          <w:tcPr>
            <w:tcW w:w="343" w:type="pct"/>
            <w:shd w:val="clear" w:color="000000" w:fill="auto"/>
            <w:noWrap/>
            <w:vAlign w:val="center"/>
            <w:hideMark/>
          </w:tcPr>
          <w:p w14:paraId="5AE948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42.853</w:t>
            </w:r>
          </w:p>
        </w:tc>
        <w:tc>
          <w:tcPr>
            <w:tcW w:w="500" w:type="pct"/>
            <w:shd w:val="clear" w:color="000000" w:fill="auto"/>
            <w:noWrap/>
            <w:vAlign w:val="center"/>
            <w:hideMark/>
          </w:tcPr>
          <w:p w14:paraId="429774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37.775</w:t>
            </w:r>
          </w:p>
        </w:tc>
        <w:tc>
          <w:tcPr>
            <w:tcW w:w="500" w:type="pct"/>
            <w:shd w:val="clear" w:color="000000" w:fill="auto"/>
            <w:noWrap/>
            <w:vAlign w:val="center"/>
            <w:hideMark/>
          </w:tcPr>
          <w:p w14:paraId="476746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16.220</w:t>
            </w:r>
          </w:p>
        </w:tc>
        <w:tc>
          <w:tcPr>
            <w:tcW w:w="500" w:type="pct"/>
            <w:shd w:val="clear" w:color="000000" w:fill="auto"/>
            <w:noWrap/>
            <w:vAlign w:val="center"/>
            <w:hideMark/>
          </w:tcPr>
          <w:p w14:paraId="600247D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96.848</w:t>
            </w:r>
          </w:p>
        </w:tc>
        <w:tc>
          <w:tcPr>
            <w:tcW w:w="500" w:type="pct"/>
            <w:shd w:val="clear" w:color="000000" w:fill="auto"/>
            <w:noWrap/>
            <w:vAlign w:val="center"/>
            <w:hideMark/>
          </w:tcPr>
          <w:p w14:paraId="528B64A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55.249</w:t>
            </w:r>
          </w:p>
        </w:tc>
        <w:tc>
          <w:tcPr>
            <w:tcW w:w="500" w:type="pct"/>
            <w:shd w:val="clear" w:color="000000" w:fill="auto"/>
            <w:noWrap/>
            <w:vAlign w:val="center"/>
            <w:hideMark/>
          </w:tcPr>
          <w:p w14:paraId="48A0B7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36.839</w:t>
            </w:r>
          </w:p>
        </w:tc>
        <w:tc>
          <w:tcPr>
            <w:tcW w:w="500" w:type="pct"/>
            <w:shd w:val="clear" w:color="000000" w:fill="auto"/>
            <w:noWrap/>
            <w:vAlign w:val="center"/>
            <w:hideMark/>
          </w:tcPr>
          <w:p w14:paraId="58A7C8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2.029</w:t>
            </w:r>
          </w:p>
        </w:tc>
        <w:tc>
          <w:tcPr>
            <w:tcW w:w="500" w:type="pct"/>
            <w:shd w:val="clear" w:color="000000" w:fill="auto"/>
            <w:noWrap/>
            <w:vAlign w:val="center"/>
            <w:hideMark/>
          </w:tcPr>
          <w:p w14:paraId="37D1FB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1.096</w:t>
            </w:r>
          </w:p>
        </w:tc>
        <w:tc>
          <w:tcPr>
            <w:tcW w:w="500" w:type="pct"/>
            <w:shd w:val="clear" w:color="000000" w:fill="auto"/>
            <w:noWrap/>
            <w:vAlign w:val="center"/>
            <w:hideMark/>
          </w:tcPr>
          <w:p w14:paraId="0DAB9F8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95.213</w:t>
            </w:r>
          </w:p>
        </w:tc>
      </w:tr>
      <w:tr w:rsidR="00535FE1" w:rsidRPr="009054AA" w14:paraId="5066DB80" w14:textId="77777777" w:rsidTr="00535FE1">
        <w:trPr>
          <w:trHeight w:val="290"/>
        </w:trPr>
        <w:tc>
          <w:tcPr>
            <w:tcW w:w="657" w:type="pct"/>
            <w:shd w:val="clear" w:color="000000" w:fill="auto"/>
            <w:noWrap/>
            <w:vAlign w:val="bottom"/>
            <w:hideMark/>
          </w:tcPr>
          <w:p w14:paraId="646C9399"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SE-N_51 </w:t>
            </w:r>
          </w:p>
        </w:tc>
        <w:tc>
          <w:tcPr>
            <w:tcW w:w="343" w:type="pct"/>
            <w:shd w:val="clear" w:color="000000" w:fill="auto"/>
            <w:noWrap/>
            <w:vAlign w:val="center"/>
            <w:hideMark/>
          </w:tcPr>
          <w:p w14:paraId="3467470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32.372</w:t>
            </w:r>
          </w:p>
        </w:tc>
        <w:tc>
          <w:tcPr>
            <w:tcW w:w="500" w:type="pct"/>
            <w:shd w:val="clear" w:color="000000" w:fill="auto"/>
            <w:noWrap/>
            <w:vAlign w:val="center"/>
            <w:hideMark/>
          </w:tcPr>
          <w:p w14:paraId="791B8C7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17.180</w:t>
            </w:r>
          </w:p>
        </w:tc>
        <w:tc>
          <w:tcPr>
            <w:tcW w:w="500" w:type="pct"/>
            <w:shd w:val="clear" w:color="000000" w:fill="auto"/>
            <w:noWrap/>
            <w:vAlign w:val="center"/>
            <w:hideMark/>
          </w:tcPr>
          <w:p w14:paraId="30E967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18.691</w:t>
            </w:r>
          </w:p>
        </w:tc>
        <w:tc>
          <w:tcPr>
            <w:tcW w:w="500" w:type="pct"/>
            <w:shd w:val="clear" w:color="000000" w:fill="auto"/>
            <w:noWrap/>
            <w:vAlign w:val="center"/>
            <w:hideMark/>
          </w:tcPr>
          <w:p w14:paraId="0540464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68.243</w:t>
            </w:r>
          </w:p>
        </w:tc>
        <w:tc>
          <w:tcPr>
            <w:tcW w:w="500" w:type="pct"/>
            <w:shd w:val="clear" w:color="000000" w:fill="auto"/>
            <w:noWrap/>
            <w:vAlign w:val="center"/>
            <w:hideMark/>
          </w:tcPr>
          <w:p w14:paraId="0DD579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32.702</w:t>
            </w:r>
          </w:p>
        </w:tc>
        <w:tc>
          <w:tcPr>
            <w:tcW w:w="500" w:type="pct"/>
            <w:shd w:val="clear" w:color="000000" w:fill="auto"/>
            <w:noWrap/>
            <w:vAlign w:val="center"/>
            <w:hideMark/>
          </w:tcPr>
          <w:p w14:paraId="51AD62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16.978</w:t>
            </w:r>
          </w:p>
        </w:tc>
        <w:tc>
          <w:tcPr>
            <w:tcW w:w="500" w:type="pct"/>
            <w:shd w:val="clear" w:color="000000" w:fill="auto"/>
            <w:noWrap/>
            <w:vAlign w:val="center"/>
            <w:hideMark/>
          </w:tcPr>
          <w:p w14:paraId="039CD3A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3.254</w:t>
            </w:r>
          </w:p>
        </w:tc>
        <w:tc>
          <w:tcPr>
            <w:tcW w:w="500" w:type="pct"/>
            <w:shd w:val="clear" w:color="000000" w:fill="auto"/>
            <w:noWrap/>
            <w:vAlign w:val="center"/>
            <w:hideMark/>
          </w:tcPr>
          <w:p w14:paraId="3270B66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854</w:t>
            </w:r>
          </w:p>
        </w:tc>
        <w:tc>
          <w:tcPr>
            <w:tcW w:w="500" w:type="pct"/>
            <w:shd w:val="clear" w:color="000000" w:fill="auto"/>
            <w:noWrap/>
            <w:vAlign w:val="center"/>
            <w:hideMark/>
          </w:tcPr>
          <w:p w14:paraId="2912C6F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53.788</w:t>
            </w:r>
          </w:p>
        </w:tc>
      </w:tr>
      <w:tr w:rsidR="00535FE1" w:rsidRPr="009054AA" w14:paraId="591FBEBC" w14:textId="77777777" w:rsidTr="00535FE1">
        <w:trPr>
          <w:trHeight w:val="290"/>
        </w:trPr>
        <w:tc>
          <w:tcPr>
            <w:tcW w:w="657" w:type="pct"/>
            <w:shd w:val="clear" w:color="000000" w:fill="auto"/>
            <w:noWrap/>
            <w:vAlign w:val="bottom"/>
            <w:hideMark/>
          </w:tcPr>
          <w:p w14:paraId="14FF9013"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SE-N_53 </w:t>
            </w:r>
          </w:p>
        </w:tc>
        <w:tc>
          <w:tcPr>
            <w:tcW w:w="343" w:type="pct"/>
            <w:shd w:val="clear" w:color="000000" w:fill="auto"/>
            <w:noWrap/>
            <w:vAlign w:val="center"/>
            <w:hideMark/>
          </w:tcPr>
          <w:p w14:paraId="2B46E2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35.979</w:t>
            </w:r>
          </w:p>
        </w:tc>
        <w:tc>
          <w:tcPr>
            <w:tcW w:w="500" w:type="pct"/>
            <w:shd w:val="clear" w:color="000000" w:fill="auto"/>
            <w:noWrap/>
            <w:vAlign w:val="center"/>
            <w:hideMark/>
          </w:tcPr>
          <w:p w14:paraId="59787B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2.613</w:t>
            </w:r>
          </w:p>
        </w:tc>
        <w:tc>
          <w:tcPr>
            <w:tcW w:w="500" w:type="pct"/>
            <w:shd w:val="clear" w:color="000000" w:fill="auto"/>
            <w:noWrap/>
            <w:vAlign w:val="center"/>
            <w:hideMark/>
          </w:tcPr>
          <w:p w14:paraId="7E31C4A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1.122</w:t>
            </w:r>
          </w:p>
        </w:tc>
        <w:tc>
          <w:tcPr>
            <w:tcW w:w="500" w:type="pct"/>
            <w:shd w:val="clear" w:color="000000" w:fill="auto"/>
            <w:noWrap/>
            <w:vAlign w:val="center"/>
            <w:hideMark/>
          </w:tcPr>
          <w:p w14:paraId="565142E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39.714</w:t>
            </w:r>
          </w:p>
        </w:tc>
        <w:tc>
          <w:tcPr>
            <w:tcW w:w="500" w:type="pct"/>
            <w:shd w:val="clear" w:color="000000" w:fill="auto"/>
            <w:noWrap/>
            <w:vAlign w:val="center"/>
            <w:hideMark/>
          </w:tcPr>
          <w:p w14:paraId="06819AC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3.822</w:t>
            </w:r>
          </w:p>
        </w:tc>
        <w:tc>
          <w:tcPr>
            <w:tcW w:w="500" w:type="pct"/>
            <w:shd w:val="clear" w:color="000000" w:fill="auto"/>
            <w:noWrap/>
            <w:vAlign w:val="center"/>
            <w:hideMark/>
          </w:tcPr>
          <w:p w14:paraId="351B70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2.549</w:t>
            </w:r>
          </w:p>
        </w:tc>
        <w:tc>
          <w:tcPr>
            <w:tcW w:w="500" w:type="pct"/>
            <w:shd w:val="clear" w:color="000000" w:fill="auto"/>
            <w:noWrap/>
            <w:vAlign w:val="center"/>
            <w:hideMark/>
          </w:tcPr>
          <w:p w14:paraId="78B7BE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w:t>
            </w:r>
          </w:p>
        </w:tc>
        <w:tc>
          <w:tcPr>
            <w:tcW w:w="500" w:type="pct"/>
            <w:shd w:val="clear" w:color="000000" w:fill="auto"/>
            <w:noWrap/>
            <w:vAlign w:val="center"/>
            <w:hideMark/>
          </w:tcPr>
          <w:p w14:paraId="3C1EE82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w:t>
            </w:r>
          </w:p>
        </w:tc>
        <w:tc>
          <w:tcPr>
            <w:tcW w:w="500" w:type="pct"/>
            <w:shd w:val="clear" w:color="000000" w:fill="auto"/>
            <w:noWrap/>
            <w:vAlign w:val="center"/>
            <w:hideMark/>
          </w:tcPr>
          <w:p w14:paraId="08BD16C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6.587</w:t>
            </w:r>
          </w:p>
        </w:tc>
      </w:tr>
      <w:tr w:rsidR="00535FE1" w:rsidRPr="009054AA" w14:paraId="59B3EA83" w14:textId="77777777" w:rsidTr="00535FE1">
        <w:trPr>
          <w:trHeight w:val="290"/>
        </w:trPr>
        <w:tc>
          <w:tcPr>
            <w:tcW w:w="657" w:type="pct"/>
            <w:shd w:val="clear" w:color="000000" w:fill="auto"/>
            <w:noWrap/>
            <w:vAlign w:val="bottom"/>
            <w:hideMark/>
          </w:tcPr>
          <w:p w14:paraId="31E52876"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SE-N_54 </w:t>
            </w:r>
          </w:p>
        </w:tc>
        <w:tc>
          <w:tcPr>
            <w:tcW w:w="343" w:type="pct"/>
            <w:shd w:val="clear" w:color="000000" w:fill="auto"/>
            <w:noWrap/>
            <w:vAlign w:val="center"/>
            <w:hideMark/>
          </w:tcPr>
          <w:p w14:paraId="3F4DFB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202.993</w:t>
            </w:r>
          </w:p>
        </w:tc>
        <w:tc>
          <w:tcPr>
            <w:tcW w:w="500" w:type="pct"/>
            <w:shd w:val="clear" w:color="000000" w:fill="auto"/>
            <w:noWrap/>
            <w:vAlign w:val="center"/>
            <w:hideMark/>
          </w:tcPr>
          <w:p w14:paraId="2DB646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112.094</w:t>
            </w:r>
          </w:p>
        </w:tc>
        <w:tc>
          <w:tcPr>
            <w:tcW w:w="500" w:type="pct"/>
            <w:shd w:val="clear" w:color="000000" w:fill="auto"/>
            <w:noWrap/>
            <w:vAlign w:val="center"/>
            <w:hideMark/>
          </w:tcPr>
          <w:p w14:paraId="44A93C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48.131</w:t>
            </w:r>
          </w:p>
        </w:tc>
        <w:tc>
          <w:tcPr>
            <w:tcW w:w="500" w:type="pct"/>
            <w:shd w:val="clear" w:color="000000" w:fill="auto"/>
            <w:noWrap/>
            <w:vAlign w:val="center"/>
            <w:hideMark/>
          </w:tcPr>
          <w:p w14:paraId="2B934DC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363.219</w:t>
            </w:r>
          </w:p>
        </w:tc>
        <w:tc>
          <w:tcPr>
            <w:tcW w:w="500" w:type="pct"/>
            <w:shd w:val="clear" w:color="000000" w:fill="auto"/>
            <w:noWrap/>
            <w:vAlign w:val="center"/>
            <w:hideMark/>
          </w:tcPr>
          <w:p w14:paraId="4D1AB0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163.949</w:t>
            </w:r>
          </w:p>
        </w:tc>
        <w:tc>
          <w:tcPr>
            <w:tcW w:w="500" w:type="pct"/>
            <w:shd w:val="clear" w:color="000000" w:fill="auto"/>
            <w:noWrap/>
            <w:vAlign w:val="center"/>
            <w:hideMark/>
          </w:tcPr>
          <w:p w14:paraId="13E062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109.316</w:t>
            </w:r>
          </w:p>
        </w:tc>
        <w:tc>
          <w:tcPr>
            <w:tcW w:w="500" w:type="pct"/>
            <w:shd w:val="clear" w:color="000000" w:fill="auto"/>
            <w:noWrap/>
            <w:vAlign w:val="center"/>
            <w:hideMark/>
          </w:tcPr>
          <w:p w14:paraId="221E4E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6.021</w:t>
            </w:r>
          </w:p>
        </w:tc>
        <w:tc>
          <w:tcPr>
            <w:tcW w:w="500" w:type="pct"/>
            <w:shd w:val="clear" w:color="000000" w:fill="auto"/>
            <w:noWrap/>
            <w:vAlign w:val="center"/>
            <w:hideMark/>
          </w:tcPr>
          <w:p w14:paraId="7FAB3E0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3.251</w:t>
            </w:r>
          </w:p>
        </w:tc>
        <w:tc>
          <w:tcPr>
            <w:tcW w:w="500" w:type="pct"/>
            <w:shd w:val="clear" w:color="000000" w:fill="auto"/>
            <w:noWrap/>
            <w:vAlign w:val="center"/>
            <w:hideMark/>
          </w:tcPr>
          <w:p w14:paraId="6776F57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282.537</w:t>
            </w:r>
          </w:p>
        </w:tc>
      </w:tr>
      <w:tr w:rsidR="00535FE1" w:rsidRPr="009054AA" w14:paraId="1832FF94" w14:textId="77777777" w:rsidTr="00535FE1">
        <w:trPr>
          <w:trHeight w:val="290"/>
        </w:trPr>
        <w:tc>
          <w:tcPr>
            <w:tcW w:w="657" w:type="pct"/>
            <w:shd w:val="clear" w:color="000000" w:fill="auto"/>
            <w:noWrap/>
            <w:vAlign w:val="bottom"/>
            <w:hideMark/>
          </w:tcPr>
          <w:p w14:paraId="66388F56"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SE-N_55 </w:t>
            </w:r>
          </w:p>
        </w:tc>
        <w:tc>
          <w:tcPr>
            <w:tcW w:w="343" w:type="pct"/>
            <w:shd w:val="clear" w:color="000000" w:fill="auto"/>
            <w:noWrap/>
            <w:vAlign w:val="center"/>
            <w:hideMark/>
          </w:tcPr>
          <w:p w14:paraId="22DFB7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44.415</w:t>
            </w:r>
          </w:p>
        </w:tc>
        <w:tc>
          <w:tcPr>
            <w:tcW w:w="500" w:type="pct"/>
            <w:shd w:val="clear" w:color="000000" w:fill="auto"/>
            <w:noWrap/>
            <w:vAlign w:val="center"/>
            <w:hideMark/>
          </w:tcPr>
          <w:p w14:paraId="7B981A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13.942</w:t>
            </w:r>
          </w:p>
        </w:tc>
        <w:tc>
          <w:tcPr>
            <w:tcW w:w="500" w:type="pct"/>
            <w:shd w:val="clear" w:color="000000" w:fill="auto"/>
            <w:noWrap/>
            <w:vAlign w:val="center"/>
            <w:hideMark/>
          </w:tcPr>
          <w:p w14:paraId="152E7F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5.986</w:t>
            </w:r>
          </w:p>
        </w:tc>
        <w:tc>
          <w:tcPr>
            <w:tcW w:w="500" w:type="pct"/>
            <w:shd w:val="clear" w:color="000000" w:fill="auto"/>
            <w:noWrap/>
            <w:vAlign w:val="center"/>
            <w:hideMark/>
          </w:tcPr>
          <w:p w14:paraId="33D308C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64.343</w:t>
            </w:r>
          </w:p>
        </w:tc>
        <w:tc>
          <w:tcPr>
            <w:tcW w:w="500" w:type="pct"/>
            <w:shd w:val="clear" w:color="000000" w:fill="auto"/>
            <w:noWrap/>
            <w:vAlign w:val="center"/>
            <w:hideMark/>
          </w:tcPr>
          <w:p w14:paraId="4204325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20.391</w:t>
            </w:r>
          </w:p>
        </w:tc>
        <w:tc>
          <w:tcPr>
            <w:tcW w:w="500" w:type="pct"/>
            <w:shd w:val="clear" w:color="000000" w:fill="auto"/>
            <w:noWrap/>
            <w:vAlign w:val="center"/>
            <w:hideMark/>
          </w:tcPr>
          <w:p w14:paraId="360C76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13.596</w:t>
            </w:r>
          </w:p>
        </w:tc>
        <w:tc>
          <w:tcPr>
            <w:tcW w:w="500" w:type="pct"/>
            <w:shd w:val="clear" w:color="000000" w:fill="auto"/>
            <w:noWrap/>
            <w:vAlign w:val="center"/>
            <w:hideMark/>
          </w:tcPr>
          <w:p w14:paraId="17362A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749</w:t>
            </w:r>
          </w:p>
        </w:tc>
        <w:tc>
          <w:tcPr>
            <w:tcW w:w="500" w:type="pct"/>
            <w:shd w:val="clear" w:color="000000" w:fill="auto"/>
            <w:noWrap/>
            <w:vAlign w:val="center"/>
            <w:hideMark/>
          </w:tcPr>
          <w:p w14:paraId="13FFD7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404</w:t>
            </w:r>
          </w:p>
        </w:tc>
        <w:tc>
          <w:tcPr>
            <w:tcW w:w="500" w:type="pct"/>
            <w:shd w:val="clear" w:color="000000" w:fill="auto"/>
            <w:noWrap/>
            <w:vAlign w:val="center"/>
            <w:hideMark/>
          </w:tcPr>
          <w:p w14:paraId="59010BE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35.140</w:t>
            </w:r>
          </w:p>
        </w:tc>
      </w:tr>
      <w:tr w:rsidR="00535FE1" w:rsidRPr="009054AA" w14:paraId="71D1AE84" w14:textId="77777777" w:rsidTr="00535FE1">
        <w:trPr>
          <w:trHeight w:val="290"/>
        </w:trPr>
        <w:tc>
          <w:tcPr>
            <w:tcW w:w="657" w:type="pct"/>
            <w:shd w:val="clear" w:color="000000" w:fill="auto"/>
            <w:noWrap/>
            <w:vAlign w:val="bottom"/>
            <w:hideMark/>
          </w:tcPr>
          <w:p w14:paraId="778395F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SE-N_56 </w:t>
            </w:r>
          </w:p>
        </w:tc>
        <w:tc>
          <w:tcPr>
            <w:tcW w:w="343" w:type="pct"/>
            <w:shd w:val="clear" w:color="000000" w:fill="auto"/>
            <w:noWrap/>
            <w:vAlign w:val="center"/>
            <w:hideMark/>
          </w:tcPr>
          <w:p w14:paraId="0E1E518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158.782</w:t>
            </w:r>
          </w:p>
        </w:tc>
        <w:tc>
          <w:tcPr>
            <w:tcW w:w="500" w:type="pct"/>
            <w:shd w:val="clear" w:color="000000" w:fill="auto"/>
            <w:noWrap/>
            <w:vAlign w:val="center"/>
            <w:hideMark/>
          </w:tcPr>
          <w:p w14:paraId="3C2B2F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136.719</w:t>
            </w:r>
          </w:p>
        </w:tc>
        <w:tc>
          <w:tcPr>
            <w:tcW w:w="500" w:type="pct"/>
            <w:shd w:val="clear" w:color="000000" w:fill="auto"/>
            <w:noWrap/>
            <w:vAlign w:val="center"/>
            <w:hideMark/>
          </w:tcPr>
          <w:p w14:paraId="5FD260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70.270</w:t>
            </w:r>
          </w:p>
        </w:tc>
        <w:tc>
          <w:tcPr>
            <w:tcW w:w="500" w:type="pct"/>
            <w:shd w:val="clear" w:color="000000" w:fill="auto"/>
            <w:noWrap/>
            <w:vAlign w:val="center"/>
            <w:hideMark/>
          </w:tcPr>
          <w:p w14:paraId="24D603A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365.771</w:t>
            </w:r>
          </w:p>
        </w:tc>
        <w:tc>
          <w:tcPr>
            <w:tcW w:w="500" w:type="pct"/>
            <w:shd w:val="clear" w:color="000000" w:fill="auto"/>
            <w:noWrap/>
            <w:vAlign w:val="center"/>
            <w:hideMark/>
          </w:tcPr>
          <w:p w14:paraId="41572B6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100.353</w:t>
            </w:r>
          </w:p>
        </w:tc>
        <w:tc>
          <w:tcPr>
            <w:tcW w:w="500" w:type="pct"/>
            <w:shd w:val="clear" w:color="000000" w:fill="auto"/>
            <w:noWrap/>
            <w:vAlign w:val="center"/>
            <w:hideMark/>
          </w:tcPr>
          <w:p w14:paraId="482A0E4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133.734</w:t>
            </w:r>
          </w:p>
        </w:tc>
        <w:tc>
          <w:tcPr>
            <w:tcW w:w="500" w:type="pct"/>
            <w:shd w:val="clear" w:color="000000" w:fill="auto"/>
            <w:noWrap/>
            <w:vAlign w:val="center"/>
            <w:hideMark/>
          </w:tcPr>
          <w:p w14:paraId="107282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11.674</w:t>
            </w:r>
          </w:p>
        </w:tc>
        <w:tc>
          <w:tcPr>
            <w:tcW w:w="500" w:type="pct"/>
            <w:shd w:val="clear" w:color="000000" w:fill="auto"/>
            <w:noWrap/>
            <w:vAlign w:val="center"/>
            <w:hideMark/>
          </w:tcPr>
          <w:p w14:paraId="13F8BDA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4.602</w:t>
            </w:r>
          </w:p>
        </w:tc>
        <w:tc>
          <w:tcPr>
            <w:tcW w:w="500" w:type="pct"/>
            <w:shd w:val="clear" w:color="000000" w:fill="auto"/>
            <w:noWrap/>
            <w:vAlign w:val="center"/>
            <w:hideMark/>
          </w:tcPr>
          <w:p w14:paraId="4890B08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250.363</w:t>
            </w:r>
          </w:p>
        </w:tc>
      </w:tr>
      <w:tr w:rsidR="00535FE1" w:rsidRPr="009054AA" w14:paraId="6617ED42" w14:textId="77777777" w:rsidTr="00535FE1">
        <w:trPr>
          <w:trHeight w:val="290"/>
        </w:trPr>
        <w:tc>
          <w:tcPr>
            <w:tcW w:w="657" w:type="pct"/>
            <w:shd w:val="clear" w:color="000000" w:fill="auto"/>
            <w:noWrap/>
            <w:vAlign w:val="bottom"/>
            <w:hideMark/>
          </w:tcPr>
          <w:p w14:paraId="1420FEF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SE-N_57 </w:t>
            </w:r>
          </w:p>
        </w:tc>
        <w:tc>
          <w:tcPr>
            <w:tcW w:w="343" w:type="pct"/>
            <w:shd w:val="clear" w:color="000000" w:fill="auto"/>
            <w:noWrap/>
            <w:vAlign w:val="center"/>
            <w:hideMark/>
          </w:tcPr>
          <w:p w14:paraId="50E2B4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39.421</w:t>
            </w:r>
          </w:p>
        </w:tc>
        <w:tc>
          <w:tcPr>
            <w:tcW w:w="500" w:type="pct"/>
            <w:shd w:val="clear" w:color="000000" w:fill="auto"/>
            <w:noWrap/>
            <w:vAlign w:val="center"/>
            <w:hideMark/>
          </w:tcPr>
          <w:p w14:paraId="2443EED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6.926</w:t>
            </w:r>
          </w:p>
        </w:tc>
        <w:tc>
          <w:tcPr>
            <w:tcW w:w="500" w:type="pct"/>
            <w:shd w:val="clear" w:color="000000" w:fill="auto"/>
            <w:noWrap/>
            <w:vAlign w:val="center"/>
            <w:hideMark/>
          </w:tcPr>
          <w:p w14:paraId="5D2DB86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2.974</w:t>
            </w:r>
          </w:p>
        </w:tc>
        <w:tc>
          <w:tcPr>
            <w:tcW w:w="500" w:type="pct"/>
            <w:shd w:val="clear" w:color="000000" w:fill="auto"/>
            <w:noWrap/>
            <w:vAlign w:val="center"/>
            <w:hideMark/>
          </w:tcPr>
          <w:p w14:paraId="3E07C6D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49.321</w:t>
            </w:r>
          </w:p>
        </w:tc>
        <w:tc>
          <w:tcPr>
            <w:tcW w:w="500" w:type="pct"/>
            <w:shd w:val="clear" w:color="000000" w:fill="auto"/>
            <w:noWrap/>
            <w:vAlign w:val="center"/>
            <w:hideMark/>
          </w:tcPr>
          <w:p w14:paraId="4B632E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10.130</w:t>
            </w:r>
          </w:p>
        </w:tc>
        <w:tc>
          <w:tcPr>
            <w:tcW w:w="500" w:type="pct"/>
            <w:shd w:val="clear" w:color="000000" w:fill="auto"/>
            <w:noWrap/>
            <w:vAlign w:val="center"/>
            <w:hideMark/>
          </w:tcPr>
          <w:p w14:paraId="370521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6.755</w:t>
            </w:r>
          </w:p>
        </w:tc>
        <w:tc>
          <w:tcPr>
            <w:tcW w:w="500" w:type="pct"/>
            <w:shd w:val="clear" w:color="000000" w:fill="auto"/>
            <w:noWrap/>
            <w:vAlign w:val="center"/>
            <w:hideMark/>
          </w:tcPr>
          <w:p w14:paraId="5AE94D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372</w:t>
            </w:r>
          </w:p>
        </w:tc>
        <w:tc>
          <w:tcPr>
            <w:tcW w:w="500" w:type="pct"/>
            <w:shd w:val="clear" w:color="000000" w:fill="auto"/>
            <w:noWrap/>
            <w:vAlign w:val="center"/>
            <w:hideMark/>
          </w:tcPr>
          <w:p w14:paraId="4341953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201</w:t>
            </w:r>
          </w:p>
        </w:tc>
        <w:tc>
          <w:tcPr>
            <w:tcW w:w="500" w:type="pct"/>
            <w:shd w:val="clear" w:color="000000" w:fill="auto"/>
            <w:noWrap/>
            <w:vAlign w:val="center"/>
            <w:hideMark/>
          </w:tcPr>
          <w:p w14:paraId="4605C30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17.458</w:t>
            </w:r>
          </w:p>
        </w:tc>
      </w:tr>
      <w:tr w:rsidR="00535FE1" w:rsidRPr="009054AA" w14:paraId="5A62BF2C" w14:textId="77777777" w:rsidTr="00535FE1">
        <w:trPr>
          <w:trHeight w:val="290"/>
        </w:trPr>
        <w:tc>
          <w:tcPr>
            <w:tcW w:w="657" w:type="pct"/>
            <w:shd w:val="clear" w:color="000000" w:fill="auto"/>
            <w:noWrap/>
            <w:vAlign w:val="bottom"/>
            <w:hideMark/>
          </w:tcPr>
          <w:p w14:paraId="3EF5F7A2"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SE-N_59 </w:t>
            </w:r>
          </w:p>
        </w:tc>
        <w:tc>
          <w:tcPr>
            <w:tcW w:w="343" w:type="pct"/>
            <w:shd w:val="clear" w:color="000000" w:fill="auto"/>
            <w:noWrap/>
            <w:vAlign w:val="center"/>
            <w:hideMark/>
          </w:tcPr>
          <w:p w14:paraId="7D29E8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83.029</w:t>
            </w:r>
          </w:p>
        </w:tc>
        <w:tc>
          <w:tcPr>
            <w:tcW w:w="500" w:type="pct"/>
            <w:shd w:val="clear" w:color="000000" w:fill="auto"/>
            <w:noWrap/>
            <w:vAlign w:val="center"/>
            <w:hideMark/>
          </w:tcPr>
          <w:p w14:paraId="4BDAB0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26.769</w:t>
            </w:r>
          </w:p>
        </w:tc>
        <w:tc>
          <w:tcPr>
            <w:tcW w:w="500" w:type="pct"/>
            <w:shd w:val="clear" w:color="000000" w:fill="auto"/>
            <w:noWrap/>
            <w:vAlign w:val="center"/>
            <w:hideMark/>
          </w:tcPr>
          <w:p w14:paraId="1FA1EE9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29.124</w:t>
            </w:r>
          </w:p>
        </w:tc>
        <w:tc>
          <w:tcPr>
            <w:tcW w:w="500" w:type="pct"/>
            <w:shd w:val="clear" w:color="000000" w:fill="auto"/>
            <w:noWrap/>
            <w:vAlign w:val="center"/>
            <w:hideMark/>
          </w:tcPr>
          <w:p w14:paraId="224A21D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138.922</w:t>
            </w:r>
          </w:p>
        </w:tc>
        <w:tc>
          <w:tcPr>
            <w:tcW w:w="500" w:type="pct"/>
            <w:shd w:val="clear" w:color="000000" w:fill="auto"/>
            <w:noWrap/>
            <w:vAlign w:val="center"/>
            <w:hideMark/>
          </w:tcPr>
          <w:p w14:paraId="110033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50.954</w:t>
            </w:r>
          </w:p>
        </w:tc>
        <w:tc>
          <w:tcPr>
            <w:tcW w:w="500" w:type="pct"/>
            <w:shd w:val="clear" w:color="000000" w:fill="auto"/>
            <w:noWrap/>
            <w:vAlign w:val="center"/>
            <w:hideMark/>
          </w:tcPr>
          <w:p w14:paraId="4FC0E68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26.455</w:t>
            </w:r>
          </w:p>
        </w:tc>
        <w:tc>
          <w:tcPr>
            <w:tcW w:w="500" w:type="pct"/>
            <w:shd w:val="clear" w:color="000000" w:fill="auto"/>
            <w:noWrap/>
            <w:vAlign w:val="center"/>
            <w:hideMark/>
          </w:tcPr>
          <w:p w14:paraId="3657FF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5.070</w:t>
            </w:r>
          </w:p>
        </w:tc>
        <w:tc>
          <w:tcPr>
            <w:tcW w:w="500" w:type="pct"/>
            <w:shd w:val="clear" w:color="000000" w:fill="auto"/>
            <w:noWrap/>
            <w:vAlign w:val="center"/>
            <w:hideMark/>
          </w:tcPr>
          <w:p w14:paraId="68E7A43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1.331</w:t>
            </w:r>
          </w:p>
        </w:tc>
        <w:tc>
          <w:tcPr>
            <w:tcW w:w="500" w:type="pct"/>
            <w:shd w:val="clear" w:color="000000" w:fill="auto"/>
            <w:noWrap/>
            <w:vAlign w:val="center"/>
            <w:hideMark/>
          </w:tcPr>
          <w:p w14:paraId="1993E91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83.809</w:t>
            </w:r>
          </w:p>
        </w:tc>
      </w:tr>
      <w:tr w:rsidR="00535FE1" w:rsidRPr="009054AA" w14:paraId="55E1FDBA" w14:textId="77777777" w:rsidTr="00535FE1">
        <w:trPr>
          <w:trHeight w:val="290"/>
        </w:trPr>
        <w:tc>
          <w:tcPr>
            <w:tcW w:w="657" w:type="pct"/>
            <w:shd w:val="clear" w:color="000000" w:fill="auto"/>
            <w:noWrap/>
            <w:vAlign w:val="bottom"/>
            <w:hideMark/>
          </w:tcPr>
          <w:p w14:paraId="194CD952"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SE-N_60 </w:t>
            </w:r>
          </w:p>
        </w:tc>
        <w:tc>
          <w:tcPr>
            <w:tcW w:w="343" w:type="pct"/>
            <w:shd w:val="clear" w:color="000000" w:fill="auto"/>
            <w:noWrap/>
            <w:vAlign w:val="center"/>
            <w:hideMark/>
          </w:tcPr>
          <w:p w14:paraId="3439EC9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35.952</w:t>
            </w:r>
          </w:p>
        </w:tc>
        <w:tc>
          <w:tcPr>
            <w:tcW w:w="500" w:type="pct"/>
            <w:shd w:val="clear" w:color="000000" w:fill="auto"/>
            <w:noWrap/>
            <w:vAlign w:val="center"/>
            <w:hideMark/>
          </w:tcPr>
          <w:p w14:paraId="2D353E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6.771</w:t>
            </w:r>
          </w:p>
        </w:tc>
        <w:tc>
          <w:tcPr>
            <w:tcW w:w="500" w:type="pct"/>
            <w:shd w:val="clear" w:color="000000" w:fill="auto"/>
            <w:noWrap/>
            <w:vAlign w:val="center"/>
            <w:hideMark/>
          </w:tcPr>
          <w:p w14:paraId="6EBE07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2.907</w:t>
            </w:r>
          </w:p>
        </w:tc>
        <w:tc>
          <w:tcPr>
            <w:tcW w:w="500" w:type="pct"/>
            <w:shd w:val="clear" w:color="000000" w:fill="auto"/>
            <w:noWrap/>
            <w:vAlign w:val="center"/>
            <w:hideMark/>
          </w:tcPr>
          <w:p w14:paraId="0B416E1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45.630</w:t>
            </w:r>
          </w:p>
        </w:tc>
        <w:tc>
          <w:tcPr>
            <w:tcW w:w="500" w:type="pct"/>
            <w:shd w:val="clear" w:color="000000" w:fill="auto"/>
            <w:noWrap/>
            <w:vAlign w:val="center"/>
            <w:hideMark/>
          </w:tcPr>
          <w:p w14:paraId="68299EC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9.903</w:t>
            </w:r>
          </w:p>
        </w:tc>
        <w:tc>
          <w:tcPr>
            <w:tcW w:w="500" w:type="pct"/>
            <w:shd w:val="clear" w:color="000000" w:fill="auto"/>
            <w:noWrap/>
            <w:vAlign w:val="center"/>
            <w:hideMark/>
          </w:tcPr>
          <w:p w14:paraId="1FBE29F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6.603</w:t>
            </w:r>
          </w:p>
        </w:tc>
        <w:tc>
          <w:tcPr>
            <w:tcW w:w="500" w:type="pct"/>
            <w:shd w:val="clear" w:color="000000" w:fill="auto"/>
            <w:noWrap/>
            <w:vAlign w:val="center"/>
            <w:hideMark/>
          </w:tcPr>
          <w:p w14:paraId="5D5DB0F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364</w:t>
            </w:r>
          </w:p>
        </w:tc>
        <w:tc>
          <w:tcPr>
            <w:tcW w:w="500" w:type="pct"/>
            <w:shd w:val="clear" w:color="000000" w:fill="auto"/>
            <w:noWrap/>
            <w:vAlign w:val="center"/>
            <w:hideMark/>
          </w:tcPr>
          <w:p w14:paraId="6E5BD13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196</w:t>
            </w:r>
          </w:p>
        </w:tc>
        <w:tc>
          <w:tcPr>
            <w:tcW w:w="500" w:type="pct"/>
            <w:shd w:val="clear" w:color="000000" w:fill="auto"/>
            <w:noWrap/>
            <w:vAlign w:val="center"/>
            <w:hideMark/>
          </w:tcPr>
          <w:p w14:paraId="53754B9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17.066</w:t>
            </w:r>
          </w:p>
        </w:tc>
      </w:tr>
      <w:tr w:rsidR="00535FE1" w:rsidRPr="009054AA" w14:paraId="7502CC2E" w14:textId="77777777" w:rsidTr="00535FE1">
        <w:trPr>
          <w:trHeight w:val="290"/>
        </w:trPr>
        <w:tc>
          <w:tcPr>
            <w:tcW w:w="657" w:type="pct"/>
            <w:shd w:val="clear" w:color="000000" w:fill="auto"/>
            <w:noWrap/>
            <w:vAlign w:val="bottom"/>
            <w:hideMark/>
          </w:tcPr>
          <w:p w14:paraId="59CFBDE8"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SE-N_62 </w:t>
            </w:r>
          </w:p>
        </w:tc>
        <w:tc>
          <w:tcPr>
            <w:tcW w:w="343" w:type="pct"/>
            <w:shd w:val="clear" w:color="000000" w:fill="auto"/>
            <w:noWrap/>
            <w:vAlign w:val="center"/>
            <w:hideMark/>
          </w:tcPr>
          <w:p w14:paraId="11B558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21.652</w:t>
            </w:r>
          </w:p>
        </w:tc>
        <w:tc>
          <w:tcPr>
            <w:tcW w:w="500" w:type="pct"/>
            <w:shd w:val="clear" w:color="000000" w:fill="auto"/>
            <w:noWrap/>
            <w:vAlign w:val="center"/>
            <w:hideMark/>
          </w:tcPr>
          <w:p w14:paraId="750B64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1.228</w:t>
            </w:r>
          </w:p>
        </w:tc>
        <w:tc>
          <w:tcPr>
            <w:tcW w:w="500" w:type="pct"/>
            <w:shd w:val="clear" w:color="000000" w:fill="auto"/>
            <w:noWrap/>
            <w:vAlign w:val="center"/>
            <w:hideMark/>
          </w:tcPr>
          <w:p w14:paraId="510F6A1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631</w:t>
            </w:r>
          </w:p>
        </w:tc>
        <w:tc>
          <w:tcPr>
            <w:tcW w:w="500" w:type="pct"/>
            <w:shd w:val="clear" w:color="000000" w:fill="auto"/>
            <w:noWrap/>
            <w:vAlign w:val="center"/>
            <w:hideMark/>
          </w:tcPr>
          <w:p w14:paraId="5764E5E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23.512</w:t>
            </w:r>
          </w:p>
        </w:tc>
        <w:tc>
          <w:tcPr>
            <w:tcW w:w="500" w:type="pct"/>
            <w:shd w:val="clear" w:color="000000" w:fill="auto"/>
            <w:noWrap/>
            <w:vAlign w:val="center"/>
            <w:hideMark/>
          </w:tcPr>
          <w:p w14:paraId="54D536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902</w:t>
            </w:r>
          </w:p>
        </w:tc>
        <w:tc>
          <w:tcPr>
            <w:tcW w:w="500" w:type="pct"/>
            <w:shd w:val="clear" w:color="000000" w:fill="auto"/>
            <w:noWrap/>
            <w:vAlign w:val="center"/>
            <w:hideMark/>
          </w:tcPr>
          <w:p w14:paraId="12A2171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1.202</w:t>
            </w:r>
          </w:p>
        </w:tc>
        <w:tc>
          <w:tcPr>
            <w:tcW w:w="500" w:type="pct"/>
            <w:shd w:val="clear" w:color="000000" w:fill="auto"/>
            <w:noWrap/>
            <w:vAlign w:val="center"/>
            <w:hideMark/>
          </w:tcPr>
          <w:p w14:paraId="6F5C1E0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105</w:t>
            </w:r>
          </w:p>
        </w:tc>
        <w:tc>
          <w:tcPr>
            <w:tcW w:w="500" w:type="pct"/>
            <w:shd w:val="clear" w:color="000000" w:fill="auto"/>
            <w:noWrap/>
            <w:vAlign w:val="center"/>
            <w:hideMark/>
          </w:tcPr>
          <w:p w14:paraId="3BF7C7A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w:t>
            </w:r>
          </w:p>
        </w:tc>
        <w:tc>
          <w:tcPr>
            <w:tcW w:w="500" w:type="pct"/>
            <w:shd w:val="clear" w:color="000000" w:fill="auto"/>
            <w:noWrap/>
            <w:vAlign w:val="center"/>
            <w:hideMark/>
          </w:tcPr>
          <w:p w14:paraId="2BB25F6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2.249</w:t>
            </w:r>
          </w:p>
        </w:tc>
      </w:tr>
      <w:tr w:rsidR="00535FE1" w:rsidRPr="009054AA" w14:paraId="0BE12644" w14:textId="77777777" w:rsidTr="00535FE1">
        <w:trPr>
          <w:trHeight w:val="290"/>
        </w:trPr>
        <w:tc>
          <w:tcPr>
            <w:tcW w:w="657" w:type="pct"/>
            <w:shd w:val="clear" w:color="000000" w:fill="auto"/>
            <w:noWrap/>
            <w:vAlign w:val="bottom"/>
            <w:hideMark/>
          </w:tcPr>
          <w:p w14:paraId="075FF1C8"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SE-N_63 </w:t>
            </w:r>
          </w:p>
        </w:tc>
        <w:tc>
          <w:tcPr>
            <w:tcW w:w="343" w:type="pct"/>
            <w:shd w:val="clear" w:color="000000" w:fill="auto"/>
            <w:noWrap/>
            <w:vAlign w:val="center"/>
            <w:hideMark/>
          </w:tcPr>
          <w:p w14:paraId="06CB3C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29.756</w:t>
            </w:r>
          </w:p>
        </w:tc>
        <w:tc>
          <w:tcPr>
            <w:tcW w:w="500" w:type="pct"/>
            <w:shd w:val="clear" w:color="000000" w:fill="auto"/>
            <w:noWrap/>
            <w:vAlign w:val="center"/>
            <w:hideMark/>
          </w:tcPr>
          <w:p w14:paraId="3DEB588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289</w:t>
            </w:r>
          </w:p>
        </w:tc>
        <w:tc>
          <w:tcPr>
            <w:tcW w:w="500" w:type="pct"/>
            <w:shd w:val="clear" w:color="000000" w:fill="auto"/>
            <w:noWrap/>
            <w:vAlign w:val="center"/>
            <w:hideMark/>
          </w:tcPr>
          <w:p w14:paraId="08B131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124</w:t>
            </w:r>
          </w:p>
        </w:tc>
        <w:tc>
          <w:tcPr>
            <w:tcW w:w="500" w:type="pct"/>
            <w:shd w:val="clear" w:color="000000" w:fill="auto"/>
            <w:noWrap/>
            <w:vAlign w:val="center"/>
            <w:hideMark/>
          </w:tcPr>
          <w:p w14:paraId="10B5936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30.169</w:t>
            </w:r>
          </w:p>
        </w:tc>
        <w:tc>
          <w:tcPr>
            <w:tcW w:w="500" w:type="pct"/>
            <w:shd w:val="clear" w:color="000000" w:fill="auto"/>
            <w:noWrap/>
            <w:vAlign w:val="center"/>
            <w:hideMark/>
          </w:tcPr>
          <w:p w14:paraId="20E4B1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423</w:t>
            </w:r>
          </w:p>
        </w:tc>
        <w:tc>
          <w:tcPr>
            <w:tcW w:w="500" w:type="pct"/>
            <w:shd w:val="clear" w:color="000000" w:fill="auto"/>
            <w:noWrap/>
            <w:vAlign w:val="center"/>
            <w:hideMark/>
          </w:tcPr>
          <w:p w14:paraId="0089E2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282</w:t>
            </w:r>
          </w:p>
        </w:tc>
        <w:tc>
          <w:tcPr>
            <w:tcW w:w="500" w:type="pct"/>
            <w:shd w:val="clear" w:color="000000" w:fill="auto"/>
            <w:noWrap/>
            <w:vAlign w:val="center"/>
            <w:hideMark/>
          </w:tcPr>
          <w:p w14:paraId="44CEC44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w:t>
            </w:r>
          </w:p>
        </w:tc>
        <w:tc>
          <w:tcPr>
            <w:tcW w:w="500" w:type="pct"/>
            <w:shd w:val="clear" w:color="000000" w:fill="auto"/>
            <w:noWrap/>
            <w:vAlign w:val="center"/>
            <w:hideMark/>
          </w:tcPr>
          <w:p w14:paraId="4B4D215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w:t>
            </w:r>
          </w:p>
        </w:tc>
        <w:tc>
          <w:tcPr>
            <w:tcW w:w="500" w:type="pct"/>
            <w:shd w:val="clear" w:color="000000" w:fill="auto"/>
            <w:noWrap/>
            <w:vAlign w:val="center"/>
            <w:hideMark/>
          </w:tcPr>
          <w:p w14:paraId="6905502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729</w:t>
            </w:r>
          </w:p>
        </w:tc>
      </w:tr>
      <w:tr w:rsidR="00535FE1" w:rsidRPr="009054AA" w14:paraId="68AA6625" w14:textId="77777777" w:rsidTr="00535FE1">
        <w:trPr>
          <w:trHeight w:val="290"/>
        </w:trPr>
        <w:tc>
          <w:tcPr>
            <w:tcW w:w="657" w:type="pct"/>
            <w:shd w:val="clear" w:color="000000" w:fill="auto"/>
            <w:noWrap/>
            <w:vAlign w:val="bottom"/>
            <w:hideMark/>
          </w:tcPr>
          <w:p w14:paraId="5785AB5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SE-N_64 </w:t>
            </w:r>
          </w:p>
        </w:tc>
        <w:tc>
          <w:tcPr>
            <w:tcW w:w="343" w:type="pct"/>
            <w:shd w:val="clear" w:color="000000" w:fill="auto"/>
            <w:noWrap/>
            <w:vAlign w:val="center"/>
            <w:hideMark/>
          </w:tcPr>
          <w:p w14:paraId="3E0BCC2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42.516</w:t>
            </w:r>
          </w:p>
        </w:tc>
        <w:tc>
          <w:tcPr>
            <w:tcW w:w="500" w:type="pct"/>
            <w:shd w:val="clear" w:color="000000" w:fill="auto"/>
            <w:noWrap/>
            <w:vAlign w:val="center"/>
            <w:hideMark/>
          </w:tcPr>
          <w:p w14:paraId="65A3C4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13.049</w:t>
            </w:r>
          </w:p>
        </w:tc>
        <w:tc>
          <w:tcPr>
            <w:tcW w:w="500" w:type="pct"/>
            <w:shd w:val="clear" w:color="000000" w:fill="auto"/>
            <w:noWrap/>
            <w:vAlign w:val="center"/>
            <w:hideMark/>
          </w:tcPr>
          <w:p w14:paraId="56C7240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6.707</w:t>
            </w:r>
          </w:p>
        </w:tc>
        <w:tc>
          <w:tcPr>
            <w:tcW w:w="500" w:type="pct"/>
            <w:shd w:val="clear" w:color="000000" w:fill="auto"/>
            <w:noWrap/>
            <w:vAlign w:val="center"/>
            <w:hideMark/>
          </w:tcPr>
          <w:p w14:paraId="30BEB9A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62.272</w:t>
            </w:r>
          </w:p>
        </w:tc>
        <w:tc>
          <w:tcPr>
            <w:tcW w:w="500" w:type="pct"/>
            <w:shd w:val="clear" w:color="000000" w:fill="auto"/>
            <w:noWrap/>
            <w:vAlign w:val="center"/>
            <w:hideMark/>
          </w:tcPr>
          <w:p w14:paraId="1FE5E9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9.578</w:t>
            </w:r>
          </w:p>
        </w:tc>
        <w:tc>
          <w:tcPr>
            <w:tcW w:w="500" w:type="pct"/>
            <w:shd w:val="clear" w:color="000000" w:fill="auto"/>
            <w:noWrap/>
            <w:vAlign w:val="center"/>
            <w:hideMark/>
          </w:tcPr>
          <w:p w14:paraId="522C80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12.764</w:t>
            </w:r>
          </w:p>
        </w:tc>
        <w:tc>
          <w:tcPr>
            <w:tcW w:w="500" w:type="pct"/>
            <w:shd w:val="clear" w:color="000000" w:fill="auto"/>
            <w:noWrap/>
            <w:vAlign w:val="center"/>
            <w:hideMark/>
          </w:tcPr>
          <w:p w14:paraId="105185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1.114</w:t>
            </w:r>
          </w:p>
        </w:tc>
        <w:tc>
          <w:tcPr>
            <w:tcW w:w="500" w:type="pct"/>
            <w:shd w:val="clear" w:color="000000" w:fill="auto"/>
            <w:noWrap/>
            <w:vAlign w:val="center"/>
            <w:hideMark/>
          </w:tcPr>
          <w:p w14:paraId="226EF3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439</w:t>
            </w:r>
          </w:p>
        </w:tc>
        <w:tc>
          <w:tcPr>
            <w:tcW w:w="500" w:type="pct"/>
            <w:shd w:val="clear" w:color="000000" w:fill="auto"/>
            <w:noWrap/>
            <w:vAlign w:val="center"/>
            <w:hideMark/>
          </w:tcPr>
          <w:p w14:paraId="1589F5E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23.896</w:t>
            </w:r>
          </w:p>
        </w:tc>
      </w:tr>
      <w:tr w:rsidR="00535FE1" w:rsidRPr="009054AA" w14:paraId="68D071CD" w14:textId="77777777" w:rsidTr="00535FE1">
        <w:trPr>
          <w:trHeight w:val="290"/>
        </w:trPr>
        <w:tc>
          <w:tcPr>
            <w:tcW w:w="657" w:type="pct"/>
            <w:shd w:val="clear" w:color="000000" w:fill="auto"/>
            <w:noWrap/>
            <w:vAlign w:val="bottom"/>
            <w:hideMark/>
          </w:tcPr>
          <w:p w14:paraId="6C1D7620"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SE-N_65 </w:t>
            </w:r>
          </w:p>
        </w:tc>
        <w:tc>
          <w:tcPr>
            <w:tcW w:w="343" w:type="pct"/>
            <w:shd w:val="clear" w:color="000000" w:fill="auto"/>
            <w:noWrap/>
            <w:vAlign w:val="center"/>
            <w:hideMark/>
          </w:tcPr>
          <w:p w14:paraId="41499D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32.720</w:t>
            </w:r>
          </w:p>
        </w:tc>
        <w:tc>
          <w:tcPr>
            <w:tcW w:w="500" w:type="pct"/>
            <w:shd w:val="clear" w:color="000000" w:fill="auto"/>
            <w:noWrap/>
            <w:vAlign w:val="center"/>
            <w:hideMark/>
          </w:tcPr>
          <w:p w14:paraId="403BF04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7.552</w:t>
            </w:r>
          </w:p>
        </w:tc>
        <w:tc>
          <w:tcPr>
            <w:tcW w:w="500" w:type="pct"/>
            <w:shd w:val="clear" w:color="000000" w:fill="auto"/>
            <w:noWrap/>
            <w:vAlign w:val="center"/>
            <w:hideMark/>
          </w:tcPr>
          <w:p w14:paraId="567CA3B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8.217</w:t>
            </w:r>
          </w:p>
        </w:tc>
        <w:tc>
          <w:tcPr>
            <w:tcW w:w="500" w:type="pct"/>
            <w:shd w:val="clear" w:color="000000" w:fill="auto"/>
            <w:noWrap/>
            <w:vAlign w:val="center"/>
            <w:hideMark/>
          </w:tcPr>
          <w:p w14:paraId="06A15C8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48.489</w:t>
            </w:r>
          </w:p>
        </w:tc>
        <w:tc>
          <w:tcPr>
            <w:tcW w:w="500" w:type="pct"/>
            <w:shd w:val="clear" w:color="000000" w:fill="auto"/>
            <w:noWrap/>
            <w:vAlign w:val="center"/>
            <w:hideMark/>
          </w:tcPr>
          <w:p w14:paraId="77667D1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14.376</w:t>
            </w:r>
          </w:p>
        </w:tc>
        <w:tc>
          <w:tcPr>
            <w:tcW w:w="500" w:type="pct"/>
            <w:shd w:val="clear" w:color="000000" w:fill="auto"/>
            <w:noWrap/>
            <w:vAlign w:val="center"/>
            <w:hideMark/>
          </w:tcPr>
          <w:p w14:paraId="31DA50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7.464</w:t>
            </w:r>
          </w:p>
        </w:tc>
        <w:tc>
          <w:tcPr>
            <w:tcW w:w="500" w:type="pct"/>
            <w:shd w:val="clear" w:color="000000" w:fill="auto"/>
            <w:noWrap/>
            <w:vAlign w:val="center"/>
            <w:hideMark/>
          </w:tcPr>
          <w:p w14:paraId="1F4185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1.430</w:t>
            </w:r>
          </w:p>
        </w:tc>
        <w:tc>
          <w:tcPr>
            <w:tcW w:w="500" w:type="pct"/>
            <w:shd w:val="clear" w:color="000000" w:fill="auto"/>
            <w:noWrap/>
            <w:vAlign w:val="center"/>
            <w:hideMark/>
          </w:tcPr>
          <w:p w14:paraId="2FAA00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376</w:t>
            </w:r>
          </w:p>
        </w:tc>
        <w:tc>
          <w:tcPr>
            <w:tcW w:w="500" w:type="pct"/>
            <w:shd w:val="clear" w:color="000000" w:fill="auto"/>
            <w:noWrap/>
            <w:vAlign w:val="center"/>
            <w:hideMark/>
          </w:tcPr>
          <w:p w14:paraId="27F122C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23.645</w:t>
            </w:r>
          </w:p>
        </w:tc>
      </w:tr>
      <w:tr w:rsidR="00535FE1" w:rsidRPr="009054AA" w14:paraId="7B7CF665" w14:textId="77777777" w:rsidTr="00535FE1">
        <w:trPr>
          <w:trHeight w:val="290"/>
        </w:trPr>
        <w:tc>
          <w:tcPr>
            <w:tcW w:w="657" w:type="pct"/>
            <w:shd w:val="clear" w:color="000000" w:fill="auto"/>
            <w:noWrap/>
            <w:vAlign w:val="bottom"/>
            <w:hideMark/>
          </w:tcPr>
          <w:p w14:paraId="1FAABE2F"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SE-N_66 </w:t>
            </w:r>
          </w:p>
        </w:tc>
        <w:tc>
          <w:tcPr>
            <w:tcW w:w="343" w:type="pct"/>
            <w:shd w:val="clear" w:color="000000" w:fill="auto"/>
            <w:noWrap/>
            <w:vAlign w:val="center"/>
            <w:hideMark/>
          </w:tcPr>
          <w:p w14:paraId="744EDC7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41.746</w:t>
            </w:r>
          </w:p>
        </w:tc>
        <w:tc>
          <w:tcPr>
            <w:tcW w:w="500" w:type="pct"/>
            <w:shd w:val="clear" w:color="000000" w:fill="auto"/>
            <w:noWrap/>
            <w:vAlign w:val="center"/>
            <w:hideMark/>
          </w:tcPr>
          <w:p w14:paraId="106C1DA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8.787</w:t>
            </w:r>
          </w:p>
        </w:tc>
        <w:tc>
          <w:tcPr>
            <w:tcW w:w="500" w:type="pct"/>
            <w:shd w:val="clear" w:color="000000" w:fill="auto"/>
            <w:noWrap/>
            <w:vAlign w:val="center"/>
            <w:hideMark/>
          </w:tcPr>
          <w:p w14:paraId="1EB9EB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4.516</w:t>
            </w:r>
          </w:p>
        </w:tc>
        <w:tc>
          <w:tcPr>
            <w:tcW w:w="500" w:type="pct"/>
            <w:shd w:val="clear" w:color="000000" w:fill="auto"/>
            <w:noWrap/>
            <w:vAlign w:val="center"/>
            <w:hideMark/>
          </w:tcPr>
          <w:p w14:paraId="5D970AE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55.049</w:t>
            </w:r>
          </w:p>
        </w:tc>
        <w:tc>
          <w:tcPr>
            <w:tcW w:w="500" w:type="pct"/>
            <w:shd w:val="clear" w:color="000000" w:fill="auto"/>
            <w:noWrap/>
            <w:vAlign w:val="center"/>
            <w:hideMark/>
          </w:tcPr>
          <w:p w14:paraId="068A496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6.449</w:t>
            </w:r>
          </w:p>
        </w:tc>
        <w:tc>
          <w:tcPr>
            <w:tcW w:w="500" w:type="pct"/>
            <w:shd w:val="clear" w:color="000000" w:fill="auto"/>
            <w:noWrap/>
            <w:vAlign w:val="center"/>
            <w:hideMark/>
          </w:tcPr>
          <w:p w14:paraId="022F26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8.595</w:t>
            </w:r>
          </w:p>
        </w:tc>
        <w:tc>
          <w:tcPr>
            <w:tcW w:w="500" w:type="pct"/>
            <w:shd w:val="clear" w:color="000000" w:fill="auto"/>
            <w:noWrap/>
            <w:vAlign w:val="center"/>
            <w:hideMark/>
          </w:tcPr>
          <w:p w14:paraId="65F412A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750</w:t>
            </w:r>
          </w:p>
        </w:tc>
        <w:tc>
          <w:tcPr>
            <w:tcW w:w="500" w:type="pct"/>
            <w:shd w:val="clear" w:color="000000" w:fill="auto"/>
            <w:noWrap/>
            <w:vAlign w:val="center"/>
            <w:hideMark/>
          </w:tcPr>
          <w:p w14:paraId="5F7C8D5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296</w:t>
            </w:r>
          </w:p>
        </w:tc>
        <w:tc>
          <w:tcPr>
            <w:tcW w:w="500" w:type="pct"/>
            <w:shd w:val="clear" w:color="000000" w:fill="auto"/>
            <w:noWrap/>
            <w:vAlign w:val="center"/>
            <w:hideMark/>
          </w:tcPr>
          <w:p w14:paraId="484789C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16.090</w:t>
            </w:r>
          </w:p>
        </w:tc>
      </w:tr>
      <w:tr w:rsidR="00535FE1" w:rsidRPr="009054AA" w14:paraId="5344ECF0" w14:textId="77777777" w:rsidTr="00535FE1">
        <w:trPr>
          <w:trHeight w:val="290"/>
        </w:trPr>
        <w:tc>
          <w:tcPr>
            <w:tcW w:w="657" w:type="pct"/>
            <w:shd w:val="clear" w:color="000000" w:fill="auto"/>
            <w:noWrap/>
            <w:vAlign w:val="bottom"/>
            <w:hideMark/>
          </w:tcPr>
          <w:p w14:paraId="04058ADD"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SE-N_67 </w:t>
            </w:r>
          </w:p>
        </w:tc>
        <w:tc>
          <w:tcPr>
            <w:tcW w:w="343" w:type="pct"/>
            <w:shd w:val="clear" w:color="000000" w:fill="auto"/>
            <w:noWrap/>
            <w:vAlign w:val="center"/>
            <w:hideMark/>
          </w:tcPr>
          <w:p w14:paraId="63ACF1A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28.275</w:t>
            </w:r>
          </w:p>
        </w:tc>
        <w:tc>
          <w:tcPr>
            <w:tcW w:w="500" w:type="pct"/>
            <w:shd w:val="clear" w:color="000000" w:fill="auto"/>
            <w:noWrap/>
            <w:vAlign w:val="center"/>
            <w:hideMark/>
          </w:tcPr>
          <w:p w14:paraId="7CBFD5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41.009</w:t>
            </w:r>
          </w:p>
        </w:tc>
        <w:tc>
          <w:tcPr>
            <w:tcW w:w="500" w:type="pct"/>
            <w:shd w:val="clear" w:color="000000" w:fill="auto"/>
            <w:noWrap/>
            <w:vAlign w:val="center"/>
            <w:hideMark/>
          </w:tcPr>
          <w:p w14:paraId="6660530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17.609</w:t>
            </w:r>
          </w:p>
        </w:tc>
        <w:tc>
          <w:tcPr>
            <w:tcW w:w="500" w:type="pct"/>
            <w:shd w:val="clear" w:color="000000" w:fill="auto"/>
            <w:noWrap/>
            <w:vAlign w:val="center"/>
            <w:hideMark/>
          </w:tcPr>
          <w:p w14:paraId="185E90C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86.892</w:t>
            </w:r>
          </w:p>
        </w:tc>
        <w:tc>
          <w:tcPr>
            <w:tcW w:w="500" w:type="pct"/>
            <w:shd w:val="clear" w:color="000000" w:fill="auto"/>
            <w:noWrap/>
            <w:vAlign w:val="center"/>
            <w:hideMark/>
          </w:tcPr>
          <w:p w14:paraId="7EE6176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59.980</w:t>
            </w:r>
          </w:p>
        </w:tc>
        <w:tc>
          <w:tcPr>
            <w:tcW w:w="500" w:type="pct"/>
            <w:shd w:val="clear" w:color="000000" w:fill="auto"/>
            <w:noWrap/>
            <w:vAlign w:val="center"/>
            <w:hideMark/>
          </w:tcPr>
          <w:p w14:paraId="5C1DED0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39.993</w:t>
            </w:r>
          </w:p>
        </w:tc>
        <w:tc>
          <w:tcPr>
            <w:tcW w:w="500" w:type="pct"/>
            <w:shd w:val="clear" w:color="000000" w:fill="auto"/>
            <w:noWrap/>
            <w:vAlign w:val="center"/>
            <w:hideMark/>
          </w:tcPr>
          <w:p w14:paraId="031B923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2.203</w:t>
            </w:r>
          </w:p>
        </w:tc>
        <w:tc>
          <w:tcPr>
            <w:tcW w:w="500" w:type="pct"/>
            <w:shd w:val="clear" w:color="000000" w:fill="auto"/>
            <w:noWrap/>
            <w:vAlign w:val="center"/>
            <w:hideMark/>
          </w:tcPr>
          <w:p w14:paraId="53C626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1.189</w:t>
            </w:r>
          </w:p>
        </w:tc>
        <w:tc>
          <w:tcPr>
            <w:tcW w:w="500" w:type="pct"/>
            <w:shd w:val="clear" w:color="000000" w:fill="auto"/>
            <w:noWrap/>
            <w:vAlign w:val="center"/>
            <w:hideMark/>
          </w:tcPr>
          <w:p w14:paraId="73CB248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103.365</w:t>
            </w:r>
          </w:p>
        </w:tc>
      </w:tr>
      <w:tr w:rsidR="00535FE1" w:rsidRPr="009054AA" w14:paraId="12E48085" w14:textId="77777777" w:rsidTr="00535FE1">
        <w:trPr>
          <w:trHeight w:val="290"/>
        </w:trPr>
        <w:tc>
          <w:tcPr>
            <w:tcW w:w="657" w:type="pct"/>
            <w:shd w:val="clear" w:color="000000" w:fill="auto"/>
            <w:noWrap/>
            <w:vAlign w:val="bottom"/>
            <w:hideMark/>
          </w:tcPr>
          <w:p w14:paraId="16429F50"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SE-N_68 </w:t>
            </w:r>
          </w:p>
        </w:tc>
        <w:tc>
          <w:tcPr>
            <w:tcW w:w="343" w:type="pct"/>
            <w:shd w:val="clear" w:color="000000" w:fill="auto"/>
            <w:noWrap/>
            <w:vAlign w:val="center"/>
            <w:hideMark/>
          </w:tcPr>
          <w:p w14:paraId="14E677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46.871</w:t>
            </w:r>
          </w:p>
        </w:tc>
        <w:tc>
          <w:tcPr>
            <w:tcW w:w="500" w:type="pct"/>
            <w:shd w:val="clear" w:color="000000" w:fill="auto"/>
            <w:noWrap/>
            <w:vAlign w:val="center"/>
            <w:hideMark/>
          </w:tcPr>
          <w:p w14:paraId="68895F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7.459</w:t>
            </w:r>
          </w:p>
        </w:tc>
        <w:tc>
          <w:tcPr>
            <w:tcW w:w="500" w:type="pct"/>
            <w:shd w:val="clear" w:color="000000" w:fill="auto"/>
            <w:noWrap/>
            <w:vAlign w:val="center"/>
            <w:hideMark/>
          </w:tcPr>
          <w:p w14:paraId="7928E6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3.203</w:t>
            </w:r>
          </w:p>
        </w:tc>
        <w:tc>
          <w:tcPr>
            <w:tcW w:w="500" w:type="pct"/>
            <w:shd w:val="clear" w:color="000000" w:fill="auto"/>
            <w:noWrap/>
            <w:vAlign w:val="center"/>
            <w:hideMark/>
          </w:tcPr>
          <w:p w14:paraId="3114887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57.532</w:t>
            </w:r>
          </w:p>
        </w:tc>
        <w:tc>
          <w:tcPr>
            <w:tcW w:w="500" w:type="pct"/>
            <w:shd w:val="clear" w:color="000000" w:fill="auto"/>
            <w:noWrap/>
            <w:vAlign w:val="center"/>
            <w:hideMark/>
          </w:tcPr>
          <w:p w14:paraId="7BC36D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10.909</w:t>
            </w:r>
          </w:p>
        </w:tc>
        <w:tc>
          <w:tcPr>
            <w:tcW w:w="500" w:type="pct"/>
            <w:shd w:val="clear" w:color="000000" w:fill="auto"/>
            <w:noWrap/>
            <w:vAlign w:val="center"/>
            <w:hideMark/>
          </w:tcPr>
          <w:p w14:paraId="1355837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7.274</w:t>
            </w:r>
          </w:p>
        </w:tc>
        <w:tc>
          <w:tcPr>
            <w:tcW w:w="500" w:type="pct"/>
            <w:shd w:val="clear" w:color="000000" w:fill="auto"/>
            <w:noWrap/>
            <w:vAlign w:val="center"/>
            <w:hideMark/>
          </w:tcPr>
          <w:p w14:paraId="52A223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401</w:t>
            </w:r>
          </w:p>
        </w:tc>
        <w:tc>
          <w:tcPr>
            <w:tcW w:w="500" w:type="pct"/>
            <w:shd w:val="clear" w:color="000000" w:fill="auto"/>
            <w:noWrap/>
            <w:vAlign w:val="center"/>
            <w:hideMark/>
          </w:tcPr>
          <w:p w14:paraId="312F74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216</w:t>
            </w:r>
          </w:p>
        </w:tc>
        <w:tc>
          <w:tcPr>
            <w:tcW w:w="500" w:type="pct"/>
            <w:shd w:val="clear" w:color="000000" w:fill="auto"/>
            <w:noWrap/>
            <w:vAlign w:val="center"/>
            <w:hideMark/>
          </w:tcPr>
          <w:p w14:paraId="0492E84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18.800</w:t>
            </w:r>
          </w:p>
        </w:tc>
      </w:tr>
      <w:tr w:rsidR="00535FE1" w:rsidRPr="009054AA" w14:paraId="7080F4DF" w14:textId="77777777" w:rsidTr="00535FE1">
        <w:trPr>
          <w:trHeight w:val="290"/>
        </w:trPr>
        <w:tc>
          <w:tcPr>
            <w:tcW w:w="657" w:type="pct"/>
            <w:shd w:val="clear" w:color="000000" w:fill="auto"/>
            <w:noWrap/>
            <w:vAlign w:val="bottom"/>
            <w:hideMark/>
          </w:tcPr>
          <w:p w14:paraId="63233AAB"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SE-N_69 </w:t>
            </w:r>
          </w:p>
        </w:tc>
        <w:tc>
          <w:tcPr>
            <w:tcW w:w="343" w:type="pct"/>
            <w:shd w:val="clear" w:color="000000" w:fill="auto"/>
            <w:noWrap/>
            <w:vAlign w:val="center"/>
            <w:hideMark/>
          </w:tcPr>
          <w:p w14:paraId="598E8F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47.709</w:t>
            </w:r>
          </w:p>
        </w:tc>
        <w:tc>
          <w:tcPr>
            <w:tcW w:w="500" w:type="pct"/>
            <w:shd w:val="clear" w:color="000000" w:fill="auto"/>
            <w:noWrap/>
            <w:vAlign w:val="center"/>
            <w:hideMark/>
          </w:tcPr>
          <w:p w14:paraId="4D2347F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5.365</w:t>
            </w:r>
          </w:p>
        </w:tc>
        <w:tc>
          <w:tcPr>
            <w:tcW w:w="500" w:type="pct"/>
            <w:shd w:val="clear" w:color="000000" w:fill="auto"/>
            <w:noWrap/>
            <w:vAlign w:val="center"/>
            <w:hideMark/>
          </w:tcPr>
          <w:p w14:paraId="5D8C7F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2.758</w:t>
            </w:r>
          </w:p>
        </w:tc>
        <w:tc>
          <w:tcPr>
            <w:tcW w:w="500" w:type="pct"/>
            <w:shd w:val="clear" w:color="000000" w:fill="auto"/>
            <w:noWrap/>
            <w:vAlign w:val="center"/>
            <w:hideMark/>
          </w:tcPr>
          <w:p w14:paraId="7212E0E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55.832</w:t>
            </w:r>
          </w:p>
        </w:tc>
        <w:tc>
          <w:tcPr>
            <w:tcW w:w="500" w:type="pct"/>
            <w:shd w:val="clear" w:color="000000" w:fill="auto"/>
            <w:noWrap/>
            <w:vAlign w:val="center"/>
            <w:hideMark/>
          </w:tcPr>
          <w:p w14:paraId="594C16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3.938</w:t>
            </w:r>
          </w:p>
        </w:tc>
        <w:tc>
          <w:tcPr>
            <w:tcW w:w="500" w:type="pct"/>
            <w:shd w:val="clear" w:color="000000" w:fill="auto"/>
            <w:noWrap/>
            <w:vAlign w:val="center"/>
            <w:hideMark/>
          </w:tcPr>
          <w:p w14:paraId="571678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5.248</w:t>
            </w:r>
          </w:p>
        </w:tc>
        <w:tc>
          <w:tcPr>
            <w:tcW w:w="500" w:type="pct"/>
            <w:shd w:val="clear" w:color="000000" w:fill="auto"/>
            <w:noWrap/>
            <w:vAlign w:val="center"/>
            <w:hideMark/>
          </w:tcPr>
          <w:p w14:paraId="14199A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458</w:t>
            </w:r>
          </w:p>
        </w:tc>
        <w:tc>
          <w:tcPr>
            <w:tcW w:w="500" w:type="pct"/>
            <w:shd w:val="clear" w:color="000000" w:fill="auto"/>
            <w:noWrap/>
            <w:vAlign w:val="center"/>
            <w:hideMark/>
          </w:tcPr>
          <w:p w14:paraId="354025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181</w:t>
            </w:r>
          </w:p>
        </w:tc>
        <w:tc>
          <w:tcPr>
            <w:tcW w:w="500" w:type="pct"/>
            <w:shd w:val="clear" w:color="000000" w:fill="auto"/>
            <w:noWrap/>
            <w:vAlign w:val="center"/>
            <w:hideMark/>
          </w:tcPr>
          <w:p w14:paraId="78F52B0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9.825</w:t>
            </w:r>
          </w:p>
        </w:tc>
      </w:tr>
      <w:tr w:rsidR="00535FE1" w:rsidRPr="009054AA" w14:paraId="36CD67F0" w14:textId="77777777" w:rsidTr="00535FE1">
        <w:trPr>
          <w:trHeight w:val="290"/>
        </w:trPr>
        <w:tc>
          <w:tcPr>
            <w:tcW w:w="657" w:type="pct"/>
            <w:shd w:val="clear" w:color="000000" w:fill="auto"/>
            <w:noWrap/>
            <w:vAlign w:val="bottom"/>
            <w:hideMark/>
          </w:tcPr>
          <w:p w14:paraId="1E3F11EA"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SE-N_78 </w:t>
            </w:r>
          </w:p>
        </w:tc>
        <w:tc>
          <w:tcPr>
            <w:tcW w:w="343" w:type="pct"/>
            <w:shd w:val="clear" w:color="000000" w:fill="auto"/>
            <w:noWrap/>
            <w:vAlign w:val="center"/>
            <w:hideMark/>
          </w:tcPr>
          <w:p w14:paraId="749EFE1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35.769</w:t>
            </w:r>
          </w:p>
        </w:tc>
        <w:tc>
          <w:tcPr>
            <w:tcW w:w="500" w:type="pct"/>
            <w:shd w:val="clear" w:color="000000" w:fill="auto"/>
            <w:noWrap/>
            <w:vAlign w:val="center"/>
            <w:hideMark/>
          </w:tcPr>
          <w:p w14:paraId="1285DD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7.443</w:t>
            </w:r>
          </w:p>
        </w:tc>
        <w:tc>
          <w:tcPr>
            <w:tcW w:w="500" w:type="pct"/>
            <w:shd w:val="clear" w:color="000000" w:fill="auto"/>
            <w:noWrap/>
            <w:vAlign w:val="center"/>
            <w:hideMark/>
          </w:tcPr>
          <w:p w14:paraId="34A2310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3.196</w:t>
            </w:r>
          </w:p>
        </w:tc>
        <w:tc>
          <w:tcPr>
            <w:tcW w:w="500" w:type="pct"/>
            <w:shd w:val="clear" w:color="000000" w:fill="auto"/>
            <w:noWrap/>
            <w:vAlign w:val="center"/>
            <w:hideMark/>
          </w:tcPr>
          <w:p w14:paraId="4D3F34D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46.407</w:t>
            </w:r>
          </w:p>
        </w:tc>
        <w:tc>
          <w:tcPr>
            <w:tcW w:w="500" w:type="pct"/>
            <w:shd w:val="clear" w:color="000000" w:fill="auto"/>
            <w:noWrap/>
            <w:vAlign w:val="center"/>
            <w:hideMark/>
          </w:tcPr>
          <w:p w14:paraId="0CDA82B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10.885</w:t>
            </w:r>
          </w:p>
        </w:tc>
        <w:tc>
          <w:tcPr>
            <w:tcW w:w="500" w:type="pct"/>
            <w:shd w:val="clear" w:color="000000" w:fill="auto"/>
            <w:noWrap/>
            <w:vAlign w:val="center"/>
            <w:hideMark/>
          </w:tcPr>
          <w:p w14:paraId="35D51D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7.258</w:t>
            </w:r>
          </w:p>
        </w:tc>
        <w:tc>
          <w:tcPr>
            <w:tcW w:w="500" w:type="pct"/>
            <w:shd w:val="clear" w:color="000000" w:fill="auto"/>
            <w:noWrap/>
            <w:vAlign w:val="center"/>
            <w:hideMark/>
          </w:tcPr>
          <w:p w14:paraId="4BD926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400</w:t>
            </w:r>
          </w:p>
        </w:tc>
        <w:tc>
          <w:tcPr>
            <w:tcW w:w="500" w:type="pct"/>
            <w:shd w:val="clear" w:color="000000" w:fill="auto"/>
            <w:noWrap/>
            <w:vAlign w:val="center"/>
            <w:hideMark/>
          </w:tcPr>
          <w:p w14:paraId="649541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216</w:t>
            </w:r>
          </w:p>
        </w:tc>
        <w:tc>
          <w:tcPr>
            <w:tcW w:w="500" w:type="pct"/>
            <w:shd w:val="clear" w:color="000000" w:fill="auto"/>
            <w:noWrap/>
            <w:vAlign w:val="center"/>
            <w:hideMark/>
          </w:tcPr>
          <w:p w14:paraId="4CFD91C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18.759</w:t>
            </w:r>
          </w:p>
        </w:tc>
      </w:tr>
      <w:tr w:rsidR="00535FE1" w:rsidRPr="009054AA" w14:paraId="08F20B96" w14:textId="77777777" w:rsidTr="00535FE1">
        <w:trPr>
          <w:trHeight w:val="290"/>
        </w:trPr>
        <w:tc>
          <w:tcPr>
            <w:tcW w:w="657" w:type="pct"/>
            <w:shd w:val="clear" w:color="000000" w:fill="auto"/>
            <w:noWrap/>
            <w:vAlign w:val="bottom"/>
            <w:hideMark/>
          </w:tcPr>
          <w:p w14:paraId="01193F54"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SE-N_79 </w:t>
            </w:r>
          </w:p>
        </w:tc>
        <w:tc>
          <w:tcPr>
            <w:tcW w:w="343" w:type="pct"/>
            <w:shd w:val="clear" w:color="000000" w:fill="auto"/>
            <w:noWrap/>
            <w:vAlign w:val="center"/>
            <w:hideMark/>
          </w:tcPr>
          <w:p w14:paraId="409F24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35.696</w:t>
            </w:r>
          </w:p>
        </w:tc>
        <w:tc>
          <w:tcPr>
            <w:tcW w:w="500" w:type="pct"/>
            <w:shd w:val="clear" w:color="000000" w:fill="auto"/>
            <w:noWrap/>
            <w:vAlign w:val="center"/>
            <w:hideMark/>
          </w:tcPr>
          <w:p w14:paraId="34490C9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29.613</w:t>
            </w:r>
          </w:p>
        </w:tc>
        <w:tc>
          <w:tcPr>
            <w:tcW w:w="500" w:type="pct"/>
            <w:shd w:val="clear" w:color="000000" w:fill="auto"/>
            <w:noWrap/>
            <w:vAlign w:val="center"/>
            <w:hideMark/>
          </w:tcPr>
          <w:p w14:paraId="7173B41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32.219</w:t>
            </w:r>
          </w:p>
        </w:tc>
        <w:tc>
          <w:tcPr>
            <w:tcW w:w="500" w:type="pct"/>
            <w:shd w:val="clear" w:color="000000" w:fill="auto"/>
            <w:noWrap/>
            <w:vAlign w:val="center"/>
            <w:hideMark/>
          </w:tcPr>
          <w:p w14:paraId="7ED1F1D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97.527</w:t>
            </w:r>
          </w:p>
        </w:tc>
        <w:tc>
          <w:tcPr>
            <w:tcW w:w="500" w:type="pct"/>
            <w:shd w:val="clear" w:color="000000" w:fill="auto"/>
            <w:noWrap/>
            <w:vAlign w:val="center"/>
            <w:hideMark/>
          </w:tcPr>
          <w:p w14:paraId="573874A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56.368</w:t>
            </w:r>
          </w:p>
        </w:tc>
        <w:tc>
          <w:tcPr>
            <w:tcW w:w="500" w:type="pct"/>
            <w:shd w:val="clear" w:color="000000" w:fill="auto"/>
            <w:noWrap/>
            <w:vAlign w:val="center"/>
            <w:hideMark/>
          </w:tcPr>
          <w:p w14:paraId="2BDF8A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29.265</w:t>
            </w:r>
          </w:p>
        </w:tc>
        <w:tc>
          <w:tcPr>
            <w:tcW w:w="500" w:type="pct"/>
            <w:shd w:val="clear" w:color="000000" w:fill="auto"/>
            <w:noWrap/>
            <w:vAlign w:val="center"/>
            <w:hideMark/>
          </w:tcPr>
          <w:p w14:paraId="39DD92E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5.608</w:t>
            </w:r>
          </w:p>
        </w:tc>
        <w:tc>
          <w:tcPr>
            <w:tcW w:w="500" w:type="pct"/>
            <w:shd w:val="clear" w:color="000000" w:fill="auto"/>
            <w:noWrap/>
            <w:vAlign w:val="center"/>
            <w:hideMark/>
          </w:tcPr>
          <w:p w14:paraId="045A528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1.472</w:t>
            </w:r>
          </w:p>
        </w:tc>
        <w:tc>
          <w:tcPr>
            <w:tcW w:w="500" w:type="pct"/>
            <w:shd w:val="clear" w:color="000000" w:fill="auto"/>
            <w:noWrap/>
            <w:vAlign w:val="center"/>
            <w:hideMark/>
          </w:tcPr>
          <w:p w14:paraId="181C18D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92.714</w:t>
            </w:r>
          </w:p>
        </w:tc>
      </w:tr>
      <w:tr w:rsidR="00535FE1" w:rsidRPr="009054AA" w14:paraId="3A9D2B9D" w14:textId="77777777" w:rsidTr="00535FE1">
        <w:trPr>
          <w:trHeight w:val="290"/>
        </w:trPr>
        <w:tc>
          <w:tcPr>
            <w:tcW w:w="657" w:type="pct"/>
            <w:shd w:val="clear" w:color="000000" w:fill="auto"/>
            <w:noWrap/>
            <w:vAlign w:val="bottom"/>
            <w:hideMark/>
          </w:tcPr>
          <w:p w14:paraId="48B3294C"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SE-N_80 </w:t>
            </w:r>
          </w:p>
        </w:tc>
        <w:tc>
          <w:tcPr>
            <w:tcW w:w="343" w:type="pct"/>
            <w:shd w:val="clear" w:color="000000" w:fill="auto"/>
            <w:noWrap/>
            <w:vAlign w:val="center"/>
            <w:hideMark/>
          </w:tcPr>
          <w:p w14:paraId="1C441E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34.710</w:t>
            </w:r>
          </w:p>
        </w:tc>
        <w:tc>
          <w:tcPr>
            <w:tcW w:w="500" w:type="pct"/>
            <w:shd w:val="clear" w:color="000000" w:fill="auto"/>
            <w:noWrap/>
            <w:vAlign w:val="center"/>
            <w:hideMark/>
          </w:tcPr>
          <w:p w14:paraId="7C43AEF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10.374</w:t>
            </w:r>
          </w:p>
        </w:tc>
        <w:tc>
          <w:tcPr>
            <w:tcW w:w="500" w:type="pct"/>
            <w:shd w:val="clear" w:color="000000" w:fill="auto"/>
            <w:noWrap/>
            <w:vAlign w:val="center"/>
            <w:hideMark/>
          </w:tcPr>
          <w:p w14:paraId="4B9B828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5.332</w:t>
            </w:r>
          </w:p>
        </w:tc>
        <w:tc>
          <w:tcPr>
            <w:tcW w:w="500" w:type="pct"/>
            <w:shd w:val="clear" w:color="000000" w:fill="auto"/>
            <w:noWrap/>
            <w:vAlign w:val="center"/>
            <w:hideMark/>
          </w:tcPr>
          <w:p w14:paraId="27EA942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50.416</w:t>
            </w:r>
          </w:p>
        </w:tc>
        <w:tc>
          <w:tcPr>
            <w:tcW w:w="500" w:type="pct"/>
            <w:shd w:val="clear" w:color="000000" w:fill="auto"/>
            <w:noWrap/>
            <w:vAlign w:val="center"/>
            <w:hideMark/>
          </w:tcPr>
          <w:p w14:paraId="6D42C8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7.615</w:t>
            </w:r>
          </w:p>
        </w:tc>
        <w:tc>
          <w:tcPr>
            <w:tcW w:w="500" w:type="pct"/>
            <w:shd w:val="clear" w:color="000000" w:fill="auto"/>
            <w:noWrap/>
            <w:vAlign w:val="center"/>
            <w:hideMark/>
          </w:tcPr>
          <w:p w14:paraId="36018E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10.148</w:t>
            </w:r>
          </w:p>
        </w:tc>
        <w:tc>
          <w:tcPr>
            <w:tcW w:w="500" w:type="pct"/>
            <w:shd w:val="clear" w:color="000000" w:fill="auto"/>
            <w:noWrap/>
            <w:vAlign w:val="center"/>
            <w:hideMark/>
          </w:tcPr>
          <w:p w14:paraId="74CF9C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886</w:t>
            </w:r>
          </w:p>
        </w:tc>
        <w:tc>
          <w:tcPr>
            <w:tcW w:w="500" w:type="pct"/>
            <w:shd w:val="clear" w:color="000000" w:fill="auto"/>
            <w:noWrap/>
            <w:vAlign w:val="center"/>
            <w:hideMark/>
          </w:tcPr>
          <w:p w14:paraId="5BBF07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349</w:t>
            </w:r>
          </w:p>
        </w:tc>
        <w:tc>
          <w:tcPr>
            <w:tcW w:w="500" w:type="pct"/>
            <w:shd w:val="clear" w:color="000000" w:fill="auto"/>
            <w:noWrap/>
            <w:vAlign w:val="center"/>
            <w:hideMark/>
          </w:tcPr>
          <w:p w14:paraId="4A91134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18.998</w:t>
            </w:r>
          </w:p>
        </w:tc>
      </w:tr>
      <w:tr w:rsidR="00535FE1" w:rsidRPr="009054AA" w14:paraId="1176F740" w14:textId="77777777" w:rsidTr="00535FE1">
        <w:trPr>
          <w:trHeight w:val="300"/>
        </w:trPr>
        <w:tc>
          <w:tcPr>
            <w:tcW w:w="657" w:type="pct"/>
            <w:shd w:val="clear" w:color="000000" w:fill="auto"/>
            <w:noWrap/>
            <w:vAlign w:val="bottom"/>
            <w:hideMark/>
          </w:tcPr>
          <w:p w14:paraId="3A9EEEF1" w14:textId="77777777" w:rsidR="00535FE1" w:rsidRPr="00F05605" w:rsidRDefault="00535FE1" w:rsidP="00535FE1">
            <w:pPr>
              <w:spacing w:after="0" w:line="240" w:lineRule="auto"/>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SE-N_81 </w:t>
            </w:r>
          </w:p>
        </w:tc>
        <w:tc>
          <w:tcPr>
            <w:tcW w:w="343" w:type="pct"/>
            <w:shd w:val="clear" w:color="000000" w:fill="auto"/>
            <w:noWrap/>
            <w:vAlign w:val="center"/>
            <w:hideMark/>
          </w:tcPr>
          <w:p w14:paraId="7E4163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40.329</w:t>
            </w:r>
          </w:p>
        </w:tc>
        <w:tc>
          <w:tcPr>
            <w:tcW w:w="500" w:type="pct"/>
            <w:shd w:val="clear" w:color="000000" w:fill="auto"/>
            <w:noWrap/>
            <w:vAlign w:val="center"/>
            <w:hideMark/>
          </w:tcPr>
          <w:p w14:paraId="2D8A587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13.994</w:t>
            </w:r>
          </w:p>
        </w:tc>
        <w:tc>
          <w:tcPr>
            <w:tcW w:w="500" w:type="pct"/>
            <w:shd w:val="clear" w:color="000000" w:fill="auto"/>
            <w:noWrap/>
            <w:vAlign w:val="center"/>
            <w:hideMark/>
          </w:tcPr>
          <w:p w14:paraId="2F706D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15.225</w:t>
            </w:r>
          </w:p>
        </w:tc>
        <w:tc>
          <w:tcPr>
            <w:tcW w:w="500" w:type="pct"/>
            <w:shd w:val="clear" w:color="000000" w:fill="auto"/>
            <w:noWrap/>
            <w:vAlign w:val="center"/>
            <w:hideMark/>
          </w:tcPr>
          <w:p w14:paraId="071B130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69.548</w:t>
            </w:r>
          </w:p>
        </w:tc>
        <w:tc>
          <w:tcPr>
            <w:tcW w:w="500" w:type="pct"/>
            <w:shd w:val="clear" w:color="000000" w:fill="auto"/>
            <w:noWrap/>
            <w:vAlign w:val="center"/>
            <w:hideMark/>
          </w:tcPr>
          <w:p w14:paraId="34B6B06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26.638</w:t>
            </w:r>
          </w:p>
        </w:tc>
        <w:tc>
          <w:tcPr>
            <w:tcW w:w="500" w:type="pct"/>
            <w:shd w:val="clear" w:color="000000" w:fill="auto"/>
            <w:noWrap/>
            <w:vAlign w:val="center"/>
            <w:hideMark/>
          </w:tcPr>
          <w:p w14:paraId="5F9AB26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13.830</w:t>
            </w:r>
          </w:p>
        </w:tc>
        <w:tc>
          <w:tcPr>
            <w:tcW w:w="500" w:type="pct"/>
            <w:shd w:val="clear" w:color="000000" w:fill="auto"/>
            <w:noWrap/>
            <w:vAlign w:val="center"/>
            <w:hideMark/>
          </w:tcPr>
          <w:p w14:paraId="4CBB798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2.650</w:t>
            </w:r>
          </w:p>
        </w:tc>
        <w:tc>
          <w:tcPr>
            <w:tcW w:w="500" w:type="pct"/>
            <w:shd w:val="clear" w:color="000000" w:fill="auto"/>
            <w:noWrap/>
            <w:vAlign w:val="center"/>
            <w:hideMark/>
          </w:tcPr>
          <w:p w14:paraId="4F3214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696</w:t>
            </w:r>
          </w:p>
        </w:tc>
        <w:tc>
          <w:tcPr>
            <w:tcW w:w="500" w:type="pct"/>
            <w:shd w:val="clear" w:color="000000" w:fill="auto"/>
            <w:noWrap/>
            <w:vAlign w:val="center"/>
            <w:hideMark/>
          </w:tcPr>
          <w:p w14:paraId="4F5881C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43.814</w:t>
            </w:r>
          </w:p>
        </w:tc>
      </w:tr>
    </w:tbl>
    <w:p w14:paraId="1BF80AD3" w14:textId="77777777" w:rsidR="00535FE1" w:rsidRDefault="00535FE1" w:rsidP="00535FE1"/>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000000" w:fill="auto"/>
        <w:tblLayout w:type="fixed"/>
        <w:tblCellMar>
          <w:left w:w="70" w:type="dxa"/>
          <w:right w:w="70" w:type="dxa"/>
        </w:tblCellMar>
        <w:tblLook w:val="04A0" w:firstRow="1" w:lastRow="0" w:firstColumn="1" w:lastColumn="0" w:noHBand="0" w:noVBand="1"/>
      </w:tblPr>
      <w:tblGrid>
        <w:gridCol w:w="1356"/>
        <w:gridCol w:w="1356"/>
        <w:gridCol w:w="1357"/>
        <w:gridCol w:w="1357"/>
        <w:gridCol w:w="1357"/>
        <w:gridCol w:w="1357"/>
        <w:gridCol w:w="1357"/>
        <w:gridCol w:w="1357"/>
        <w:gridCol w:w="1357"/>
        <w:gridCol w:w="1357"/>
      </w:tblGrid>
      <w:tr w:rsidR="00535FE1" w:rsidRPr="00F05605" w14:paraId="621E7991" w14:textId="77777777" w:rsidTr="00535FE1">
        <w:trPr>
          <w:trHeight w:val="290"/>
          <w:tblHeader/>
        </w:trPr>
        <w:tc>
          <w:tcPr>
            <w:tcW w:w="500" w:type="pct"/>
            <w:shd w:val="clear" w:color="000000" w:fill="auto"/>
            <w:noWrap/>
            <w:vAlign w:val="center"/>
            <w:hideMark/>
          </w:tcPr>
          <w:p w14:paraId="15C3F97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Tramo</w:t>
            </w:r>
          </w:p>
          <w:p w14:paraId="1A457E7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Transporte</w:t>
            </w:r>
          </w:p>
        </w:tc>
        <w:tc>
          <w:tcPr>
            <w:tcW w:w="500" w:type="pct"/>
            <w:shd w:val="clear" w:color="000000" w:fill="auto"/>
            <w:noWrap/>
            <w:vAlign w:val="center"/>
            <w:hideMark/>
          </w:tcPr>
          <w:p w14:paraId="7711F60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Directos</w:t>
            </w:r>
          </w:p>
        </w:tc>
        <w:tc>
          <w:tcPr>
            <w:tcW w:w="500" w:type="pct"/>
            <w:shd w:val="clear" w:color="000000" w:fill="auto"/>
            <w:noWrap/>
            <w:vAlign w:val="center"/>
            <w:hideMark/>
          </w:tcPr>
          <w:p w14:paraId="071806A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Estructura Central</w:t>
            </w:r>
          </w:p>
        </w:tc>
        <w:tc>
          <w:tcPr>
            <w:tcW w:w="500" w:type="pct"/>
            <w:shd w:val="clear" w:color="000000" w:fill="auto"/>
            <w:noWrap/>
            <w:vAlign w:val="center"/>
            <w:hideMark/>
          </w:tcPr>
          <w:p w14:paraId="3FC39FE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Regional</w:t>
            </w:r>
          </w:p>
        </w:tc>
        <w:tc>
          <w:tcPr>
            <w:tcW w:w="500" w:type="pct"/>
            <w:shd w:val="clear" w:color="000000" w:fill="auto"/>
            <w:noWrap/>
            <w:vAlign w:val="center"/>
            <w:hideMark/>
          </w:tcPr>
          <w:p w14:paraId="4EDAA1C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Total</w:t>
            </w:r>
          </w:p>
        </w:tc>
        <w:tc>
          <w:tcPr>
            <w:tcW w:w="500" w:type="pct"/>
            <w:shd w:val="clear" w:color="000000" w:fill="auto"/>
            <w:noWrap/>
            <w:vAlign w:val="center"/>
            <w:hideMark/>
          </w:tcPr>
          <w:p w14:paraId="347D645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BI</w:t>
            </w:r>
          </w:p>
        </w:tc>
        <w:tc>
          <w:tcPr>
            <w:tcW w:w="500" w:type="pct"/>
            <w:shd w:val="clear" w:color="000000" w:fill="auto"/>
            <w:noWrap/>
            <w:vAlign w:val="center"/>
            <w:hideMark/>
          </w:tcPr>
          <w:p w14:paraId="497EA8D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EC</w:t>
            </w:r>
          </w:p>
        </w:tc>
        <w:tc>
          <w:tcPr>
            <w:tcW w:w="500" w:type="pct"/>
            <w:shd w:val="clear" w:color="000000" w:fill="auto"/>
            <w:noWrap/>
            <w:vAlign w:val="center"/>
            <w:hideMark/>
          </w:tcPr>
          <w:p w14:paraId="1B20B83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EOYM</w:t>
            </w:r>
          </w:p>
        </w:tc>
        <w:tc>
          <w:tcPr>
            <w:tcW w:w="500" w:type="pct"/>
            <w:shd w:val="clear" w:color="000000" w:fill="auto"/>
            <w:noWrap/>
            <w:vAlign w:val="center"/>
            <w:hideMark/>
          </w:tcPr>
          <w:p w14:paraId="5147197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BM</w:t>
            </w:r>
          </w:p>
        </w:tc>
        <w:tc>
          <w:tcPr>
            <w:tcW w:w="500" w:type="pct"/>
            <w:shd w:val="clear" w:color="000000" w:fill="auto"/>
            <w:noWrap/>
            <w:vAlign w:val="center"/>
            <w:hideMark/>
          </w:tcPr>
          <w:p w14:paraId="2FA82EF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Total BM&amp;I)</w:t>
            </w:r>
          </w:p>
        </w:tc>
      </w:tr>
      <w:tr w:rsidR="00535FE1" w:rsidRPr="00F05605" w14:paraId="3BE0915C" w14:textId="77777777" w:rsidTr="00535FE1">
        <w:trPr>
          <w:trHeight w:val="290"/>
        </w:trPr>
        <w:tc>
          <w:tcPr>
            <w:tcW w:w="500" w:type="pct"/>
            <w:shd w:val="clear" w:color="000000" w:fill="auto"/>
            <w:noWrap/>
            <w:vAlign w:val="bottom"/>
            <w:hideMark/>
          </w:tcPr>
          <w:p w14:paraId="462AA69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 </w:t>
            </w:r>
          </w:p>
        </w:tc>
        <w:tc>
          <w:tcPr>
            <w:tcW w:w="500" w:type="pct"/>
            <w:shd w:val="clear" w:color="000000" w:fill="auto"/>
            <w:noWrap/>
            <w:vAlign w:val="center"/>
            <w:hideMark/>
          </w:tcPr>
          <w:p w14:paraId="6D45AC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58.478</w:t>
            </w:r>
          </w:p>
        </w:tc>
        <w:tc>
          <w:tcPr>
            <w:tcW w:w="500" w:type="pct"/>
            <w:shd w:val="clear" w:color="000000" w:fill="auto"/>
            <w:noWrap/>
            <w:vAlign w:val="center"/>
            <w:hideMark/>
          </w:tcPr>
          <w:p w14:paraId="24F5771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47.487</w:t>
            </w:r>
          </w:p>
        </w:tc>
        <w:tc>
          <w:tcPr>
            <w:tcW w:w="500" w:type="pct"/>
            <w:shd w:val="clear" w:color="000000" w:fill="auto"/>
            <w:noWrap/>
            <w:vAlign w:val="center"/>
            <w:hideMark/>
          </w:tcPr>
          <w:p w14:paraId="77E699E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24.407</w:t>
            </w:r>
          </w:p>
        </w:tc>
        <w:tc>
          <w:tcPr>
            <w:tcW w:w="500" w:type="pct"/>
            <w:shd w:val="clear" w:color="000000" w:fill="auto"/>
            <w:noWrap/>
            <w:vAlign w:val="center"/>
            <w:hideMark/>
          </w:tcPr>
          <w:p w14:paraId="64ABFA8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130.371</w:t>
            </w:r>
          </w:p>
        </w:tc>
        <w:tc>
          <w:tcPr>
            <w:tcW w:w="500" w:type="pct"/>
            <w:shd w:val="clear" w:color="000000" w:fill="auto"/>
            <w:noWrap/>
            <w:vAlign w:val="center"/>
            <w:hideMark/>
          </w:tcPr>
          <w:p w14:paraId="34B605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34.856</w:t>
            </w:r>
          </w:p>
        </w:tc>
        <w:tc>
          <w:tcPr>
            <w:tcW w:w="500" w:type="pct"/>
            <w:shd w:val="clear" w:color="000000" w:fill="auto"/>
            <w:noWrap/>
            <w:vAlign w:val="center"/>
            <w:hideMark/>
          </w:tcPr>
          <w:p w14:paraId="460942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46.450</w:t>
            </w:r>
          </w:p>
        </w:tc>
        <w:tc>
          <w:tcPr>
            <w:tcW w:w="500" w:type="pct"/>
            <w:shd w:val="clear" w:color="000000" w:fill="auto"/>
            <w:noWrap/>
            <w:vAlign w:val="center"/>
            <w:hideMark/>
          </w:tcPr>
          <w:p w14:paraId="6C401EC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4.055</w:t>
            </w:r>
          </w:p>
        </w:tc>
        <w:tc>
          <w:tcPr>
            <w:tcW w:w="500" w:type="pct"/>
            <w:shd w:val="clear" w:color="000000" w:fill="auto"/>
            <w:noWrap/>
            <w:vAlign w:val="center"/>
            <w:hideMark/>
          </w:tcPr>
          <w:p w14:paraId="72E92C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1.599</w:t>
            </w:r>
          </w:p>
        </w:tc>
        <w:tc>
          <w:tcPr>
            <w:tcW w:w="500" w:type="pct"/>
            <w:shd w:val="clear" w:color="000000" w:fill="auto"/>
            <w:noWrap/>
            <w:vAlign w:val="center"/>
            <w:hideMark/>
          </w:tcPr>
          <w:p w14:paraId="766C82B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86.959</w:t>
            </w:r>
          </w:p>
        </w:tc>
      </w:tr>
      <w:tr w:rsidR="00535FE1" w:rsidRPr="00F05605" w14:paraId="33612E56" w14:textId="77777777" w:rsidTr="00535FE1">
        <w:trPr>
          <w:trHeight w:val="290"/>
        </w:trPr>
        <w:tc>
          <w:tcPr>
            <w:tcW w:w="500" w:type="pct"/>
            <w:shd w:val="clear" w:color="000000" w:fill="auto"/>
            <w:noWrap/>
            <w:vAlign w:val="bottom"/>
            <w:hideMark/>
          </w:tcPr>
          <w:p w14:paraId="313544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 </w:t>
            </w:r>
          </w:p>
        </w:tc>
        <w:tc>
          <w:tcPr>
            <w:tcW w:w="500" w:type="pct"/>
            <w:shd w:val="clear" w:color="000000" w:fill="auto"/>
            <w:noWrap/>
            <w:vAlign w:val="center"/>
            <w:hideMark/>
          </w:tcPr>
          <w:p w14:paraId="638900B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5.540</w:t>
            </w:r>
          </w:p>
        </w:tc>
        <w:tc>
          <w:tcPr>
            <w:tcW w:w="500" w:type="pct"/>
            <w:shd w:val="clear" w:color="000000" w:fill="auto"/>
            <w:noWrap/>
            <w:vAlign w:val="center"/>
            <w:hideMark/>
          </w:tcPr>
          <w:p w14:paraId="19ECD9F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1.364</w:t>
            </w:r>
          </w:p>
        </w:tc>
        <w:tc>
          <w:tcPr>
            <w:tcW w:w="500" w:type="pct"/>
            <w:shd w:val="clear" w:color="000000" w:fill="auto"/>
            <w:noWrap/>
            <w:vAlign w:val="center"/>
            <w:hideMark/>
          </w:tcPr>
          <w:p w14:paraId="2E7304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701</w:t>
            </w:r>
          </w:p>
        </w:tc>
        <w:tc>
          <w:tcPr>
            <w:tcW w:w="500" w:type="pct"/>
            <w:shd w:val="clear" w:color="000000" w:fill="auto"/>
            <w:noWrap/>
            <w:vAlign w:val="center"/>
            <w:hideMark/>
          </w:tcPr>
          <w:p w14:paraId="0D7F2F5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7.605</w:t>
            </w:r>
          </w:p>
        </w:tc>
        <w:tc>
          <w:tcPr>
            <w:tcW w:w="500" w:type="pct"/>
            <w:shd w:val="clear" w:color="000000" w:fill="auto"/>
            <w:noWrap/>
            <w:vAlign w:val="center"/>
            <w:hideMark/>
          </w:tcPr>
          <w:p w14:paraId="6348A60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1.001</w:t>
            </w:r>
          </w:p>
        </w:tc>
        <w:tc>
          <w:tcPr>
            <w:tcW w:w="500" w:type="pct"/>
            <w:shd w:val="clear" w:color="000000" w:fill="auto"/>
            <w:noWrap/>
            <w:vAlign w:val="center"/>
            <w:hideMark/>
          </w:tcPr>
          <w:p w14:paraId="7515361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1.335</w:t>
            </w:r>
          </w:p>
        </w:tc>
        <w:tc>
          <w:tcPr>
            <w:tcW w:w="500" w:type="pct"/>
            <w:shd w:val="clear" w:color="000000" w:fill="auto"/>
            <w:noWrap/>
            <w:vAlign w:val="center"/>
            <w:hideMark/>
          </w:tcPr>
          <w:p w14:paraId="49C85C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117</w:t>
            </w:r>
          </w:p>
        </w:tc>
        <w:tc>
          <w:tcPr>
            <w:tcW w:w="500" w:type="pct"/>
            <w:shd w:val="clear" w:color="000000" w:fill="auto"/>
            <w:noWrap/>
            <w:vAlign w:val="center"/>
            <w:hideMark/>
          </w:tcPr>
          <w:p w14:paraId="268626E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w:t>
            </w:r>
          </w:p>
        </w:tc>
        <w:tc>
          <w:tcPr>
            <w:tcW w:w="500" w:type="pct"/>
            <w:shd w:val="clear" w:color="000000" w:fill="auto"/>
            <w:noWrap/>
            <w:vAlign w:val="center"/>
            <w:hideMark/>
          </w:tcPr>
          <w:p w14:paraId="038F815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2.498</w:t>
            </w:r>
          </w:p>
        </w:tc>
      </w:tr>
      <w:tr w:rsidR="00535FE1" w:rsidRPr="00F05605" w14:paraId="5095BC4E" w14:textId="77777777" w:rsidTr="00535FE1">
        <w:trPr>
          <w:trHeight w:val="290"/>
        </w:trPr>
        <w:tc>
          <w:tcPr>
            <w:tcW w:w="500" w:type="pct"/>
            <w:shd w:val="clear" w:color="000000" w:fill="auto"/>
            <w:noWrap/>
            <w:vAlign w:val="bottom"/>
            <w:hideMark/>
          </w:tcPr>
          <w:p w14:paraId="323B63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 </w:t>
            </w:r>
          </w:p>
        </w:tc>
        <w:tc>
          <w:tcPr>
            <w:tcW w:w="500" w:type="pct"/>
            <w:shd w:val="clear" w:color="000000" w:fill="auto"/>
            <w:noWrap/>
            <w:vAlign w:val="center"/>
            <w:hideMark/>
          </w:tcPr>
          <w:p w14:paraId="2B5C399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137.749</w:t>
            </w:r>
          </w:p>
        </w:tc>
        <w:tc>
          <w:tcPr>
            <w:tcW w:w="500" w:type="pct"/>
            <w:shd w:val="clear" w:color="000000" w:fill="auto"/>
            <w:noWrap/>
            <w:vAlign w:val="center"/>
            <w:hideMark/>
          </w:tcPr>
          <w:p w14:paraId="0C1A22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48.860</w:t>
            </w:r>
          </w:p>
        </w:tc>
        <w:tc>
          <w:tcPr>
            <w:tcW w:w="500" w:type="pct"/>
            <w:shd w:val="clear" w:color="000000" w:fill="auto"/>
            <w:noWrap/>
            <w:vAlign w:val="center"/>
            <w:hideMark/>
          </w:tcPr>
          <w:p w14:paraId="61A7C8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25.113</w:t>
            </w:r>
          </w:p>
        </w:tc>
        <w:tc>
          <w:tcPr>
            <w:tcW w:w="500" w:type="pct"/>
            <w:shd w:val="clear" w:color="000000" w:fill="auto"/>
            <w:noWrap/>
            <w:vAlign w:val="center"/>
            <w:hideMark/>
          </w:tcPr>
          <w:p w14:paraId="7CB932F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211.721</w:t>
            </w:r>
          </w:p>
        </w:tc>
        <w:tc>
          <w:tcPr>
            <w:tcW w:w="500" w:type="pct"/>
            <w:shd w:val="clear" w:color="000000" w:fill="auto"/>
            <w:noWrap/>
            <w:vAlign w:val="center"/>
            <w:hideMark/>
          </w:tcPr>
          <w:p w14:paraId="67E5C6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35.863</w:t>
            </w:r>
          </w:p>
        </w:tc>
        <w:tc>
          <w:tcPr>
            <w:tcW w:w="500" w:type="pct"/>
            <w:shd w:val="clear" w:color="000000" w:fill="auto"/>
            <w:noWrap/>
            <w:vAlign w:val="center"/>
            <w:hideMark/>
          </w:tcPr>
          <w:p w14:paraId="74F0F4C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47.793</w:t>
            </w:r>
          </w:p>
        </w:tc>
        <w:tc>
          <w:tcPr>
            <w:tcW w:w="500" w:type="pct"/>
            <w:shd w:val="clear" w:color="000000" w:fill="auto"/>
            <w:noWrap/>
            <w:vAlign w:val="center"/>
            <w:hideMark/>
          </w:tcPr>
          <w:p w14:paraId="5AEB72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4.172</w:t>
            </w:r>
          </w:p>
        </w:tc>
        <w:tc>
          <w:tcPr>
            <w:tcW w:w="500" w:type="pct"/>
            <w:shd w:val="clear" w:color="000000" w:fill="auto"/>
            <w:noWrap/>
            <w:vAlign w:val="center"/>
            <w:hideMark/>
          </w:tcPr>
          <w:p w14:paraId="1589DF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1.645</w:t>
            </w:r>
          </w:p>
        </w:tc>
        <w:tc>
          <w:tcPr>
            <w:tcW w:w="500" w:type="pct"/>
            <w:shd w:val="clear" w:color="000000" w:fill="auto"/>
            <w:noWrap/>
            <w:vAlign w:val="center"/>
            <w:hideMark/>
          </w:tcPr>
          <w:p w14:paraId="6549858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89.473</w:t>
            </w:r>
          </w:p>
        </w:tc>
      </w:tr>
      <w:tr w:rsidR="00535FE1" w:rsidRPr="00F05605" w14:paraId="109756EF" w14:textId="77777777" w:rsidTr="00535FE1">
        <w:trPr>
          <w:trHeight w:val="290"/>
        </w:trPr>
        <w:tc>
          <w:tcPr>
            <w:tcW w:w="500" w:type="pct"/>
            <w:shd w:val="clear" w:color="000000" w:fill="auto"/>
            <w:noWrap/>
            <w:vAlign w:val="bottom"/>
            <w:hideMark/>
          </w:tcPr>
          <w:p w14:paraId="1B65D1C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 </w:t>
            </w:r>
          </w:p>
        </w:tc>
        <w:tc>
          <w:tcPr>
            <w:tcW w:w="500" w:type="pct"/>
            <w:shd w:val="clear" w:color="000000" w:fill="auto"/>
            <w:noWrap/>
            <w:vAlign w:val="center"/>
            <w:hideMark/>
          </w:tcPr>
          <w:p w14:paraId="2C2CB5A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140.636</w:t>
            </w:r>
          </w:p>
        </w:tc>
        <w:tc>
          <w:tcPr>
            <w:tcW w:w="500" w:type="pct"/>
            <w:shd w:val="clear" w:color="000000" w:fill="auto"/>
            <w:noWrap/>
            <w:vAlign w:val="center"/>
            <w:hideMark/>
          </w:tcPr>
          <w:p w14:paraId="4A4187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94.838</w:t>
            </w:r>
          </w:p>
        </w:tc>
        <w:tc>
          <w:tcPr>
            <w:tcW w:w="500" w:type="pct"/>
            <w:shd w:val="clear" w:color="000000" w:fill="auto"/>
            <w:noWrap/>
            <w:vAlign w:val="center"/>
            <w:hideMark/>
          </w:tcPr>
          <w:p w14:paraId="4EFE168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48.745</w:t>
            </w:r>
          </w:p>
        </w:tc>
        <w:tc>
          <w:tcPr>
            <w:tcW w:w="500" w:type="pct"/>
            <w:shd w:val="clear" w:color="000000" w:fill="auto"/>
            <w:noWrap/>
            <w:vAlign w:val="center"/>
            <w:hideMark/>
          </w:tcPr>
          <w:p w14:paraId="04B2A1A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284.219</w:t>
            </w:r>
          </w:p>
        </w:tc>
        <w:tc>
          <w:tcPr>
            <w:tcW w:w="500" w:type="pct"/>
            <w:shd w:val="clear" w:color="000000" w:fill="auto"/>
            <w:noWrap/>
            <w:vAlign w:val="center"/>
            <w:hideMark/>
          </w:tcPr>
          <w:p w14:paraId="53F0DD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69.612</w:t>
            </w:r>
          </w:p>
        </w:tc>
        <w:tc>
          <w:tcPr>
            <w:tcW w:w="500" w:type="pct"/>
            <w:shd w:val="clear" w:color="000000" w:fill="auto"/>
            <w:noWrap/>
            <w:vAlign w:val="center"/>
            <w:hideMark/>
          </w:tcPr>
          <w:p w14:paraId="5A62398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92.768</w:t>
            </w:r>
          </w:p>
        </w:tc>
        <w:tc>
          <w:tcPr>
            <w:tcW w:w="500" w:type="pct"/>
            <w:shd w:val="clear" w:color="000000" w:fill="auto"/>
            <w:noWrap/>
            <w:vAlign w:val="center"/>
            <w:hideMark/>
          </w:tcPr>
          <w:p w14:paraId="0545C7A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8.098</w:t>
            </w:r>
          </w:p>
        </w:tc>
        <w:tc>
          <w:tcPr>
            <w:tcW w:w="500" w:type="pct"/>
            <w:shd w:val="clear" w:color="000000" w:fill="auto"/>
            <w:noWrap/>
            <w:vAlign w:val="center"/>
            <w:hideMark/>
          </w:tcPr>
          <w:p w14:paraId="610878A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3.193</w:t>
            </w:r>
          </w:p>
        </w:tc>
        <w:tc>
          <w:tcPr>
            <w:tcW w:w="500" w:type="pct"/>
            <w:shd w:val="clear" w:color="000000" w:fill="auto"/>
            <w:noWrap/>
            <w:vAlign w:val="center"/>
            <w:hideMark/>
          </w:tcPr>
          <w:p w14:paraId="1D09809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173.671</w:t>
            </w:r>
          </w:p>
        </w:tc>
      </w:tr>
      <w:tr w:rsidR="00535FE1" w:rsidRPr="00F05605" w14:paraId="69986AF1" w14:textId="77777777" w:rsidTr="00535FE1">
        <w:trPr>
          <w:trHeight w:val="290"/>
        </w:trPr>
        <w:tc>
          <w:tcPr>
            <w:tcW w:w="500" w:type="pct"/>
            <w:shd w:val="clear" w:color="000000" w:fill="auto"/>
            <w:noWrap/>
            <w:vAlign w:val="bottom"/>
            <w:hideMark/>
          </w:tcPr>
          <w:p w14:paraId="18EED12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 </w:t>
            </w:r>
          </w:p>
        </w:tc>
        <w:tc>
          <w:tcPr>
            <w:tcW w:w="500" w:type="pct"/>
            <w:shd w:val="clear" w:color="000000" w:fill="auto"/>
            <w:noWrap/>
            <w:vAlign w:val="center"/>
            <w:hideMark/>
          </w:tcPr>
          <w:p w14:paraId="1CD9FC0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11.099</w:t>
            </w:r>
          </w:p>
        </w:tc>
        <w:tc>
          <w:tcPr>
            <w:tcW w:w="500" w:type="pct"/>
            <w:shd w:val="clear" w:color="000000" w:fill="auto"/>
            <w:noWrap/>
            <w:vAlign w:val="center"/>
            <w:hideMark/>
          </w:tcPr>
          <w:p w14:paraId="71A6DA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5.572</w:t>
            </w:r>
          </w:p>
        </w:tc>
        <w:tc>
          <w:tcPr>
            <w:tcW w:w="500" w:type="pct"/>
            <w:shd w:val="clear" w:color="000000" w:fill="auto"/>
            <w:noWrap/>
            <w:vAlign w:val="center"/>
            <w:hideMark/>
          </w:tcPr>
          <w:p w14:paraId="292037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2.864</w:t>
            </w:r>
          </w:p>
        </w:tc>
        <w:tc>
          <w:tcPr>
            <w:tcW w:w="500" w:type="pct"/>
            <w:shd w:val="clear" w:color="000000" w:fill="auto"/>
            <w:noWrap/>
            <w:vAlign w:val="center"/>
            <w:hideMark/>
          </w:tcPr>
          <w:p w14:paraId="53F47DC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19.534</w:t>
            </w:r>
          </w:p>
        </w:tc>
        <w:tc>
          <w:tcPr>
            <w:tcW w:w="500" w:type="pct"/>
            <w:shd w:val="clear" w:color="000000" w:fill="auto"/>
            <w:noWrap/>
            <w:vAlign w:val="center"/>
            <w:hideMark/>
          </w:tcPr>
          <w:p w14:paraId="6589E1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4.090</w:t>
            </w:r>
          </w:p>
        </w:tc>
        <w:tc>
          <w:tcPr>
            <w:tcW w:w="500" w:type="pct"/>
            <w:shd w:val="clear" w:color="000000" w:fill="auto"/>
            <w:noWrap/>
            <w:vAlign w:val="center"/>
            <w:hideMark/>
          </w:tcPr>
          <w:p w14:paraId="759D042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5.450</w:t>
            </w:r>
          </w:p>
        </w:tc>
        <w:tc>
          <w:tcPr>
            <w:tcW w:w="500" w:type="pct"/>
            <w:shd w:val="clear" w:color="000000" w:fill="auto"/>
            <w:noWrap/>
            <w:vAlign w:val="center"/>
            <w:hideMark/>
          </w:tcPr>
          <w:p w14:paraId="23B43F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476</w:t>
            </w:r>
          </w:p>
        </w:tc>
        <w:tc>
          <w:tcPr>
            <w:tcW w:w="500" w:type="pct"/>
            <w:shd w:val="clear" w:color="000000" w:fill="auto"/>
            <w:noWrap/>
            <w:vAlign w:val="center"/>
            <w:hideMark/>
          </w:tcPr>
          <w:p w14:paraId="5504598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188</w:t>
            </w:r>
          </w:p>
        </w:tc>
        <w:tc>
          <w:tcPr>
            <w:tcW w:w="500" w:type="pct"/>
            <w:shd w:val="clear" w:color="000000" w:fill="auto"/>
            <w:noWrap/>
            <w:vAlign w:val="center"/>
            <w:hideMark/>
          </w:tcPr>
          <w:p w14:paraId="22EC983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10.203</w:t>
            </w:r>
          </w:p>
        </w:tc>
      </w:tr>
      <w:tr w:rsidR="00535FE1" w:rsidRPr="00F05605" w14:paraId="0F6506CC" w14:textId="77777777" w:rsidTr="00535FE1">
        <w:trPr>
          <w:trHeight w:val="290"/>
        </w:trPr>
        <w:tc>
          <w:tcPr>
            <w:tcW w:w="500" w:type="pct"/>
            <w:shd w:val="clear" w:color="000000" w:fill="auto"/>
            <w:noWrap/>
            <w:vAlign w:val="bottom"/>
            <w:hideMark/>
          </w:tcPr>
          <w:p w14:paraId="174B8E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 </w:t>
            </w:r>
          </w:p>
        </w:tc>
        <w:tc>
          <w:tcPr>
            <w:tcW w:w="500" w:type="pct"/>
            <w:shd w:val="clear" w:color="000000" w:fill="auto"/>
            <w:noWrap/>
            <w:vAlign w:val="center"/>
            <w:hideMark/>
          </w:tcPr>
          <w:p w14:paraId="4898FF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29.968</w:t>
            </w:r>
          </w:p>
        </w:tc>
        <w:tc>
          <w:tcPr>
            <w:tcW w:w="500" w:type="pct"/>
            <w:shd w:val="clear" w:color="000000" w:fill="auto"/>
            <w:noWrap/>
            <w:vAlign w:val="center"/>
            <w:hideMark/>
          </w:tcPr>
          <w:p w14:paraId="308244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12.637</w:t>
            </w:r>
          </w:p>
        </w:tc>
        <w:tc>
          <w:tcPr>
            <w:tcW w:w="500" w:type="pct"/>
            <w:shd w:val="clear" w:color="000000" w:fill="auto"/>
            <w:noWrap/>
            <w:vAlign w:val="center"/>
            <w:hideMark/>
          </w:tcPr>
          <w:p w14:paraId="107B82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6.495</w:t>
            </w:r>
          </w:p>
        </w:tc>
        <w:tc>
          <w:tcPr>
            <w:tcW w:w="500" w:type="pct"/>
            <w:shd w:val="clear" w:color="000000" w:fill="auto"/>
            <w:noWrap/>
            <w:vAlign w:val="center"/>
            <w:hideMark/>
          </w:tcPr>
          <w:p w14:paraId="6D52AE8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49.100</w:t>
            </w:r>
          </w:p>
        </w:tc>
        <w:tc>
          <w:tcPr>
            <w:tcW w:w="500" w:type="pct"/>
            <w:shd w:val="clear" w:color="000000" w:fill="auto"/>
            <w:noWrap/>
            <w:vAlign w:val="center"/>
            <w:hideMark/>
          </w:tcPr>
          <w:p w14:paraId="17FF2BA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9.275</w:t>
            </w:r>
          </w:p>
        </w:tc>
        <w:tc>
          <w:tcPr>
            <w:tcW w:w="500" w:type="pct"/>
            <w:shd w:val="clear" w:color="000000" w:fill="auto"/>
            <w:noWrap/>
            <w:vAlign w:val="center"/>
            <w:hideMark/>
          </w:tcPr>
          <w:p w14:paraId="333B0D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12.361</w:t>
            </w:r>
          </w:p>
        </w:tc>
        <w:tc>
          <w:tcPr>
            <w:tcW w:w="500" w:type="pct"/>
            <w:shd w:val="clear" w:color="000000" w:fill="auto"/>
            <w:noWrap/>
            <w:vAlign w:val="center"/>
            <w:hideMark/>
          </w:tcPr>
          <w:p w14:paraId="7B8FFA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1.079</w:t>
            </w:r>
          </w:p>
        </w:tc>
        <w:tc>
          <w:tcPr>
            <w:tcW w:w="500" w:type="pct"/>
            <w:shd w:val="clear" w:color="000000" w:fill="auto"/>
            <w:noWrap/>
            <w:vAlign w:val="center"/>
            <w:hideMark/>
          </w:tcPr>
          <w:p w14:paraId="5D7D8C3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425</w:t>
            </w:r>
          </w:p>
        </w:tc>
        <w:tc>
          <w:tcPr>
            <w:tcW w:w="500" w:type="pct"/>
            <w:shd w:val="clear" w:color="000000" w:fill="auto"/>
            <w:noWrap/>
            <w:vAlign w:val="center"/>
            <w:hideMark/>
          </w:tcPr>
          <w:p w14:paraId="34788A7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23.140</w:t>
            </w:r>
          </w:p>
        </w:tc>
      </w:tr>
      <w:tr w:rsidR="00535FE1" w:rsidRPr="00F05605" w14:paraId="0A944170" w14:textId="77777777" w:rsidTr="00535FE1">
        <w:trPr>
          <w:trHeight w:val="290"/>
        </w:trPr>
        <w:tc>
          <w:tcPr>
            <w:tcW w:w="500" w:type="pct"/>
            <w:shd w:val="clear" w:color="000000" w:fill="auto"/>
            <w:noWrap/>
            <w:vAlign w:val="bottom"/>
            <w:hideMark/>
          </w:tcPr>
          <w:p w14:paraId="31C2747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 </w:t>
            </w:r>
          </w:p>
        </w:tc>
        <w:tc>
          <w:tcPr>
            <w:tcW w:w="500" w:type="pct"/>
            <w:shd w:val="clear" w:color="000000" w:fill="auto"/>
            <w:noWrap/>
            <w:vAlign w:val="center"/>
            <w:hideMark/>
          </w:tcPr>
          <w:p w14:paraId="0BFB91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1.342.993</w:t>
            </w:r>
          </w:p>
        </w:tc>
        <w:tc>
          <w:tcPr>
            <w:tcW w:w="500" w:type="pct"/>
            <w:shd w:val="clear" w:color="000000" w:fill="auto"/>
            <w:noWrap/>
            <w:vAlign w:val="center"/>
            <w:hideMark/>
          </w:tcPr>
          <w:p w14:paraId="4D0E025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928.307</w:t>
            </w:r>
          </w:p>
        </w:tc>
        <w:tc>
          <w:tcPr>
            <w:tcW w:w="500" w:type="pct"/>
            <w:shd w:val="clear" w:color="000000" w:fill="auto"/>
            <w:noWrap/>
            <w:vAlign w:val="center"/>
            <w:hideMark/>
          </w:tcPr>
          <w:p w14:paraId="2D7C6FF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477.128</w:t>
            </w:r>
          </w:p>
        </w:tc>
        <w:tc>
          <w:tcPr>
            <w:tcW w:w="500" w:type="pct"/>
            <w:shd w:val="clear" w:color="000000" w:fill="auto"/>
            <w:noWrap/>
            <w:vAlign w:val="center"/>
            <w:hideMark/>
          </w:tcPr>
          <w:p w14:paraId="19E01E9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2.748.429</w:t>
            </w:r>
          </w:p>
        </w:tc>
        <w:tc>
          <w:tcPr>
            <w:tcW w:w="500" w:type="pct"/>
            <w:shd w:val="clear" w:color="000000" w:fill="auto"/>
            <w:noWrap/>
            <w:vAlign w:val="center"/>
            <w:hideMark/>
          </w:tcPr>
          <w:p w14:paraId="460241C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681.385</w:t>
            </w:r>
          </w:p>
        </w:tc>
        <w:tc>
          <w:tcPr>
            <w:tcW w:w="500" w:type="pct"/>
            <w:shd w:val="clear" w:color="000000" w:fill="auto"/>
            <w:noWrap/>
            <w:vAlign w:val="center"/>
            <w:hideMark/>
          </w:tcPr>
          <w:p w14:paraId="5FA133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908.040</w:t>
            </w:r>
          </w:p>
        </w:tc>
        <w:tc>
          <w:tcPr>
            <w:tcW w:w="500" w:type="pct"/>
            <w:shd w:val="clear" w:color="000000" w:fill="auto"/>
            <w:noWrap/>
            <w:vAlign w:val="center"/>
            <w:hideMark/>
          </w:tcPr>
          <w:p w14:paraId="464B0D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79.267</w:t>
            </w:r>
          </w:p>
        </w:tc>
        <w:tc>
          <w:tcPr>
            <w:tcW w:w="500" w:type="pct"/>
            <w:shd w:val="clear" w:color="000000" w:fill="auto"/>
            <w:noWrap/>
            <w:vAlign w:val="center"/>
            <w:hideMark/>
          </w:tcPr>
          <w:p w14:paraId="485CCB5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31.250</w:t>
            </w:r>
          </w:p>
        </w:tc>
        <w:tc>
          <w:tcPr>
            <w:tcW w:w="500" w:type="pct"/>
            <w:shd w:val="clear" w:color="000000" w:fill="auto"/>
            <w:noWrap/>
            <w:vAlign w:val="center"/>
            <w:hideMark/>
          </w:tcPr>
          <w:p w14:paraId="2AF16AA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1.699.942</w:t>
            </w:r>
          </w:p>
        </w:tc>
      </w:tr>
      <w:tr w:rsidR="00535FE1" w:rsidRPr="00F05605" w14:paraId="2A2ED21F" w14:textId="77777777" w:rsidTr="00535FE1">
        <w:trPr>
          <w:trHeight w:val="290"/>
        </w:trPr>
        <w:tc>
          <w:tcPr>
            <w:tcW w:w="500" w:type="pct"/>
            <w:shd w:val="clear" w:color="000000" w:fill="auto"/>
            <w:noWrap/>
            <w:vAlign w:val="bottom"/>
            <w:hideMark/>
          </w:tcPr>
          <w:p w14:paraId="749F19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 </w:t>
            </w:r>
          </w:p>
        </w:tc>
        <w:tc>
          <w:tcPr>
            <w:tcW w:w="500" w:type="pct"/>
            <w:shd w:val="clear" w:color="000000" w:fill="auto"/>
            <w:noWrap/>
            <w:vAlign w:val="center"/>
            <w:hideMark/>
          </w:tcPr>
          <w:p w14:paraId="16AF10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20.451</w:t>
            </w:r>
          </w:p>
        </w:tc>
        <w:tc>
          <w:tcPr>
            <w:tcW w:w="500" w:type="pct"/>
            <w:shd w:val="clear" w:color="000000" w:fill="auto"/>
            <w:noWrap/>
            <w:vAlign w:val="center"/>
            <w:hideMark/>
          </w:tcPr>
          <w:p w14:paraId="552309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25.533</w:t>
            </w:r>
          </w:p>
        </w:tc>
        <w:tc>
          <w:tcPr>
            <w:tcW w:w="500" w:type="pct"/>
            <w:shd w:val="clear" w:color="000000" w:fill="auto"/>
            <w:noWrap/>
            <w:vAlign w:val="center"/>
            <w:hideMark/>
          </w:tcPr>
          <w:p w14:paraId="3C413B1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32.239</w:t>
            </w:r>
          </w:p>
        </w:tc>
        <w:tc>
          <w:tcPr>
            <w:tcW w:w="500" w:type="pct"/>
            <w:shd w:val="clear" w:color="000000" w:fill="auto"/>
            <w:noWrap/>
            <w:vAlign w:val="center"/>
            <w:hideMark/>
          </w:tcPr>
          <w:p w14:paraId="2D85BC3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78.223</w:t>
            </w:r>
          </w:p>
        </w:tc>
        <w:tc>
          <w:tcPr>
            <w:tcW w:w="500" w:type="pct"/>
            <w:shd w:val="clear" w:color="000000" w:fill="auto"/>
            <w:noWrap/>
            <w:vAlign w:val="center"/>
            <w:hideMark/>
          </w:tcPr>
          <w:p w14:paraId="7E91C33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33.014</w:t>
            </w:r>
          </w:p>
        </w:tc>
        <w:tc>
          <w:tcPr>
            <w:tcW w:w="500" w:type="pct"/>
            <w:shd w:val="clear" w:color="000000" w:fill="auto"/>
            <w:noWrap/>
            <w:vAlign w:val="center"/>
            <w:hideMark/>
          </w:tcPr>
          <w:p w14:paraId="38FC36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25.355</w:t>
            </w:r>
          </w:p>
        </w:tc>
        <w:tc>
          <w:tcPr>
            <w:tcW w:w="500" w:type="pct"/>
            <w:shd w:val="clear" w:color="000000" w:fill="auto"/>
            <w:noWrap/>
            <w:vAlign w:val="center"/>
            <w:hideMark/>
          </w:tcPr>
          <w:p w14:paraId="3EB48B2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6.196</w:t>
            </w:r>
          </w:p>
        </w:tc>
        <w:tc>
          <w:tcPr>
            <w:tcW w:w="500" w:type="pct"/>
            <w:shd w:val="clear" w:color="000000" w:fill="auto"/>
            <w:noWrap/>
            <w:vAlign w:val="center"/>
            <w:hideMark/>
          </w:tcPr>
          <w:p w14:paraId="2F4ABC0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1.460</w:t>
            </w:r>
          </w:p>
        </w:tc>
        <w:tc>
          <w:tcPr>
            <w:tcW w:w="500" w:type="pct"/>
            <w:shd w:val="clear" w:color="000000" w:fill="auto"/>
            <w:noWrap/>
            <w:vAlign w:val="center"/>
            <w:hideMark/>
          </w:tcPr>
          <w:p w14:paraId="611CD54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66.025</w:t>
            </w:r>
          </w:p>
        </w:tc>
      </w:tr>
      <w:tr w:rsidR="00535FE1" w:rsidRPr="00F05605" w14:paraId="315D5DB0" w14:textId="77777777" w:rsidTr="00535FE1">
        <w:trPr>
          <w:trHeight w:val="290"/>
        </w:trPr>
        <w:tc>
          <w:tcPr>
            <w:tcW w:w="500" w:type="pct"/>
            <w:shd w:val="clear" w:color="000000" w:fill="auto"/>
            <w:noWrap/>
            <w:vAlign w:val="bottom"/>
            <w:hideMark/>
          </w:tcPr>
          <w:p w14:paraId="613FB41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 </w:t>
            </w:r>
          </w:p>
        </w:tc>
        <w:tc>
          <w:tcPr>
            <w:tcW w:w="500" w:type="pct"/>
            <w:shd w:val="clear" w:color="000000" w:fill="auto"/>
            <w:noWrap/>
            <w:vAlign w:val="center"/>
            <w:hideMark/>
          </w:tcPr>
          <w:p w14:paraId="63EDE0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7.794</w:t>
            </w:r>
          </w:p>
        </w:tc>
        <w:tc>
          <w:tcPr>
            <w:tcW w:w="500" w:type="pct"/>
            <w:shd w:val="clear" w:color="000000" w:fill="auto"/>
            <w:noWrap/>
            <w:vAlign w:val="center"/>
            <w:hideMark/>
          </w:tcPr>
          <w:p w14:paraId="37C3D2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898</w:t>
            </w:r>
          </w:p>
        </w:tc>
        <w:tc>
          <w:tcPr>
            <w:tcW w:w="500" w:type="pct"/>
            <w:shd w:val="clear" w:color="000000" w:fill="auto"/>
            <w:noWrap/>
            <w:vAlign w:val="center"/>
            <w:hideMark/>
          </w:tcPr>
          <w:p w14:paraId="6E7EC0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1.134</w:t>
            </w:r>
          </w:p>
        </w:tc>
        <w:tc>
          <w:tcPr>
            <w:tcW w:w="500" w:type="pct"/>
            <w:shd w:val="clear" w:color="000000" w:fill="auto"/>
            <w:noWrap/>
            <w:vAlign w:val="center"/>
            <w:hideMark/>
          </w:tcPr>
          <w:p w14:paraId="0FA5639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9.827</w:t>
            </w:r>
          </w:p>
        </w:tc>
        <w:tc>
          <w:tcPr>
            <w:tcW w:w="500" w:type="pct"/>
            <w:shd w:val="clear" w:color="000000" w:fill="auto"/>
            <w:noWrap/>
            <w:vAlign w:val="center"/>
            <w:hideMark/>
          </w:tcPr>
          <w:p w14:paraId="56EB0C5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1.162</w:t>
            </w:r>
          </w:p>
        </w:tc>
        <w:tc>
          <w:tcPr>
            <w:tcW w:w="500" w:type="pct"/>
            <w:shd w:val="clear" w:color="000000" w:fill="auto"/>
            <w:noWrap/>
            <w:vAlign w:val="center"/>
            <w:hideMark/>
          </w:tcPr>
          <w:p w14:paraId="124580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892</w:t>
            </w:r>
          </w:p>
        </w:tc>
        <w:tc>
          <w:tcPr>
            <w:tcW w:w="500" w:type="pct"/>
            <w:shd w:val="clear" w:color="000000" w:fill="auto"/>
            <w:noWrap/>
            <w:vAlign w:val="center"/>
            <w:hideMark/>
          </w:tcPr>
          <w:p w14:paraId="0F5BF9F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218</w:t>
            </w:r>
          </w:p>
        </w:tc>
        <w:tc>
          <w:tcPr>
            <w:tcW w:w="500" w:type="pct"/>
            <w:shd w:val="clear" w:color="000000" w:fill="auto"/>
            <w:noWrap/>
            <w:vAlign w:val="center"/>
            <w:hideMark/>
          </w:tcPr>
          <w:p w14:paraId="5691269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w:t>
            </w:r>
          </w:p>
        </w:tc>
        <w:tc>
          <w:tcPr>
            <w:tcW w:w="500" w:type="pct"/>
            <w:shd w:val="clear" w:color="000000" w:fill="auto"/>
            <w:noWrap/>
            <w:vAlign w:val="center"/>
            <w:hideMark/>
          </w:tcPr>
          <w:p w14:paraId="198228A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2.323</w:t>
            </w:r>
          </w:p>
        </w:tc>
      </w:tr>
      <w:tr w:rsidR="00535FE1" w:rsidRPr="00F05605" w14:paraId="1A6A77AD" w14:textId="77777777" w:rsidTr="00535FE1">
        <w:trPr>
          <w:trHeight w:val="290"/>
        </w:trPr>
        <w:tc>
          <w:tcPr>
            <w:tcW w:w="500" w:type="pct"/>
            <w:shd w:val="clear" w:color="000000" w:fill="auto"/>
            <w:noWrap/>
            <w:vAlign w:val="bottom"/>
            <w:hideMark/>
          </w:tcPr>
          <w:p w14:paraId="65E001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 </w:t>
            </w:r>
          </w:p>
        </w:tc>
        <w:tc>
          <w:tcPr>
            <w:tcW w:w="500" w:type="pct"/>
            <w:shd w:val="clear" w:color="000000" w:fill="auto"/>
            <w:noWrap/>
            <w:vAlign w:val="center"/>
            <w:hideMark/>
          </w:tcPr>
          <w:p w14:paraId="5DA3A04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106.455</w:t>
            </w:r>
          </w:p>
        </w:tc>
        <w:tc>
          <w:tcPr>
            <w:tcW w:w="500" w:type="pct"/>
            <w:shd w:val="clear" w:color="000000" w:fill="auto"/>
            <w:noWrap/>
            <w:vAlign w:val="center"/>
            <w:hideMark/>
          </w:tcPr>
          <w:p w14:paraId="6949341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41.481</w:t>
            </w:r>
          </w:p>
        </w:tc>
        <w:tc>
          <w:tcPr>
            <w:tcW w:w="500" w:type="pct"/>
            <w:shd w:val="clear" w:color="000000" w:fill="auto"/>
            <w:noWrap/>
            <w:vAlign w:val="center"/>
            <w:hideMark/>
          </w:tcPr>
          <w:p w14:paraId="38601D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52.375</w:t>
            </w:r>
          </w:p>
        </w:tc>
        <w:tc>
          <w:tcPr>
            <w:tcW w:w="500" w:type="pct"/>
            <w:shd w:val="clear" w:color="000000" w:fill="auto"/>
            <w:noWrap/>
            <w:vAlign w:val="center"/>
            <w:hideMark/>
          </w:tcPr>
          <w:p w14:paraId="5A657F8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200.310</w:t>
            </w:r>
          </w:p>
        </w:tc>
        <w:tc>
          <w:tcPr>
            <w:tcW w:w="500" w:type="pct"/>
            <w:shd w:val="clear" w:color="000000" w:fill="auto"/>
            <w:noWrap/>
            <w:vAlign w:val="center"/>
            <w:hideMark/>
          </w:tcPr>
          <w:p w14:paraId="02D9F6E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53.634</w:t>
            </w:r>
          </w:p>
        </w:tc>
        <w:tc>
          <w:tcPr>
            <w:tcW w:w="500" w:type="pct"/>
            <w:shd w:val="clear" w:color="000000" w:fill="auto"/>
            <w:noWrap/>
            <w:vAlign w:val="center"/>
            <w:hideMark/>
          </w:tcPr>
          <w:p w14:paraId="7EE27A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41.191</w:t>
            </w:r>
          </w:p>
        </w:tc>
        <w:tc>
          <w:tcPr>
            <w:tcW w:w="500" w:type="pct"/>
            <w:shd w:val="clear" w:color="000000" w:fill="auto"/>
            <w:noWrap/>
            <w:vAlign w:val="center"/>
            <w:hideMark/>
          </w:tcPr>
          <w:p w14:paraId="5191A81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10.066</w:t>
            </w:r>
          </w:p>
        </w:tc>
        <w:tc>
          <w:tcPr>
            <w:tcW w:w="500" w:type="pct"/>
            <w:shd w:val="clear" w:color="000000" w:fill="auto"/>
            <w:noWrap/>
            <w:vAlign w:val="center"/>
            <w:hideMark/>
          </w:tcPr>
          <w:p w14:paraId="5BEB5A4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2.371</w:t>
            </w:r>
          </w:p>
        </w:tc>
        <w:tc>
          <w:tcPr>
            <w:tcW w:w="500" w:type="pct"/>
            <w:shd w:val="clear" w:color="000000" w:fill="auto"/>
            <w:noWrap/>
            <w:vAlign w:val="center"/>
            <w:hideMark/>
          </w:tcPr>
          <w:p w14:paraId="6EF3CF7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107.262</w:t>
            </w:r>
          </w:p>
        </w:tc>
      </w:tr>
      <w:tr w:rsidR="00535FE1" w:rsidRPr="00F05605" w14:paraId="5B48310A" w14:textId="77777777" w:rsidTr="00535FE1">
        <w:trPr>
          <w:trHeight w:val="290"/>
        </w:trPr>
        <w:tc>
          <w:tcPr>
            <w:tcW w:w="500" w:type="pct"/>
            <w:shd w:val="clear" w:color="000000" w:fill="auto"/>
            <w:noWrap/>
            <w:vAlign w:val="bottom"/>
            <w:hideMark/>
          </w:tcPr>
          <w:p w14:paraId="017DD5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 </w:t>
            </w:r>
          </w:p>
        </w:tc>
        <w:tc>
          <w:tcPr>
            <w:tcW w:w="500" w:type="pct"/>
            <w:shd w:val="clear" w:color="000000" w:fill="auto"/>
            <w:noWrap/>
            <w:vAlign w:val="center"/>
            <w:hideMark/>
          </w:tcPr>
          <w:p w14:paraId="5384DA2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150.290</w:t>
            </w:r>
          </w:p>
        </w:tc>
        <w:tc>
          <w:tcPr>
            <w:tcW w:w="500" w:type="pct"/>
            <w:shd w:val="clear" w:color="000000" w:fill="auto"/>
            <w:noWrap/>
            <w:vAlign w:val="center"/>
            <w:hideMark/>
          </w:tcPr>
          <w:p w14:paraId="2AB13F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17.699</w:t>
            </w:r>
          </w:p>
        </w:tc>
        <w:tc>
          <w:tcPr>
            <w:tcW w:w="500" w:type="pct"/>
            <w:shd w:val="clear" w:color="000000" w:fill="auto"/>
            <w:noWrap/>
            <w:vAlign w:val="center"/>
            <w:hideMark/>
          </w:tcPr>
          <w:p w14:paraId="6CEDD9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22.347</w:t>
            </w:r>
          </w:p>
        </w:tc>
        <w:tc>
          <w:tcPr>
            <w:tcW w:w="500" w:type="pct"/>
            <w:shd w:val="clear" w:color="000000" w:fill="auto"/>
            <w:noWrap/>
            <w:vAlign w:val="center"/>
            <w:hideMark/>
          </w:tcPr>
          <w:p w14:paraId="7BADFC1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190.336</w:t>
            </w:r>
          </w:p>
        </w:tc>
        <w:tc>
          <w:tcPr>
            <w:tcW w:w="500" w:type="pct"/>
            <w:shd w:val="clear" w:color="000000" w:fill="auto"/>
            <w:noWrap/>
            <w:vAlign w:val="center"/>
            <w:hideMark/>
          </w:tcPr>
          <w:p w14:paraId="5CAD6CD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22.885</w:t>
            </w:r>
          </w:p>
        </w:tc>
        <w:tc>
          <w:tcPr>
            <w:tcW w:w="500" w:type="pct"/>
            <w:shd w:val="clear" w:color="000000" w:fill="auto"/>
            <w:noWrap/>
            <w:vAlign w:val="center"/>
            <w:hideMark/>
          </w:tcPr>
          <w:p w14:paraId="0435C7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17.575</w:t>
            </w:r>
          </w:p>
        </w:tc>
        <w:tc>
          <w:tcPr>
            <w:tcW w:w="500" w:type="pct"/>
            <w:shd w:val="clear" w:color="000000" w:fill="auto"/>
            <w:noWrap/>
            <w:vAlign w:val="center"/>
            <w:hideMark/>
          </w:tcPr>
          <w:p w14:paraId="1E2CBD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4.295</w:t>
            </w:r>
          </w:p>
        </w:tc>
        <w:tc>
          <w:tcPr>
            <w:tcW w:w="500" w:type="pct"/>
            <w:shd w:val="clear" w:color="000000" w:fill="auto"/>
            <w:noWrap/>
            <w:vAlign w:val="center"/>
            <w:hideMark/>
          </w:tcPr>
          <w:p w14:paraId="355E80C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1.012</w:t>
            </w:r>
          </w:p>
        </w:tc>
        <w:tc>
          <w:tcPr>
            <w:tcW w:w="500" w:type="pct"/>
            <w:shd w:val="clear" w:color="000000" w:fill="auto"/>
            <w:noWrap/>
            <w:vAlign w:val="center"/>
            <w:hideMark/>
          </w:tcPr>
          <w:p w14:paraId="057E59D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45.767</w:t>
            </w:r>
          </w:p>
        </w:tc>
      </w:tr>
      <w:tr w:rsidR="00535FE1" w:rsidRPr="00F05605" w14:paraId="577A56A4" w14:textId="77777777" w:rsidTr="00535FE1">
        <w:trPr>
          <w:trHeight w:val="290"/>
        </w:trPr>
        <w:tc>
          <w:tcPr>
            <w:tcW w:w="500" w:type="pct"/>
            <w:shd w:val="clear" w:color="000000" w:fill="auto"/>
            <w:noWrap/>
            <w:vAlign w:val="bottom"/>
            <w:hideMark/>
          </w:tcPr>
          <w:p w14:paraId="7B8E3A7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 </w:t>
            </w:r>
          </w:p>
        </w:tc>
        <w:tc>
          <w:tcPr>
            <w:tcW w:w="500" w:type="pct"/>
            <w:shd w:val="clear" w:color="000000" w:fill="auto"/>
            <w:noWrap/>
            <w:vAlign w:val="center"/>
            <w:hideMark/>
          </w:tcPr>
          <w:p w14:paraId="1A663F1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793.146</w:t>
            </w:r>
          </w:p>
        </w:tc>
        <w:tc>
          <w:tcPr>
            <w:tcW w:w="500" w:type="pct"/>
            <w:shd w:val="clear" w:color="000000" w:fill="auto"/>
            <w:noWrap/>
            <w:vAlign w:val="center"/>
            <w:hideMark/>
          </w:tcPr>
          <w:p w14:paraId="5F8F87C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428.114</w:t>
            </w:r>
          </w:p>
        </w:tc>
        <w:tc>
          <w:tcPr>
            <w:tcW w:w="500" w:type="pct"/>
            <w:shd w:val="clear" w:color="000000" w:fill="auto"/>
            <w:noWrap/>
            <w:vAlign w:val="center"/>
            <w:hideMark/>
          </w:tcPr>
          <w:p w14:paraId="205809F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540.549</w:t>
            </w:r>
          </w:p>
        </w:tc>
        <w:tc>
          <w:tcPr>
            <w:tcW w:w="500" w:type="pct"/>
            <w:shd w:val="clear" w:color="000000" w:fill="auto"/>
            <w:noWrap/>
            <w:vAlign w:val="center"/>
            <w:hideMark/>
          </w:tcPr>
          <w:p w14:paraId="6C836FE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1.761.809</w:t>
            </w:r>
          </w:p>
        </w:tc>
        <w:tc>
          <w:tcPr>
            <w:tcW w:w="500" w:type="pct"/>
            <w:shd w:val="clear" w:color="000000" w:fill="auto"/>
            <w:noWrap/>
            <w:vAlign w:val="center"/>
            <w:hideMark/>
          </w:tcPr>
          <w:p w14:paraId="0968874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553.544</w:t>
            </w:r>
          </w:p>
        </w:tc>
        <w:tc>
          <w:tcPr>
            <w:tcW w:w="500" w:type="pct"/>
            <w:shd w:val="clear" w:color="000000" w:fill="auto"/>
            <w:noWrap/>
            <w:vAlign w:val="center"/>
            <w:hideMark/>
          </w:tcPr>
          <w:p w14:paraId="0A195A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425.121</w:t>
            </w:r>
          </w:p>
        </w:tc>
        <w:tc>
          <w:tcPr>
            <w:tcW w:w="500" w:type="pct"/>
            <w:shd w:val="clear" w:color="000000" w:fill="auto"/>
            <w:noWrap/>
            <w:vAlign w:val="center"/>
            <w:hideMark/>
          </w:tcPr>
          <w:p w14:paraId="09BE09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103.888</w:t>
            </w:r>
          </w:p>
        </w:tc>
        <w:tc>
          <w:tcPr>
            <w:tcW w:w="500" w:type="pct"/>
            <w:shd w:val="clear" w:color="000000" w:fill="auto"/>
            <w:noWrap/>
            <w:vAlign w:val="center"/>
            <w:hideMark/>
          </w:tcPr>
          <w:p w14:paraId="5A7D4E7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24.475</w:t>
            </w:r>
          </w:p>
        </w:tc>
        <w:tc>
          <w:tcPr>
            <w:tcW w:w="500" w:type="pct"/>
            <w:shd w:val="clear" w:color="000000" w:fill="auto"/>
            <w:noWrap/>
            <w:vAlign w:val="center"/>
            <w:hideMark/>
          </w:tcPr>
          <w:p w14:paraId="1438860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1.107.029</w:t>
            </w:r>
          </w:p>
        </w:tc>
      </w:tr>
      <w:tr w:rsidR="00535FE1" w:rsidRPr="00F05605" w14:paraId="73B433E5" w14:textId="77777777" w:rsidTr="00535FE1">
        <w:trPr>
          <w:trHeight w:val="290"/>
        </w:trPr>
        <w:tc>
          <w:tcPr>
            <w:tcW w:w="500" w:type="pct"/>
            <w:shd w:val="clear" w:color="000000" w:fill="auto"/>
            <w:noWrap/>
            <w:vAlign w:val="bottom"/>
            <w:hideMark/>
          </w:tcPr>
          <w:p w14:paraId="0B5AAF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N_14 </w:t>
            </w:r>
          </w:p>
        </w:tc>
        <w:tc>
          <w:tcPr>
            <w:tcW w:w="500" w:type="pct"/>
            <w:shd w:val="clear" w:color="000000" w:fill="auto"/>
            <w:noWrap/>
            <w:vAlign w:val="center"/>
            <w:hideMark/>
          </w:tcPr>
          <w:p w14:paraId="311891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247.050</w:t>
            </w:r>
          </w:p>
        </w:tc>
        <w:tc>
          <w:tcPr>
            <w:tcW w:w="500" w:type="pct"/>
            <w:shd w:val="clear" w:color="000000" w:fill="auto"/>
            <w:noWrap/>
            <w:vAlign w:val="center"/>
            <w:hideMark/>
          </w:tcPr>
          <w:p w14:paraId="16A28A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77.698</w:t>
            </w:r>
          </w:p>
        </w:tc>
        <w:tc>
          <w:tcPr>
            <w:tcW w:w="500" w:type="pct"/>
            <w:shd w:val="clear" w:color="000000" w:fill="auto"/>
            <w:noWrap/>
            <w:vAlign w:val="center"/>
            <w:hideMark/>
          </w:tcPr>
          <w:p w14:paraId="74A5A8A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33.362</w:t>
            </w:r>
          </w:p>
        </w:tc>
        <w:tc>
          <w:tcPr>
            <w:tcW w:w="500" w:type="pct"/>
            <w:shd w:val="clear" w:color="000000" w:fill="auto"/>
            <w:noWrap/>
            <w:vAlign w:val="center"/>
            <w:hideMark/>
          </w:tcPr>
          <w:p w14:paraId="1243F0D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358.111</w:t>
            </w:r>
          </w:p>
        </w:tc>
        <w:tc>
          <w:tcPr>
            <w:tcW w:w="500" w:type="pct"/>
            <w:shd w:val="clear" w:color="000000" w:fill="auto"/>
            <w:noWrap/>
            <w:vAlign w:val="center"/>
            <w:hideMark/>
          </w:tcPr>
          <w:p w14:paraId="537AA6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113.641</w:t>
            </w:r>
          </w:p>
        </w:tc>
        <w:tc>
          <w:tcPr>
            <w:tcW w:w="500" w:type="pct"/>
            <w:shd w:val="clear" w:color="000000" w:fill="auto"/>
            <w:noWrap/>
            <w:vAlign w:val="center"/>
            <w:hideMark/>
          </w:tcPr>
          <w:p w14:paraId="2359BE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75.773</w:t>
            </w:r>
          </w:p>
        </w:tc>
        <w:tc>
          <w:tcPr>
            <w:tcW w:w="500" w:type="pct"/>
            <w:shd w:val="clear" w:color="000000" w:fill="auto"/>
            <w:noWrap/>
            <w:vAlign w:val="center"/>
            <w:hideMark/>
          </w:tcPr>
          <w:p w14:paraId="44EFF0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4.174</w:t>
            </w:r>
          </w:p>
        </w:tc>
        <w:tc>
          <w:tcPr>
            <w:tcW w:w="500" w:type="pct"/>
            <w:shd w:val="clear" w:color="000000" w:fill="auto"/>
            <w:noWrap/>
            <w:vAlign w:val="center"/>
            <w:hideMark/>
          </w:tcPr>
          <w:p w14:paraId="43E7713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2.253</w:t>
            </w:r>
          </w:p>
        </w:tc>
        <w:tc>
          <w:tcPr>
            <w:tcW w:w="500" w:type="pct"/>
            <w:shd w:val="clear" w:color="000000" w:fill="auto"/>
            <w:noWrap/>
            <w:vAlign w:val="center"/>
            <w:hideMark/>
          </w:tcPr>
          <w:p w14:paraId="20EE5EB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195.841</w:t>
            </w:r>
          </w:p>
        </w:tc>
      </w:tr>
      <w:tr w:rsidR="00535FE1" w:rsidRPr="00F05605" w14:paraId="46D11CC1" w14:textId="77777777" w:rsidTr="00535FE1">
        <w:trPr>
          <w:trHeight w:val="290"/>
        </w:trPr>
        <w:tc>
          <w:tcPr>
            <w:tcW w:w="500" w:type="pct"/>
            <w:shd w:val="clear" w:color="000000" w:fill="auto"/>
            <w:noWrap/>
            <w:vAlign w:val="bottom"/>
            <w:hideMark/>
          </w:tcPr>
          <w:p w14:paraId="6337D8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N_15 </w:t>
            </w:r>
          </w:p>
        </w:tc>
        <w:tc>
          <w:tcPr>
            <w:tcW w:w="500" w:type="pct"/>
            <w:shd w:val="clear" w:color="000000" w:fill="auto"/>
            <w:noWrap/>
            <w:vAlign w:val="center"/>
            <w:hideMark/>
          </w:tcPr>
          <w:p w14:paraId="7086ABA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248.379</w:t>
            </w:r>
          </w:p>
        </w:tc>
        <w:tc>
          <w:tcPr>
            <w:tcW w:w="500" w:type="pct"/>
            <w:shd w:val="clear" w:color="000000" w:fill="auto"/>
            <w:noWrap/>
            <w:vAlign w:val="center"/>
            <w:hideMark/>
          </w:tcPr>
          <w:p w14:paraId="7974606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43.828</w:t>
            </w:r>
          </w:p>
        </w:tc>
        <w:tc>
          <w:tcPr>
            <w:tcW w:w="500" w:type="pct"/>
            <w:shd w:val="clear" w:color="000000" w:fill="auto"/>
            <w:noWrap/>
            <w:vAlign w:val="center"/>
            <w:hideMark/>
          </w:tcPr>
          <w:p w14:paraId="00A2A8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47.685</w:t>
            </w:r>
          </w:p>
        </w:tc>
        <w:tc>
          <w:tcPr>
            <w:tcW w:w="500" w:type="pct"/>
            <w:shd w:val="clear" w:color="000000" w:fill="auto"/>
            <w:noWrap/>
            <w:vAlign w:val="center"/>
            <w:hideMark/>
          </w:tcPr>
          <w:p w14:paraId="7B2DF8A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339.892</w:t>
            </w:r>
          </w:p>
        </w:tc>
        <w:tc>
          <w:tcPr>
            <w:tcW w:w="500" w:type="pct"/>
            <w:shd w:val="clear" w:color="000000" w:fill="auto"/>
            <w:noWrap/>
            <w:vAlign w:val="center"/>
            <w:hideMark/>
          </w:tcPr>
          <w:p w14:paraId="2DA8BF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83.427</w:t>
            </w:r>
          </w:p>
        </w:tc>
        <w:tc>
          <w:tcPr>
            <w:tcW w:w="500" w:type="pct"/>
            <w:shd w:val="clear" w:color="000000" w:fill="auto"/>
            <w:noWrap/>
            <w:vAlign w:val="center"/>
            <w:hideMark/>
          </w:tcPr>
          <w:p w14:paraId="3DBB735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43.314</w:t>
            </w:r>
          </w:p>
        </w:tc>
        <w:tc>
          <w:tcPr>
            <w:tcW w:w="500" w:type="pct"/>
            <w:shd w:val="clear" w:color="000000" w:fill="auto"/>
            <w:noWrap/>
            <w:vAlign w:val="center"/>
            <w:hideMark/>
          </w:tcPr>
          <w:p w14:paraId="5B45E2A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8.301</w:t>
            </w:r>
          </w:p>
        </w:tc>
        <w:tc>
          <w:tcPr>
            <w:tcW w:w="500" w:type="pct"/>
            <w:shd w:val="clear" w:color="000000" w:fill="auto"/>
            <w:noWrap/>
            <w:vAlign w:val="center"/>
            <w:hideMark/>
          </w:tcPr>
          <w:p w14:paraId="2315AE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2.179</w:t>
            </w:r>
          </w:p>
        </w:tc>
        <w:tc>
          <w:tcPr>
            <w:tcW w:w="500" w:type="pct"/>
            <w:shd w:val="clear" w:color="000000" w:fill="auto"/>
            <w:noWrap/>
            <w:vAlign w:val="center"/>
            <w:hideMark/>
          </w:tcPr>
          <w:p w14:paraId="11C828C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137.221</w:t>
            </w:r>
          </w:p>
        </w:tc>
      </w:tr>
      <w:tr w:rsidR="00535FE1" w:rsidRPr="00F05605" w14:paraId="4CEEA747" w14:textId="77777777" w:rsidTr="00535FE1">
        <w:trPr>
          <w:trHeight w:val="290"/>
        </w:trPr>
        <w:tc>
          <w:tcPr>
            <w:tcW w:w="500" w:type="pct"/>
            <w:shd w:val="clear" w:color="000000" w:fill="auto"/>
            <w:noWrap/>
            <w:vAlign w:val="bottom"/>
            <w:hideMark/>
          </w:tcPr>
          <w:p w14:paraId="5F48F65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N_16 </w:t>
            </w:r>
          </w:p>
        </w:tc>
        <w:tc>
          <w:tcPr>
            <w:tcW w:w="500" w:type="pct"/>
            <w:shd w:val="clear" w:color="000000" w:fill="auto"/>
            <w:noWrap/>
            <w:vAlign w:val="center"/>
            <w:hideMark/>
          </w:tcPr>
          <w:p w14:paraId="0D2087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185.212</w:t>
            </w:r>
          </w:p>
        </w:tc>
        <w:tc>
          <w:tcPr>
            <w:tcW w:w="500" w:type="pct"/>
            <w:shd w:val="clear" w:color="000000" w:fill="auto"/>
            <w:noWrap/>
            <w:vAlign w:val="center"/>
            <w:hideMark/>
          </w:tcPr>
          <w:p w14:paraId="3402110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84.266</w:t>
            </w:r>
          </w:p>
        </w:tc>
        <w:tc>
          <w:tcPr>
            <w:tcW w:w="500" w:type="pct"/>
            <w:shd w:val="clear" w:color="000000" w:fill="auto"/>
            <w:noWrap/>
            <w:vAlign w:val="center"/>
            <w:hideMark/>
          </w:tcPr>
          <w:p w14:paraId="4E5311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43.311</w:t>
            </w:r>
          </w:p>
        </w:tc>
        <w:tc>
          <w:tcPr>
            <w:tcW w:w="500" w:type="pct"/>
            <w:shd w:val="clear" w:color="000000" w:fill="auto"/>
            <w:noWrap/>
            <w:vAlign w:val="center"/>
            <w:hideMark/>
          </w:tcPr>
          <w:p w14:paraId="63CCA5A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312.788</w:t>
            </w:r>
          </w:p>
        </w:tc>
        <w:tc>
          <w:tcPr>
            <w:tcW w:w="500" w:type="pct"/>
            <w:shd w:val="clear" w:color="000000" w:fill="auto"/>
            <w:noWrap/>
            <w:vAlign w:val="center"/>
            <w:hideMark/>
          </w:tcPr>
          <w:p w14:paraId="3CFC8F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61.852</w:t>
            </w:r>
          </w:p>
        </w:tc>
        <w:tc>
          <w:tcPr>
            <w:tcW w:w="500" w:type="pct"/>
            <w:shd w:val="clear" w:color="000000" w:fill="auto"/>
            <w:noWrap/>
            <w:vAlign w:val="center"/>
            <w:hideMark/>
          </w:tcPr>
          <w:p w14:paraId="401532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82.426</w:t>
            </w:r>
          </w:p>
        </w:tc>
        <w:tc>
          <w:tcPr>
            <w:tcW w:w="500" w:type="pct"/>
            <w:shd w:val="clear" w:color="000000" w:fill="auto"/>
            <w:noWrap/>
            <w:vAlign w:val="center"/>
            <w:hideMark/>
          </w:tcPr>
          <w:p w14:paraId="08332C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7.195</w:t>
            </w:r>
          </w:p>
        </w:tc>
        <w:tc>
          <w:tcPr>
            <w:tcW w:w="500" w:type="pct"/>
            <w:shd w:val="clear" w:color="000000" w:fill="auto"/>
            <w:noWrap/>
            <w:vAlign w:val="center"/>
            <w:hideMark/>
          </w:tcPr>
          <w:p w14:paraId="2E4DC4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2.837</w:t>
            </w:r>
          </w:p>
        </w:tc>
        <w:tc>
          <w:tcPr>
            <w:tcW w:w="500" w:type="pct"/>
            <w:shd w:val="clear" w:color="000000" w:fill="auto"/>
            <w:noWrap/>
            <w:vAlign w:val="center"/>
            <w:hideMark/>
          </w:tcPr>
          <w:p w14:paraId="788978D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154.310</w:t>
            </w:r>
          </w:p>
        </w:tc>
      </w:tr>
      <w:tr w:rsidR="00535FE1" w:rsidRPr="00F05605" w14:paraId="5B7F1F1F" w14:textId="77777777" w:rsidTr="00535FE1">
        <w:trPr>
          <w:trHeight w:val="290"/>
        </w:trPr>
        <w:tc>
          <w:tcPr>
            <w:tcW w:w="500" w:type="pct"/>
            <w:shd w:val="clear" w:color="000000" w:fill="auto"/>
            <w:noWrap/>
            <w:vAlign w:val="bottom"/>
            <w:hideMark/>
          </w:tcPr>
          <w:p w14:paraId="7A9425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N_17 </w:t>
            </w:r>
          </w:p>
        </w:tc>
        <w:tc>
          <w:tcPr>
            <w:tcW w:w="500" w:type="pct"/>
            <w:shd w:val="clear" w:color="000000" w:fill="auto"/>
            <w:noWrap/>
            <w:vAlign w:val="center"/>
            <w:hideMark/>
          </w:tcPr>
          <w:p w14:paraId="206926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326.478</w:t>
            </w:r>
          </w:p>
        </w:tc>
        <w:tc>
          <w:tcPr>
            <w:tcW w:w="500" w:type="pct"/>
            <w:shd w:val="clear" w:color="000000" w:fill="auto"/>
            <w:noWrap/>
            <w:vAlign w:val="center"/>
            <w:hideMark/>
          </w:tcPr>
          <w:p w14:paraId="7CEBDB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164.868</w:t>
            </w:r>
          </w:p>
        </w:tc>
        <w:tc>
          <w:tcPr>
            <w:tcW w:w="500" w:type="pct"/>
            <w:shd w:val="clear" w:color="000000" w:fill="auto"/>
            <w:noWrap/>
            <w:vAlign w:val="center"/>
            <w:hideMark/>
          </w:tcPr>
          <w:p w14:paraId="7F3E8D9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84.739</w:t>
            </w:r>
          </w:p>
        </w:tc>
        <w:tc>
          <w:tcPr>
            <w:tcW w:w="500" w:type="pct"/>
            <w:shd w:val="clear" w:color="000000" w:fill="auto"/>
            <w:noWrap/>
            <w:vAlign w:val="center"/>
            <w:hideMark/>
          </w:tcPr>
          <w:p w14:paraId="1DCA78A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576.085</w:t>
            </w:r>
          </w:p>
        </w:tc>
        <w:tc>
          <w:tcPr>
            <w:tcW w:w="500" w:type="pct"/>
            <w:shd w:val="clear" w:color="000000" w:fill="auto"/>
            <w:noWrap/>
            <w:vAlign w:val="center"/>
            <w:hideMark/>
          </w:tcPr>
          <w:p w14:paraId="7B836B5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121.015</w:t>
            </w:r>
          </w:p>
        </w:tc>
        <w:tc>
          <w:tcPr>
            <w:tcW w:w="500" w:type="pct"/>
            <w:shd w:val="clear" w:color="000000" w:fill="auto"/>
            <w:noWrap/>
            <w:vAlign w:val="center"/>
            <w:hideMark/>
          </w:tcPr>
          <w:p w14:paraId="7BB8FB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161.269</w:t>
            </w:r>
          </w:p>
        </w:tc>
        <w:tc>
          <w:tcPr>
            <w:tcW w:w="500" w:type="pct"/>
            <w:shd w:val="clear" w:color="000000" w:fill="auto"/>
            <w:noWrap/>
            <w:vAlign w:val="center"/>
            <w:hideMark/>
          </w:tcPr>
          <w:p w14:paraId="029B58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14.078</w:t>
            </w:r>
          </w:p>
        </w:tc>
        <w:tc>
          <w:tcPr>
            <w:tcW w:w="500" w:type="pct"/>
            <w:shd w:val="clear" w:color="000000" w:fill="auto"/>
            <w:noWrap/>
            <w:vAlign w:val="center"/>
            <w:hideMark/>
          </w:tcPr>
          <w:p w14:paraId="1C98C2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5.550</w:t>
            </w:r>
          </w:p>
        </w:tc>
        <w:tc>
          <w:tcPr>
            <w:tcW w:w="500" w:type="pct"/>
            <w:shd w:val="clear" w:color="000000" w:fill="auto"/>
            <w:noWrap/>
            <w:vAlign w:val="center"/>
            <w:hideMark/>
          </w:tcPr>
          <w:p w14:paraId="2B61A18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301.911</w:t>
            </w:r>
          </w:p>
        </w:tc>
      </w:tr>
      <w:tr w:rsidR="00535FE1" w:rsidRPr="00F05605" w14:paraId="437CD4F9" w14:textId="77777777" w:rsidTr="00535FE1">
        <w:trPr>
          <w:trHeight w:val="290"/>
        </w:trPr>
        <w:tc>
          <w:tcPr>
            <w:tcW w:w="500" w:type="pct"/>
            <w:shd w:val="clear" w:color="000000" w:fill="auto"/>
            <w:noWrap/>
            <w:vAlign w:val="bottom"/>
            <w:hideMark/>
          </w:tcPr>
          <w:p w14:paraId="36D9C8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N_18 </w:t>
            </w:r>
          </w:p>
        </w:tc>
        <w:tc>
          <w:tcPr>
            <w:tcW w:w="500" w:type="pct"/>
            <w:shd w:val="clear" w:color="000000" w:fill="auto"/>
            <w:noWrap/>
            <w:vAlign w:val="center"/>
            <w:hideMark/>
          </w:tcPr>
          <w:p w14:paraId="5C00A53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357.380</w:t>
            </w:r>
          </w:p>
        </w:tc>
        <w:tc>
          <w:tcPr>
            <w:tcW w:w="500" w:type="pct"/>
            <w:shd w:val="clear" w:color="000000" w:fill="auto"/>
            <w:noWrap/>
            <w:vAlign w:val="center"/>
            <w:hideMark/>
          </w:tcPr>
          <w:p w14:paraId="1FCF333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114.466</w:t>
            </w:r>
          </w:p>
        </w:tc>
        <w:tc>
          <w:tcPr>
            <w:tcW w:w="500" w:type="pct"/>
            <w:shd w:val="clear" w:color="000000" w:fill="auto"/>
            <w:noWrap/>
            <w:vAlign w:val="center"/>
            <w:hideMark/>
          </w:tcPr>
          <w:p w14:paraId="6AED28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49.150</w:t>
            </w:r>
          </w:p>
        </w:tc>
        <w:tc>
          <w:tcPr>
            <w:tcW w:w="500" w:type="pct"/>
            <w:shd w:val="clear" w:color="000000" w:fill="auto"/>
            <w:noWrap/>
            <w:vAlign w:val="center"/>
            <w:hideMark/>
          </w:tcPr>
          <w:p w14:paraId="2741A1E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520.996</w:t>
            </w:r>
          </w:p>
        </w:tc>
        <w:tc>
          <w:tcPr>
            <w:tcW w:w="500" w:type="pct"/>
            <w:shd w:val="clear" w:color="000000" w:fill="auto"/>
            <w:noWrap/>
            <w:vAlign w:val="center"/>
            <w:hideMark/>
          </w:tcPr>
          <w:p w14:paraId="1BEBCA8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167.418</w:t>
            </w:r>
          </w:p>
        </w:tc>
        <w:tc>
          <w:tcPr>
            <w:tcW w:w="500" w:type="pct"/>
            <w:shd w:val="clear" w:color="000000" w:fill="auto"/>
            <w:noWrap/>
            <w:vAlign w:val="center"/>
            <w:hideMark/>
          </w:tcPr>
          <w:p w14:paraId="3FC60AD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111.630</w:t>
            </w:r>
          </w:p>
        </w:tc>
        <w:tc>
          <w:tcPr>
            <w:tcW w:w="500" w:type="pct"/>
            <w:shd w:val="clear" w:color="000000" w:fill="auto"/>
            <w:noWrap/>
            <w:vAlign w:val="center"/>
            <w:hideMark/>
          </w:tcPr>
          <w:p w14:paraId="2B9BAE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6.149</w:t>
            </w:r>
          </w:p>
        </w:tc>
        <w:tc>
          <w:tcPr>
            <w:tcW w:w="500" w:type="pct"/>
            <w:shd w:val="clear" w:color="000000" w:fill="auto"/>
            <w:noWrap/>
            <w:vAlign w:val="center"/>
            <w:hideMark/>
          </w:tcPr>
          <w:p w14:paraId="0E7CAC6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3.320</w:t>
            </w:r>
          </w:p>
        </w:tc>
        <w:tc>
          <w:tcPr>
            <w:tcW w:w="500" w:type="pct"/>
            <w:shd w:val="clear" w:color="000000" w:fill="auto"/>
            <w:noWrap/>
            <w:vAlign w:val="center"/>
            <w:hideMark/>
          </w:tcPr>
          <w:p w14:paraId="5FEDDE7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288.517</w:t>
            </w:r>
          </w:p>
        </w:tc>
      </w:tr>
      <w:tr w:rsidR="00535FE1" w:rsidRPr="00F05605" w14:paraId="41612D66" w14:textId="77777777" w:rsidTr="00535FE1">
        <w:trPr>
          <w:trHeight w:val="290"/>
        </w:trPr>
        <w:tc>
          <w:tcPr>
            <w:tcW w:w="500" w:type="pct"/>
            <w:shd w:val="clear" w:color="000000" w:fill="auto"/>
            <w:noWrap/>
            <w:vAlign w:val="bottom"/>
            <w:hideMark/>
          </w:tcPr>
          <w:p w14:paraId="270328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N_20 </w:t>
            </w:r>
          </w:p>
        </w:tc>
        <w:tc>
          <w:tcPr>
            <w:tcW w:w="500" w:type="pct"/>
            <w:shd w:val="clear" w:color="000000" w:fill="auto"/>
            <w:noWrap/>
            <w:vAlign w:val="center"/>
            <w:hideMark/>
          </w:tcPr>
          <w:p w14:paraId="3F33B5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235.974</w:t>
            </w:r>
          </w:p>
        </w:tc>
        <w:tc>
          <w:tcPr>
            <w:tcW w:w="500" w:type="pct"/>
            <w:shd w:val="clear" w:color="000000" w:fill="auto"/>
            <w:noWrap/>
            <w:vAlign w:val="center"/>
            <w:hideMark/>
          </w:tcPr>
          <w:p w14:paraId="3DC1BF1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33.556</w:t>
            </w:r>
          </w:p>
        </w:tc>
        <w:tc>
          <w:tcPr>
            <w:tcW w:w="500" w:type="pct"/>
            <w:shd w:val="clear" w:color="000000" w:fill="auto"/>
            <w:noWrap/>
            <w:vAlign w:val="center"/>
            <w:hideMark/>
          </w:tcPr>
          <w:p w14:paraId="4CCC13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14.409</w:t>
            </w:r>
          </w:p>
        </w:tc>
        <w:tc>
          <w:tcPr>
            <w:tcW w:w="500" w:type="pct"/>
            <w:shd w:val="clear" w:color="000000" w:fill="auto"/>
            <w:noWrap/>
            <w:vAlign w:val="center"/>
            <w:hideMark/>
          </w:tcPr>
          <w:p w14:paraId="4C0C0FF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283.939</w:t>
            </w:r>
          </w:p>
        </w:tc>
        <w:tc>
          <w:tcPr>
            <w:tcW w:w="500" w:type="pct"/>
            <w:shd w:val="clear" w:color="000000" w:fill="auto"/>
            <w:noWrap/>
            <w:vAlign w:val="center"/>
            <w:hideMark/>
          </w:tcPr>
          <w:p w14:paraId="05CD3E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49.080</w:t>
            </w:r>
          </w:p>
        </w:tc>
        <w:tc>
          <w:tcPr>
            <w:tcW w:w="500" w:type="pct"/>
            <w:shd w:val="clear" w:color="000000" w:fill="auto"/>
            <w:noWrap/>
            <w:vAlign w:val="center"/>
            <w:hideMark/>
          </w:tcPr>
          <w:p w14:paraId="2DE9C19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32.725</w:t>
            </w:r>
          </w:p>
        </w:tc>
        <w:tc>
          <w:tcPr>
            <w:tcW w:w="500" w:type="pct"/>
            <w:shd w:val="clear" w:color="000000" w:fill="auto"/>
            <w:noWrap/>
            <w:vAlign w:val="center"/>
            <w:hideMark/>
          </w:tcPr>
          <w:p w14:paraId="7BB5BDA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1.802</w:t>
            </w:r>
          </w:p>
        </w:tc>
        <w:tc>
          <w:tcPr>
            <w:tcW w:w="500" w:type="pct"/>
            <w:shd w:val="clear" w:color="000000" w:fill="auto"/>
            <w:noWrap/>
            <w:vAlign w:val="center"/>
            <w:hideMark/>
          </w:tcPr>
          <w:p w14:paraId="0638FD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973</w:t>
            </w:r>
          </w:p>
        </w:tc>
        <w:tc>
          <w:tcPr>
            <w:tcW w:w="500" w:type="pct"/>
            <w:shd w:val="clear" w:color="000000" w:fill="auto"/>
            <w:noWrap/>
            <w:vAlign w:val="center"/>
            <w:hideMark/>
          </w:tcPr>
          <w:p w14:paraId="5374C2C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84.580</w:t>
            </w:r>
          </w:p>
        </w:tc>
      </w:tr>
      <w:tr w:rsidR="00535FE1" w:rsidRPr="00F05605" w14:paraId="558FCC0A" w14:textId="77777777" w:rsidTr="00535FE1">
        <w:trPr>
          <w:trHeight w:val="290"/>
        </w:trPr>
        <w:tc>
          <w:tcPr>
            <w:tcW w:w="500" w:type="pct"/>
            <w:shd w:val="clear" w:color="000000" w:fill="auto"/>
            <w:noWrap/>
            <w:vAlign w:val="bottom"/>
            <w:hideMark/>
          </w:tcPr>
          <w:p w14:paraId="48178B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N_21 </w:t>
            </w:r>
          </w:p>
        </w:tc>
        <w:tc>
          <w:tcPr>
            <w:tcW w:w="500" w:type="pct"/>
            <w:shd w:val="clear" w:color="000000" w:fill="auto"/>
            <w:noWrap/>
            <w:vAlign w:val="center"/>
            <w:hideMark/>
          </w:tcPr>
          <w:p w14:paraId="4A4EB6F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211.347</w:t>
            </w:r>
          </w:p>
        </w:tc>
        <w:tc>
          <w:tcPr>
            <w:tcW w:w="500" w:type="pct"/>
            <w:shd w:val="clear" w:color="000000" w:fill="auto"/>
            <w:noWrap/>
            <w:vAlign w:val="center"/>
            <w:hideMark/>
          </w:tcPr>
          <w:p w14:paraId="48CDED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30.966</w:t>
            </w:r>
          </w:p>
        </w:tc>
        <w:tc>
          <w:tcPr>
            <w:tcW w:w="500" w:type="pct"/>
            <w:shd w:val="clear" w:color="000000" w:fill="auto"/>
            <w:noWrap/>
            <w:vAlign w:val="center"/>
            <w:hideMark/>
          </w:tcPr>
          <w:p w14:paraId="1F2DB94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13.296</w:t>
            </w:r>
          </w:p>
        </w:tc>
        <w:tc>
          <w:tcPr>
            <w:tcW w:w="500" w:type="pct"/>
            <w:shd w:val="clear" w:color="000000" w:fill="auto"/>
            <w:noWrap/>
            <w:vAlign w:val="center"/>
            <w:hideMark/>
          </w:tcPr>
          <w:p w14:paraId="3828946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255.610</w:t>
            </w:r>
          </w:p>
        </w:tc>
        <w:tc>
          <w:tcPr>
            <w:tcW w:w="500" w:type="pct"/>
            <w:shd w:val="clear" w:color="000000" w:fill="auto"/>
            <w:noWrap/>
            <w:vAlign w:val="center"/>
            <w:hideMark/>
          </w:tcPr>
          <w:p w14:paraId="07D230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45.291</w:t>
            </w:r>
          </w:p>
        </w:tc>
        <w:tc>
          <w:tcPr>
            <w:tcW w:w="500" w:type="pct"/>
            <w:shd w:val="clear" w:color="000000" w:fill="auto"/>
            <w:noWrap/>
            <w:vAlign w:val="center"/>
            <w:hideMark/>
          </w:tcPr>
          <w:p w14:paraId="259D51B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30.199</w:t>
            </w:r>
          </w:p>
        </w:tc>
        <w:tc>
          <w:tcPr>
            <w:tcW w:w="500" w:type="pct"/>
            <w:shd w:val="clear" w:color="000000" w:fill="auto"/>
            <w:noWrap/>
            <w:vAlign w:val="center"/>
            <w:hideMark/>
          </w:tcPr>
          <w:p w14:paraId="1F5582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1.663</w:t>
            </w:r>
          </w:p>
        </w:tc>
        <w:tc>
          <w:tcPr>
            <w:tcW w:w="500" w:type="pct"/>
            <w:shd w:val="clear" w:color="000000" w:fill="auto"/>
            <w:noWrap/>
            <w:vAlign w:val="center"/>
            <w:hideMark/>
          </w:tcPr>
          <w:p w14:paraId="2E709D6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898</w:t>
            </w:r>
          </w:p>
        </w:tc>
        <w:tc>
          <w:tcPr>
            <w:tcW w:w="500" w:type="pct"/>
            <w:shd w:val="clear" w:color="000000" w:fill="auto"/>
            <w:noWrap/>
            <w:vAlign w:val="center"/>
            <w:hideMark/>
          </w:tcPr>
          <w:p w14:paraId="3152EE6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78.052</w:t>
            </w:r>
          </w:p>
        </w:tc>
      </w:tr>
      <w:tr w:rsidR="00535FE1" w:rsidRPr="00F05605" w14:paraId="0CD060D2" w14:textId="77777777" w:rsidTr="00535FE1">
        <w:trPr>
          <w:trHeight w:val="290"/>
        </w:trPr>
        <w:tc>
          <w:tcPr>
            <w:tcW w:w="500" w:type="pct"/>
            <w:shd w:val="clear" w:color="000000" w:fill="auto"/>
            <w:noWrap/>
            <w:vAlign w:val="bottom"/>
            <w:hideMark/>
          </w:tcPr>
          <w:p w14:paraId="08937C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N_22 </w:t>
            </w:r>
          </w:p>
        </w:tc>
        <w:tc>
          <w:tcPr>
            <w:tcW w:w="500" w:type="pct"/>
            <w:shd w:val="clear" w:color="000000" w:fill="auto"/>
            <w:noWrap/>
            <w:vAlign w:val="center"/>
            <w:hideMark/>
          </w:tcPr>
          <w:p w14:paraId="1D19C89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48.570</w:t>
            </w:r>
          </w:p>
        </w:tc>
        <w:tc>
          <w:tcPr>
            <w:tcW w:w="500" w:type="pct"/>
            <w:shd w:val="clear" w:color="000000" w:fill="auto"/>
            <w:noWrap/>
            <w:vAlign w:val="center"/>
            <w:hideMark/>
          </w:tcPr>
          <w:p w14:paraId="013195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18.271</w:t>
            </w:r>
          </w:p>
        </w:tc>
        <w:tc>
          <w:tcPr>
            <w:tcW w:w="500" w:type="pct"/>
            <w:shd w:val="clear" w:color="000000" w:fill="auto"/>
            <w:noWrap/>
            <w:vAlign w:val="center"/>
            <w:hideMark/>
          </w:tcPr>
          <w:p w14:paraId="664931D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19.879</w:t>
            </w:r>
          </w:p>
        </w:tc>
        <w:tc>
          <w:tcPr>
            <w:tcW w:w="500" w:type="pct"/>
            <w:shd w:val="clear" w:color="000000" w:fill="auto"/>
            <w:noWrap/>
            <w:vAlign w:val="center"/>
            <w:hideMark/>
          </w:tcPr>
          <w:p w14:paraId="210922C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86.721</w:t>
            </w:r>
          </w:p>
        </w:tc>
        <w:tc>
          <w:tcPr>
            <w:tcW w:w="500" w:type="pct"/>
            <w:shd w:val="clear" w:color="000000" w:fill="auto"/>
            <w:noWrap/>
            <w:vAlign w:val="center"/>
            <w:hideMark/>
          </w:tcPr>
          <w:p w14:paraId="7688EB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34.779</w:t>
            </w:r>
          </w:p>
        </w:tc>
        <w:tc>
          <w:tcPr>
            <w:tcW w:w="500" w:type="pct"/>
            <w:shd w:val="clear" w:color="000000" w:fill="auto"/>
            <w:noWrap/>
            <w:vAlign w:val="center"/>
            <w:hideMark/>
          </w:tcPr>
          <w:p w14:paraId="7DCA6BA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18.057</w:t>
            </w:r>
          </w:p>
        </w:tc>
        <w:tc>
          <w:tcPr>
            <w:tcW w:w="500" w:type="pct"/>
            <w:shd w:val="clear" w:color="000000" w:fill="auto"/>
            <w:noWrap/>
            <w:vAlign w:val="center"/>
            <w:hideMark/>
          </w:tcPr>
          <w:p w14:paraId="599042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3.460</w:t>
            </w:r>
          </w:p>
        </w:tc>
        <w:tc>
          <w:tcPr>
            <w:tcW w:w="500" w:type="pct"/>
            <w:shd w:val="clear" w:color="000000" w:fill="auto"/>
            <w:noWrap/>
            <w:vAlign w:val="center"/>
            <w:hideMark/>
          </w:tcPr>
          <w:p w14:paraId="0E5507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908</w:t>
            </w:r>
          </w:p>
        </w:tc>
        <w:tc>
          <w:tcPr>
            <w:tcW w:w="500" w:type="pct"/>
            <w:shd w:val="clear" w:color="000000" w:fill="auto"/>
            <w:noWrap/>
            <w:vAlign w:val="center"/>
            <w:hideMark/>
          </w:tcPr>
          <w:p w14:paraId="6F14D23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57.205</w:t>
            </w:r>
          </w:p>
        </w:tc>
      </w:tr>
      <w:tr w:rsidR="00535FE1" w:rsidRPr="00F05605" w14:paraId="64749F59" w14:textId="77777777" w:rsidTr="00535FE1">
        <w:trPr>
          <w:trHeight w:val="290"/>
        </w:trPr>
        <w:tc>
          <w:tcPr>
            <w:tcW w:w="500" w:type="pct"/>
            <w:shd w:val="clear" w:color="000000" w:fill="auto"/>
            <w:noWrap/>
            <w:vAlign w:val="bottom"/>
            <w:hideMark/>
          </w:tcPr>
          <w:p w14:paraId="311F02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N_23 </w:t>
            </w:r>
          </w:p>
        </w:tc>
        <w:tc>
          <w:tcPr>
            <w:tcW w:w="500" w:type="pct"/>
            <w:shd w:val="clear" w:color="000000" w:fill="auto"/>
            <w:noWrap/>
            <w:vAlign w:val="center"/>
            <w:hideMark/>
          </w:tcPr>
          <w:p w14:paraId="0DB47F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20.402</w:t>
            </w:r>
          </w:p>
        </w:tc>
        <w:tc>
          <w:tcPr>
            <w:tcW w:w="500" w:type="pct"/>
            <w:shd w:val="clear" w:color="000000" w:fill="auto"/>
            <w:noWrap/>
            <w:vAlign w:val="center"/>
            <w:hideMark/>
          </w:tcPr>
          <w:p w14:paraId="6092071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57.003</w:t>
            </w:r>
          </w:p>
        </w:tc>
        <w:tc>
          <w:tcPr>
            <w:tcW w:w="500" w:type="pct"/>
            <w:shd w:val="clear" w:color="000000" w:fill="auto"/>
            <w:noWrap/>
            <w:vAlign w:val="center"/>
            <w:hideMark/>
          </w:tcPr>
          <w:p w14:paraId="5D275D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29.298</w:t>
            </w:r>
          </w:p>
        </w:tc>
        <w:tc>
          <w:tcPr>
            <w:tcW w:w="500" w:type="pct"/>
            <w:shd w:val="clear" w:color="000000" w:fill="auto"/>
            <w:noWrap/>
            <w:vAlign w:val="center"/>
            <w:hideMark/>
          </w:tcPr>
          <w:p w14:paraId="4A4222B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106.703</w:t>
            </w:r>
          </w:p>
        </w:tc>
        <w:tc>
          <w:tcPr>
            <w:tcW w:w="500" w:type="pct"/>
            <w:shd w:val="clear" w:color="000000" w:fill="auto"/>
            <w:noWrap/>
            <w:vAlign w:val="center"/>
            <w:hideMark/>
          </w:tcPr>
          <w:p w14:paraId="6639E6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41.840</w:t>
            </w:r>
          </w:p>
        </w:tc>
        <w:tc>
          <w:tcPr>
            <w:tcW w:w="500" w:type="pct"/>
            <w:shd w:val="clear" w:color="000000" w:fill="auto"/>
            <w:noWrap/>
            <w:vAlign w:val="center"/>
            <w:hideMark/>
          </w:tcPr>
          <w:p w14:paraId="565ADB8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55.758</w:t>
            </w:r>
          </w:p>
        </w:tc>
        <w:tc>
          <w:tcPr>
            <w:tcW w:w="500" w:type="pct"/>
            <w:shd w:val="clear" w:color="000000" w:fill="auto"/>
            <w:noWrap/>
            <w:vAlign w:val="center"/>
            <w:hideMark/>
          </w:tcPr>
          <w:p w14:paraId="76A537D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4.867</w:t>
            </w:r>
          </w:p>
        </w:tc>
        <w:tc>
          <w:tcPr>
            <w:tcW w:w="500" w:type="pct"/>
            <w:shd w:val="clear" w:color="000000" w:fill="auto"/>
            <w:noWrap/>
            <w:vAlign w:val="center"/>
            <w:hideMark/>
          </w:tcPr>
          <w:p w14:paraId="3B5D07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1.919</w:t>
            </w:r>
          </w:p>
        </w:tc>
        <w:tc>
          <w:tcPr>
            <w:tcW w:w="500" w:type="pct"/>
            <w:shd w:val="clear" w:color="000000" w:fill="auto"/>
            <w:noWrap/>
            <w:vAlign w:val="center"/>
            <w:hideMark/>
          </w:tcPr>
          <w:p w14:paraId="7AF0017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104.385</w:t>
            </w:r>
          </w:p>
        </w:tc>
      </w:tr>
      <w:tr w:rsidR="00535FE1" w:rsidRPr="00F05605" w14:paraId="21B7C9F4" w14:textId="77777777" w:rsidTr="00535FE1">
        <w:trPr>
          <w:trHeight w:val="290"/>
        </w:trPr>
        <w:tc>
          <w:tcPr>
            <w:tcW w:w="500" w:type="pct"/>
            <w:shd w:val="clear" w:color="000000" w:fill="auto"/>
            <w:noWrap/>
            <w:vAlign w:val="bottom"/>
            <w:hideMark/>
          </w:tcPr>
          <w:p w14:paraId="6911FB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N_24 </w:t>
            </w:r>
          </w:p>
        </w:tc>
        <w:tc>
          <w:tcPr>
            <w:tcW w:w="500" w:type="pct"/>
            <w:shd w:val="clear" w:color="000000" w:fill="auto"/>
            <w:noWrap/>
            <w:vAlign w:val="center"/>
            <w:hideMark/>
          </w:tcPr>
          <w:p w14:paraId="71F821A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48.319</w:t>
            </w:r>
          </w:p>
        </w:tc>
        <w:tc>
          <w:tcPr>
            <w:tcW w:w="500" w:type="pct"/>
            <w:shd w:val="clear" w:color="000000" w:fill="auto"/>
            <w:noWrap/>
            <w:vAlign w:val="center"/>
            <w:hideMark/>
          </w:tcPr>
          <w:p w14:paraId="572FF1B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10.231</w:t>
            </w:r>
          </w:p>
        </w:tc>
        <w:tc>
          <w:tcPr>
            <w:tcW w:w="500" w:type="pct"/>
            <w:shd w:val="clear" w:color="000000" w:fill="auto"/>
            <w:noWrap/>
            <w:vAlign w:val="center"/>
            <w:hideMark/>
          </w:tcPr>
          <w:p w14:paraId="6559B30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5.259</w:t>
            </w:r>
          </w:p>
        </w:tc>
        <w:tc>
          <w:tcPr>
            <w:tcW w:w="500" w:type="pct"/>
            <w:shd w:val="clear" w:color="000000" w:fill="auto"/>
            <w:noWrap/>
            <w:vAlign w:val="center"/>
            <w:hideMark/>
          </w:tcPr>
          <w:p w14:paraId="3D37004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63.809</w:t>
            </w:r>
          </w:p>
        </w:tc>
        <w:tc>
          <w:tcPr>
            <w:tcW w:w="500" w:type="pct"/>
            <w:shd w:val="clear" w:color="000000" w:fill="auto"/>
            <w:noWrap/>
            <w:vAlign w:val="center"/>
            <w:hideMark/>
          </w:tcPr>
          <w:p w14:paraId="02131F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7.510</w:t>
            </w:r>
          </w:p>
        </w:tc>
        <w:tc>
          <w:tcPr>
            <w:tcW w:w="500" w:type="pct"/>
            <w:shd w:val="clear" w:color="000000" w:fill="auto"/>
            <w:noWrap/>
            <w:vAlign w:val="center"/>
            <w:hideMark/>
          </w:tcPr>
          <w:p w14:paraId="32B6E9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10.008</w:t>
            </w:r>
          </w:p>
        </w:tc>
        <w:tc>
          <w:tcPr>
            <w:tcW w:w="500" w:type="pct"/>
            <w:shd w:val="clear" w:color="000000" w:fill="auto"/>
            <w:noWrap/>
            <w:vAlign w:val="center"/>
            <w:hideMark/>
          </w:tcPr>
          <w:p w14:paraId="2E2EE6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874</w:t>
            </w:r>
          </w:p>
        </w:tc>
        <w:tc>
          <w:tcPr>
            <w:tcW w:w="500" w:type="pct"/>
            <w:shd w:val="clear" w:color="000000" w:fill="auto"/>
            <w:noWrap/>
            <w:vAlign w:val="center"/>
            <w:hideMark/>
          </w:tcPr>
          <w:p w14:paraId="584C4D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344</w:t>
            </w:r>
          </w:p>
        </w:tc>
        <w:tc>
          <w:tcPr>
            <w:tcW w:w="500" w:type="pct"/>
            <w:shd w:val="clear" w:color="000000" w:fill="auto"/>
            <w:noWrap/>
            <w:vAlign w:val="center"/>
            <w:hideMark/>
          </w:tcPr>
          <w:p w14:paraId="024810C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18.736</w:t>
            </w:r>
          </w:p>
        </w:tc>
      </w:tr>
      <w:tr w:rsidR="00535FE1" w:rsidRPr="00F05605" w14:paraId="6B3DAF27" w14:textId="77777777" w:rsidTr="00535FE1">
        <w:trPr>
          <w:trHeight w:val="290"/>
        </w:trPr>
        <w:tc>
          <w:tcPr>
            <w:tcW w:w="500" w:type="pct"/>
            <w:shd w:val="clear" w:color="000000" w:fill="auto"/>
            <w:noWrap/>
            <w:vAlign w:val="bottom"/>
            <w:hideMark/>
          </w:tcPr>
          <w:p w14:paraId="22CB699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N_25 </w:t>
            </w:r>
          </w:p>
        </w:tc>
        <w:tc>
          <w:tcPr>
            <w:tcW w:w="500" w:type="pct"/>
            <w:shd w:val="clear" w:color="000000" w:fill="auto"/>
            <w:noWrap/>
            <w:vAlign w:val="center"/>
            <w:hideMark/>
          </w:tcPr>
          <w:p w14:paraId="709D949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25.106</w:t>
            </w:r>
          </w:p>
        </w:tc>
        <w:tc>
          <w:tcPr>
            <w:tcW w:w="500" w:type="pct"/>
            <w:shd w:val="clear" w:color="000000" w:fill="auto"/>
            <w:noWrap/>
            <w:vAlign w:val="center"/>
            <w:hideMark/>
          </w:tcPr>
          <w:p w14:paraId="6859AE6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6.513</w:t>
            </w:r>
          </w:p>
        </w:tc>
        <w:tc>
          <w:tcPr>
            <w:tcW w:w="500" w:type="pct"/>
            <w:shd w:val="clear" w:color="000000" w:fill="auto"/>
            <w:noWrap/>
            <w:vAlign w:val="center"/>
            <w:hideMark/>
          </w:tcPr>
          <w:p w14:paraId="5383BD7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3.347</w:t>
            </w:r>
          </w:p>
        </w:tc>
        <w:tc>
          <w:tcPr>
            <w:tcW w:w="500" w:type="pct"/>
            <w:shd w:val="clear" w:color="000000" w:fill="auto"/>
            <w:noWrap/>
            <w:vAlign w:val="center"/>
            <w:hideMark/>
          </w:tcPr>
          <w:p w14:paraId="0009671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34.966</w:t>
            </w:r>
          </w:p>
        </w:tc>
        <w:tc>
          <w:tcPr>
            <w:tcW w:w="500" w:type="pct"/>
            <w:shd w:val="clear" w:color="000000" w:fill="auto"/>
            <w:noWrap/>
            <w:vAlign w:val="center"/>
            <w:hideMark/>
          </w:tcPr>
          <w:p w14:paraId="03C488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4.780</w:t>
            </w:r>
          </w:p>
        </w:tc>
        <w:tc>
          <w:tcPr>
            <w:tcW w:w="500" w:type="pct"/>
            <w:shd w:val="clear" w:color="000000" w:fill="auto"/>
            <w:noWrap/>
            <w:vAlign w:val="center"/>
            <w:hideMark/>
          </w:tcPr>
          <w:p w14:paraId="25B31B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6.371</w:t>
            </w:r>
          </w:p>
        </w:tc>
        <w:tc>
          <w:tcPr>
            <w:tcW w:w="500" w:type="pct"/>
            <w:shd w:val="clear" w:color="000000" w:fill="auto"/>
            <w:noWrap/>
            <w:vAlign w:val="center"/>
            <w:hideMark/>
          </w:tcPr>
          <w:p w14:paraId="63343F0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556</w:t>
            </w:r>
          </w:p>
        </w:tc>
        <w:tc>
          <w:tcPr>
            <w:tcW w:w="500" w:type="pct"/>
            <w:shd w:val="clear" w:color="000000" w:fill="auto"/>
            <w:noWrap/>
            <w:vAlign w:val="center"/>
            <w:hideMark/>
          </w:tcPr>
          <w:p w14:paraId="6662417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219</w:t>
            </w:r>
          </w:p>
        </w:tc>
        <w:tc>
          <w:tcPr>
            <w:tcW w:w="500" w:type="pct"/>
            <w:shd w:val="clear" w:color="000000" w:fill="auto"/>
            <w:noWrap/>
            <w:vAlign w:val="center"/>
            <w:hideMark/>
          </w:tcPr>
          <w:p w14:paraId="627630D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11.926</w:t>
            </w:r>
          </w:p>
        </w:tc>
      </w:tr>
      <w:tr w:rsidR="00535FE1" w:rsidRPr="00F05605" w14:paraId="086FC9CD" w14:textId="77777777" w:rsidTr="00535FE1">
        <w:trPr>
          <w:trHeight w:val="290"/>
        </w:trPr>
        <w:tc>
          <w:tcPr>
            <w:tcW w:w="500" w:type="pct"/>
            <w:shd w:val="clear" w:color="000000" w:fill="auto"/>
            <w:noWrap/>
            <w:vAlign w:val="bottom"/>
            <w:hideMark/>
          </w:tcPr>
          <w:p w14:paraId="38756AB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N_26 </w:t>
            </w:r>
          </w:p>
        </w:tc>
        <w:tc>
          <w:tcPr>
            <w:tcW w:w="500" w:type="pct"/>
            <w:shd w:val="clear" w:color="000000" w:fill="auto"/>
            <w:noWrap/>
            <w:vAlign w:val="center"/>
            <w:hideMark/>
          </w:tcPr>
          <w:p w14:paraId="0B8B0E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33.604</w:t>
            </w:r>
          </w:p>
        </w:tc>
        <w:tc>
          <w:tcPr>
            <w:tcW w:w="500" w:type="pct"/>
            <w:shd w:val="clear" w:color="000000" w:fill="auto"/>
            <w:noWrap/>
            <w:vAlign w:val="center"/>
            <w:hideMark/>
          </w:tcPr>
          <w:p w14:paraId="70B804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6.785</w:t>
            </w:r>
          </w:p>
        </w:tc>
        <w:tc>
          <w:tcPr>
            <w:tcW w:w="500" w:type="pct"/>
            <w:shd w:val="clear" w:color="000000" w:fill="auto"/>
            <w:noWrap/>
            <w:vAlign w:val="center"/>
            <w:hideMark/>
          </w:tcPr>
          <w:p w14:paraId="5E858E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7.382</w:t>
            </w:r>
          </w:p>
        </w:tc>
        <w:tc>
          <w:tcPr>
            <w:tcW w:w="500" w:type="pct"/>
            <w:shd w:val="clear" w:color="000000" w:fill="auto"/>
            <w:noWrap/>
            <w:vAlign w:val="center"/>
            <w:hideMark/>
          </w:tcPr>
          <w:p w14:paraId="44B53E6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47.770</w:t>
            </w:r>
          </w:p>
        </w:tc>
        <w:tc>
          <w:tcPr>
            <w:tcW w:w="500" w:type="pct"/>
            <w:shd w:val="clear" w:color="000000" w:fill="auto"/>
            <w:noWrap/>
            <w:vAlign w:val="center"/>
            <w:hideMark/>
          </w:tcPr>
          <w:p w14:paraId="7828546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12.915</w:t>
            </w:r>
          </w:p>
        </w:tc>
        <w:tc>
          <w:tcPr>
            <w:tcW w:w="500" w:type="pct"/>
            <w:shd w:val="clear" w:color="000000" w:fill="auto"/>
            <w:noWrap/>
            <w:vAlign w:val="center"/>
            <w:hideMark/>
          </w:tcPr>
          <w:p w14:paraId="3E3AE2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6.705</w:t>
            </w:r>
          </w:p>
        </w:tc>
        <w:tc>
          <w:tcPr>
            <w:tcW w:w="500" w:type="pct"/>
            <w:shd w:val="clear" w:color="000000" w:fill="auto"/>
            <w:noWrap/>
            <w:vAlign w:val="center"/>
            <w:hideMark/>
          </w:tcPr>
          <w:p w14:paraId="741D097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1.285</w:t>
            </w:r>
          </w:p>
        </w:tc>
        <w:tc>
          <w:tcPr>
            <w:tcW w:w="500" w:type="pct"/>
            <w:shd w:val="clear" w:color="000000" w:fill="auto"/>
            <w:noWrap/>
            <w:vAlign w:val="center"/>
            <w:hideMark/>
          </w:tcPr>
          <w:p w14:paraId="1901701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337</w:t>
            </w:r>
          </w:p>
        </w:tc>
        <w:tc>
          <w:tcPr>
            <w:tcW w:w="500" w:type="pct"/>
            <w:shd w:val="clear" w:color="000000" w:fill="auto"/>
            <w:noWrap/>
            <w:vAlign w:val="center"/>
            <w:hideMark/>
          </w:tcPr>
          <w:p w14:paraId="6735725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21.242</w:t>
            </w:r>
          </w:p>
        </w:tc>
      </w:tr>
      <w:tr w:rsidR="00535FE1" w:rsidRPr="00F05605" w14:paraId="71341763" w14:textId="77777777" w:rsidTr="00535FE1">
        <w:trPr>
          <w:trHeight w:val="290"/>
        </w:trPr>
        <w:tc>
          <w:tcPr>
            <w:tcW w:w="500" w:type="pct"/>
            <w:shd w:val="clear" w:color="000000" w:fill="auto"/>
            <w:noWrap/>
            <w:vAlign w:val="bottom"/>
            <w:hideMark/>
          </w:tcPr>
          <w:p w14:paraId="439D635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N_27 </w:t>
            </w:r>
          </w:p>
        </w:tc>
        <w:tc>
          <w:tcPr>
            <w:tcW w:w="500" w:type="pct"/>
            <w:shd w:val="clear" w:color="000000" w:fill="auto"/>
            <w:noWrap/>
            <w:vAlign w:val="center"/>
            <w:hideMark/>
          </w:tcPr>
          <w:p w14:paraId="07F7C37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43.428</w:t>
            </w:r>
          </w:p>
        </w:tc>
        <w:tc>
          <w:tcPr>
            <w:tcW w:w="500" w:type="pct"/>
            <w:shd w:val="clear" w:color="000000" w:fill="auto"/>
            <w:noWrap/>
            <w:vAlign w:val="center"/>
            <w:hideMark/>
          </w:tcPr>
          <w:p w14:paraId="47135A9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78.749</w:t>
            </w:r>
          </w:p>
        </w:tc>
        <w:tc>
          <w:tcPr>
            <w:tcW w:w="500" w:type="pct"/>
            <w:shd w:val="clear" w:color="000000" w:fill="auto"/>
            <w:noWrap/>
            <w:vAlign w:val="center"/>
            <w:hideMark/>
          </w:tcPr>
          <w:p w14:paraId="4C8643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85.678</w:t>
            </w:r>
          </w:p>
        </w:tc>
        <w:tc>
          <w:tcPr>
            <w:tcW w:w="500" w:type="pct"/>
            <w:shd w:val="clear" w:color="000000" w:fill="auto"/>
            <w:noWrap/>
            <w:vAlign w:val="center"/>
            <w:hideMark/>
          </w:tcPr>
          <w:p w14:paraId="55D62CE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207.855</w:t>
            </w:r>
          </w:p>
        </w:tc>
        <w:tc>
          <w:tcPr>
            <w:tcW w:w="500" w:type="pct"/>
            <w:shd w:val="clear" w:color="000000" w:fill="auto"/>
            <w:noWrap/>
            <w:vAlign w:val="center"/>
            <w:hideMark/>
          </w:tcPr>
          <w:p w14:paraId="1486690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149.898</w:t>
            </w:r>
          </w:p>
        </w:tc>
        <w:tc>
          <w:tcPr>
            <w:tcW w:w="500" w:type="pct"/>
            <w:shd w:val="clear" w:color="000000" w:fill="auto"/>
            <w:noWrap/>
            <w:vAlign w:val="center"/>
            <w:hideMark/>
          </w:tcPr>
          <w:p w14:paraId="0376E3D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77.825</w:t>
            </w:r>
          </w:p>
        </w:tc>
        <w:tc>
          <w:tcPr>
            <w:tcW w:w="500" w:type="pct"/>
            <w:shd w:val="clear" w:color="000000" w:fill="auto"/>
            <w:noWrap/>
            <w:vAlign w:val="center"/>
            <w:hideMark/>
          </w:tcPr>
          <w:p w14:paraId="03107E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14.914</w:t>
            </w:r>
          </w:p>
        </w:tc>
        <w:tc>
          <w:tcPr>
            <w:tcW w:w="500" w:type="pct"/>
            <w:shd w:val="clear" w:color="000000" w:fill="auto"/>
            <w:noWrap/>
            <w:vAlign w:val="center"/>
            <w:hideMark/>
          </w:tcPr>
          <w:p w14:paraId="2ACB760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3.916</w:t>
            </w:r>
          </w:p>
        </w:tc>
        <w:tc>
          <w:tcPr>
            <w:tcW w:w="500" w:type="pct"/>
            <w:shd w:val="clear" w:color="000000" w:fill="auto"/>
            <w:noWrap/>
            <w:vAlign w:val="center"/>
            <w:hideMark/>
          </w:tcPr>
          <w:p w14:paraId="5A7C64C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246.553</w:t>
            </w:r>
          </w:p>
        </w:tc>
      </w:tr>
      <w:tr w:rsidR="00535FE1" w:rsidRPr="00F05605" w14:paraId="526D8DFF" w14:textId="77777777" w:rsidTr="00535FE1">
        <w:trPr>
          <w:trHeight w:val="290"/>
        </w:trPr>
        <w:tc>
          <w:tcPr>
            <w:tcW w:w="500" w:type="pct"/>
            <w:shd w:val="clear" w:color="000000" w:fill="auto"/>
            <w:noWrap/>
            <w:vAlign w:val="bottom"/>
            <w:hideMark/>
          </w:tcPr>
          <w:p w14:paraId="7672280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N_28 </w:t>
            </w:r>
          </w:p>
        </w:tc>
        <w:tc>
          <w:tcPr>
            <w:tcW w:w="500" w:type="pct"/>
            <w:shd w:val="clear" w:color="000000" w:fill="auto"/>
            <w:noWrap/>
            <w:vAlign w:val="center"/>
            <w:hideMark/>
          </w:tcPr>
          <w:p w14:paraId="147660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332.753</w:t>
            </w:r>
          </w:p>
        </w:tc>
        <w:tc>
          <w:tcPr>
            <w:tcW w:w="500" w:type="pct"/>
            <w:shd w:val="clear" w:color="000000" w:fill="auto"/>
            <w:noWrap/>
            <w:vAlign w:val="center"/>
            <w:hideMark/>
          </w:tcPr>
          <w:p w14:paraId="1C534FE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54.624</w:t>
            </w:r>
          </w:p>
        </w:tc>
        <w:tc>
          <w:tcPr>
            <w:tcW w:w="500" w:type="pct"/>
            <w:shd w:val="clear" w:color="000000" w:fill="auto"/>
            <w:noWrap/>
            <w:vAlign w:val="center"/>
            <w:hideMark/>
          </w:tcPr>
          <w:p w14:paraId="432DDA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59.431</w:t>
            </w:r>
          </w:p>
        </w:tc>
        <w:tc>
          <w:tcPr>
            <w:tcW w:w="500" w:type="pct"/>
            <w:shd w:val="clear" w:color="000000" w:fill="auto"/>
            <w:noWrap/>
            <w:vAlign w:val="center"/>
            <w:hideMark/>
          </w:tcPr>
          <w:p w14:paraId="5122D6E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446.807</w:t>
            </w:r>
          </w:p>
        </w:tc>
        <w:tc>
          <w:tcPr>
            <w:tcW w:w="500" w:type="pct"/>
            <w:shd w:val="clear" w:color="000000" w:fill="auto"/>
            <w:noWrap/>
            <w:vAlign w:val="center"/>
            <w:hideMark/>
          </w:tcPr>
          <w:p w14:paraId="409A52C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103.977</w:t>
            </w:r>
          </w:p>
        </w:tc>
        <w:tc>
          <w:tcPr>
            <w:tcW w:w="500" w:type="pct"/>
            <w:shd w:val="clear" w:color="000000" w:fill="auto"/>
            <w:noWrap/>
            <w:vAlign w:val="center"/>
            <w:hideMark/>
          </w:tcPr>
          <w:p w14:paraId="7B674C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53.983</w:t>
            </w:r>
          </w:p>
        </w:tc>
        <w:tc>
          <w:tcPr>
            <w:tcW w:w="500" w:type="pct"/>
            <w:shd w:val="clear" w:color="000000" w:fill="auto"/>
            <w:noWrap/>
            <w:vAlign w:val="center"/>
            <w:hideMark/>
          </w:tcPr>
          <w:p w14:paraId="44FD15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10.345</w:t>
            </w:r>
          </w:p>
        </w:tc>
        <w:tc>
          <w:tcPr>
            <w:tcW w:w="500" w:type="pct"/>
            <w:shd w:val="clear" w:color="000000" w:fill="auto"/>
            <w:noWrap/>
            <w:vAlign w:val="center"/>
            <w:hideMark/>
          </w:tcPr>
          <w:p w14:paraId="3C29E2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2.716</w:t>
            </w:r>
          </w:p>
        </w:tc>
        <w:tc>
          <w:tcPr>
            <w:tcW w:w="500" w:type="pct"/>
            <w:shd w:val="clear" w:color="000000" w:fill="auto"/>
            <w:noWrap/>
            <w:vAlign w:val="center"/>
            <w:hideMark/>
          </w:tcPr>
          <w:p w14:paraId="2DD7FF6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171.021</w:t>
            </w:r>
          </w:p>
        </w:tc>
      </w:tr>
      <w:tr w:rsidR="00535FE1" w:rsidRPr="00F05605" w14:paraId="36568059" w14:textId="77777777" w:rsidTr="00535FE1">
        <w:trPr>
          <w:trHeight w:val="290"/>
        </w:trPr>
        <w:tc>
          <w:tcPr>
            <w:tcW w:w="500" w:type="pct"/>
            <w:shd w:val="clear" w:color="000000" w:fill="auto"/>
            <w:noWrap/>
            <w:vAlign w:val="bottom"/>
            <w:hideMark/>
          </w:tcPr>
          <w:p w14:paraId="4FED54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N_29 </w:t>
            </w:r>
          </w:p>
        </w:tc>
        <w:tc>
          <w:tcPr>
            <w:tcW w:w="500" w:type="pct"/>
            <w:shd w:val="clear" w:color="000000" w:fill="auto"/>
            <w:noWrap/>
            <w:vAlign w:val="center"/>
            <w:hideMark/>
          </w:tcPr>
          <w:p w14:paraId="5EC96C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75.302</w:t>
            </w:r>
          </w:p>
        </w:tc>
        <w:tc>
          <w:tcPr>
            <w:tcW w:w="500" w:type="pct"/>
            <w:shd w:val="clear" w:color="000000" w:fill="auto"/>
            <w:noWrap/>
            <w:vAlign w:val="center"/>
            <w:hideMark/>
          </w:tcPr>
          <w:p w14:paraId="704A49C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14.531</w:t>
            </w:r>
          </w:p>
        </w:tc>
        <w:tc>
          <w:tcPr>
            <w:tcW w:w="500" w:type="pct"/>
            <w:shd w:val="clear" w:color="000000" w:fill="auto"/>
            <w:noWrap/>
            <w:vAlign w:val="center"/>
            <w:hideMark/>
          </w:tcPr>
          <w:p w14:paraId="6CFE686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15.810</w:t>
            </w:r>
          </w:p>
        </w:tc>
        <w:tc>
          <w:tcPr>
            <w:tcW w:w="500" w:type="pct"/>
            <w:shd w:val="clear" w:color="000000" w:fill="auto"/>
            <w:noWrap/>
            <w:vAlign w:val="center"/>
            <w:hideMark/>
          </w:tcPr>
          <w:p w14:paraId="76F75DE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105.644</w:t>
            </w:r>
          </w:p>
        </w:tc>
        <w:tc>
          <w:tcPr>
            <w:tcW w:w="500" w:type="pct"/>
            <w:shd w:val="clear" w:color="000000" w:fill="auto"/>
            <w:noWrap/>
            <w:vAlign w:val="center"/>
            <w:hideMark/>
          </w:tcPr>
          <w:p w14:paraId="0AD958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27.661</w:t>
            </w:r>
          </w:p>
        </w:tc>
        <w:tc>
          <w:tcPr>
            <w:tcW w:w="500" w:type="pct"/>
            <w:shd w:val="clear" w:color="000000" w:fill="auto"/>
            <w:noWrap/>
            <w:vAlign w:val="center"/>
            <w:hideMark/>
          </w:tcPr>
          <w:p w14:paraId="4F1E756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14.361</w:t>
            </w:r>
          </w:p>
        </w:tc>
        <w:tc>
          <w:tcPr>
            <w:tcW w:w="500" w:type="pct"/>
            <w:shd w:val="clear" w:color="000000" w:fill="auto"/>
            <w:noWrap/>
            <w:vAlign w:val="center"/>
            <w:hideMark/>
          </w:tcPr>
          <w:p w14:paraId="5E8A66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2.752</w:t>
            </w:r>
          </w:p>
        </w:tc>
        <w:tc>
          <w:tcPr>
            <w:tcW w:w="500" w:type="pct"/>
            <w:shd w:val="clear" w:color="000000" w:fill="auto"/>
            <w:noWrap/>
            <w:vAlign w:val="center"/>
            <w:hideMark/>
          </w:tcPr>
          <w:p w14:paraId="7E80A44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723</w:t>
            </w:r>
          </w:p>
        </w:tc>
        <w:tc>
          <w:tcPr>
            <w:tcW w:w="500" w:type="pct"/>
            <w:shd w:val="clear" w:color="000000" w:fill="auto"/>
            <w:noWrap/>
            <w:vAlign w:val="center"/>
            <w:hideMark/>
          </w:tcPr>
          <w:p w14:paraId="282BE0A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45.496</w:t>
            </w:r>
          </w:p>
        </w:tc>
      </w:tr>
      <w:tr w:rsidR="00535FE1" w:rsidRPr="00F05605" w14:paraId="147F4E75" w14:textId="77777777" w:rsidTr="00535FE1">
        <w:trPr>
          <w:trHeight w:val="290"/>
        </w:trPr>
        <w:tc>
          <w:tcPr>
            <w:tcW w:w="500" w:type="pct"/>
            <w:shd w:val="clear" w:color="000000" w:fill="auto"/>
            <w:noWrap/>
            <w:vAlign w:val="bottom"/>
            <w:hideMark/>
          </w:tcPr>
          <w:p w14:paraId="2F869E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N_30 </w:t>
            </w:r>
          </w:p>
        </w:tc>
        <w:tc>
          <w:tcPr>
            <w:tcW w:w="500" w:type="pct"/>
            <w:shd w:val="clear" w:color="000000" w:fill="auto"/>
            <w:noWrap/>
            <w:vAlign w:val="center"/>
            <w:hideMark/>
          </w:tcPr>
          <w:p w14:paraId="5A8397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313.357</w:t>
            </w:r>
          </w:p>
        </w:tc>
        <w:tc>
          <w:tcPr>
            <w:tcW w:w="500" w:type="pct"/>
            <w:shd w:val="clear" w:color="000000" w:fill="auto"/>
            <w:noWrap/>
            <w:vAlign w:val="center"/>
            <w:hideMark/>
          </w:tcPr>
          <w:p w14:paraId="0562FAE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79.456</w:t>
            </w:r>
          </w:p>
        </w:tc>
        <w:tc>
          <w:tcPr>
            <w:tcW w:w="500" w:type="pct"/>
            <w:shd w:val="clear" w:color="000000" w:fill="auto"/>
            <w:noWrap/>
            <w:vAlign w:val="center"/>
            <w:hideMark/>
          </w:tcPr>
          <w:p w14:paraId="41400D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86.448</w:t>
            </w:r>
          </w:p>
        </w:tc>
        <w:tc>
          <w:tcPr>
            <w:tcW w:w="500" w:type="pct"/>
            <w:shd w:val="clear" w:color="000000" w:fill="auto"/>
            <w:noWrap/>
            <w:vAlign w:val="center"/>
            <w:hideMark/>
          </w:tcPr>
          <w:p w14:paraId="5147D1A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479.262</w:t>
            </w:r>
          </w:p>
        </w:tc>
        <w:tc>
          <w:tcPr>
            <w:tcW w:w="500" w:type="pct"/>
            <w:shd w:val="clear" w:color="000000" w:fill="auto"/>
            <w:noWrap/>
            <w:vAlign w:val="center"/>
            <w:hideMark/>
          </w:tcPr>
          <w:p w14:paraId="4B4278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151.246</w:t>
            </w:r>
          </w:p>
        </w:tc>
        <w:tc>
          <w:tcPr>
            <w:tcW w:w="500" w:type="pct"/>
            <w:shd w:val="clear" w:color="000000" w:fill="auto"/>
            <w:noWrap/>
            <w:vAlign w:val="center"/>
            <w:hideMark/>
          </w:tcPr>
          <w:p w14:paraId="5017188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78.524</w:t>
            </w:r>
          </w:p>
        </w:tc>
        <w:tc>
          <w:tcPr>
            <w:tcW w:w="500" w:type="pct"/>
            <w:shd w:val="clear" w:color="000000" w:fill="auto"/>
            <w:noWrap/>
            <w:vAlign w:val="center"/>
            <w:hideMark/>
          </w:tcPr>
          <w:p w14:paraId="2115D1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15.048</w:t>
            </w:r>
          </w:p>
        </w:tc>
        <w:tc>
          <w:tcPr>
            <w:tcW w:w="500" w:type="pct"/>
            <w:shd w:val="clear" w:color="000000" w:fill="auto"/>
            <w:noWrap/>
            <w:vAlign w:val="center"/>
            <w:hideMark/>
          </w:tcPr>
          <w:p w14:paraId="5D2389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3.951</w:t>
            </w:r>
          </w:p>
        </w:tc>
        <w:tc>
          <w:tcPr>
            <w:tcW w:w="500" w:type="pct"/>
            <w:shd w:val="clear" w:color="000000" w:fill="auto"/>
            <w:noWrap/>
            <w:vAlign w:val="center"/>
            <w:hideMark/>
          </w:tcPr>
          <w:p w14:paraId="37535F6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248.769</w:t>
            </w:r>
          </w:p>
        </w:tc>
      </w:tr>
      <w:tr w:rsidR="00535FE1" w:rsidRPr="00F05605" w14:paraId="13841CFD" w14:textId="77777777" w:rsidTr="00535FE1">
        <w:trPr>
          <w:trHeight w:val="290"/>
        </w:trPr>
        <w:tc>
          <w:tcPr>
            <w:tcW w:w="500" w:type="pct"/>
            <w:shd w:val="clear" w:color="000000" w:fill="auto"/>
            <w:noWrap/>
            <w:vAlign w:val="bottom"/>
            <w:hideMark/>
          </w:tcPr>
          <w:p w14:paraId="72F18A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N_31 </w:t>
            </w:r>
          </w:p>
        </w:tc>
        <w:tc>
          <w:tcPr>
            <w:tcW w:w="500" w:type="pct"/>
            <w:shd w:val="clear" w:color="000000" w:fill="auto"/>
            <w:noWrap/>
            <w:vAlign w:val="center"/>
            <w:hideMark/>
          </w:tcPr>
          <w:p w14:paraId="376628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221.792</w:t>
            </w:r>
          </w:p>
        </w:tc>
        <w:tc>
          <w:tcPr>
            <w:tcW w:w="500" w:type="pct"/>
            <w:shd w:val="clear" w:color="000000" w:fill="auto"/>
            <w:noWrap/>
            <w:vAlign w:val="center"/>
            <w:hideMark/>
          </w:tcPr>
          <w:p w14:paraId="6523C49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2.165</w:t>
            </w:r>
          </w:p>
        </w:tc>
        <w:tc>
          <w:tcPr>
            <w:tcW w:w="500" w:type="pct"/>
            <w:shd w:val="clear" w:color="000000" w:fill="auto"/>
            <w:noWrap/>
            <w:vAlign w:val="center"/>
            <w:hideMark/>
          </w:tcPr>
          <w:p w14:paraId="2839D9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2.355</w:t>
            </w:r>
          </w:p>
        </w:tc>
        <w:tc>
          <w:tcPr>
            <w:tcW w:w="500" w:type="pct"/>
            <w:shd w:val="clear" w:color="000000" w:fill="auto"/>
            <w:noWrap/>
            <w:vAlign w:val="center"/>
            <w:hideMark/>
          </w:tcPr>
          <w:p w14:paraId="4E6489F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226.312</w:t>
            </w:r>
          </w:p>
        </w:tc>
        <w:tc>
          <w:tcPr>
            <w:tcW w:w="500" w:type="pct"/>
            <w:shd w:val="clear" w:color="000000" w:fill="auto"/>
            <w:noWrap/>
            <w:vAlign w:val="center"/>
            <w:hideMark/>
          </w:tcPr>
          <w:p w14:paraId="020DF7C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4.120</w:t>
            </w:r>
          </w:p>
        </w:tc>
        <w:tc>
          <w:tcPr>
            <w:tcW w:w="500" w:type="pct"/>
            <w:shd w:val="clear" w:color="000000" w:fill="auto"/>
            <w:noWrap/>
            <w:vAlign w:val="center"/>
            <w:hideMark/>
          </w:tcPr>
          <w:p w14:paraId="6CE6D9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2.139</w:t>
            </w:r>
          </w:p>
        </w:tc>
        <w:tc>
          <w:tcPr>
            <w:tcW w:w="500" w:type="pct"/>
            <w:shd w:val="clear" w:color="000000" w:fill="auto"/>
            <w:noWrap/>
            <w:vAlign w:val="center"/>
            <w:hideMark/>
          </w:tcPr>
          <w:p w14:paraId="6F3949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410</w:t>
            </w:r>
          </w:p>
        </w:tc>
        <w:tc>
          <w:tcPr>
            <w:tcW w:w="500" w:type="pct"/>
            <w:shd w:val="clear" w:color="000000" w:fill="auto"/>
            <w:noWrap/>
            <w:vAlign w:val="center"/>
            <w:hideMark/>
          </w:tcPr>
          <w:p w14:paraId="03B9C61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w:t>
            </w:r>
          </w:p>
        </w:tc>
        <w:tc>
          <w:tcPr>
            <w:tcW w:w="500" w:type="pct"/>
            <w:shd w:val="clear" w:color="000000" w:fill="auto"/>
            <w:noWrap/>
            <w:vAlign w:val="center"/>
            <w:hideMark/>
          </w:tcPr>
          <w:p w14:paraId="08F0A8B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6.777</w:t>
            </w:r>
          </w:p>
        </w:tc>
      </w:tr>
      <w:tr w:rsidR="00535FE1" w:rsidRPr="00F05605" w14:paraId="5507A212" w14:textId="77777777" w:rsidTr="00535FE1">
        <w:trPr>
          <w:trHeight w:val="290"/>
        </w:trPr>
        <w:tc>
          <w:tcPr>
            <w:tcW w:w="500" w:type="pct"/>
            <w:shd w:val="clear" w:color="000000" w:fill="auto"/>
            <w:noWrap/>
            <w:vAlign w:val="bottom"/>
            <w:hideMark/>
          </w:tcPr>
          <w:p w14:paraId="4E58E0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N_32 </w:t>
            </w:r>
          </w:p>
        </w:tc>
        <w:tc>
          <w:tcPr>
            <w:tcW w:w="500" w:type="pct"/>
            <w:shd w:val="clear" w:color="000000" w:fill="auto"/>
            <w:noWrap/>
            <w:vAlign w:val="center"/>
            <w:hideMark/>
          </w:tcPr>
          <w:p w14:paraId="42A804C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270.275</w:t>
            </w:r>
          </w:p>
        </w:tc>
        <w:tc>
          <w:tcPr>
            <w:tcW w:w="500" w:type="pct"/>
            <w:shd w:val="clear" w:color="000000" w:fill="auto"/>
            <w:noWrap/>
            <w:vAlign w:val="center"/>
            <w:hideMark/>
          </w:tcPr>
          <w:p w14:paraId="42CD28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69.227</w:t>
            </w:r>
          </w:p>
        </w:tc>
        <w:tc>
          <w:tcPr>
            <w:tcW w:w="500" w:type="pct"/>
            <w:shd w:val="clear" w:color="000000" w:fill="auto"/>
            <w:noWrap/>
            <w:vAlign w:val="center"/>
            <w:hideMark/>
          </w:tcPr>
          <w:p w14:paraId="53A800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75.319</w:t>
            </w:r>
          </w:p>
        </w:tc>
        <w:tc>
          <w:tcPr>
            <w:tcW w:w="500" w:type="pct"/>
            <w:shd w:val="clear" w:color="000000" w:fill="auto"/>
            <w:noWrap/>
            <w:vAlign w:val="center"/>
            <w:hideMark/>
          </w:tcPr>
          <w:p w14:paraId="6F3AAB2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414.821</w:t>
            </w:r>
          </w:p>
        </w:tc>
        <w:tc>
          <w:tcPr>
            <w:tcW w:w="500" w:type="pct"/>
            <w:shd w:val="clear" w:color="000000" w:fill="auto"/>
            <w:noWrap/>
            <w:vAlign w:val="center"/>
            <w:hideMark/>
          </w:tcPr>
          <w:p w14:paraId="38C598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131.774</w:t>
            </w:r>
          </w:p>
        </w:tc>
        <w:tc>
          <w:tcPr>
            <w:tcW w:w="500" w:type="pct"/>
            <w:shd w:val="clear" w:color="000000" w:fill="auto"/>
            <w:noWrap/>
            <w:vAlign w:val="center"/>
            <w:hideMark/>
          </w:tcPr>
          <w:p w14:paraId="0F8552A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68.415</w:t>
            </w:r>
          </w:p>
        </w:tc>
        <w:tc>
          <w:tcPr>
            <w:tcW w:w="500" w:type="pct"/>
            <w:shd w:val="clear" w:color="000000" w:fill="auto"/>
            <w:noWrap/>
            <w:vAlign w:val="center"/>
            <w:hideMark/>
          </w:tcPr>
          <w:p w14:paraId="08C00B9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13.111</w:t>
            </w:r>
          </w:p>
        </w:tc>
        <w:tc>
          <w:tcPr>
            <w:tcW w:w="500" w:type="pct"/>
            <w:shd w:val="clear" w:color="000000" w:fill="auto"/>
            <w:noWrap/>
            <w:vAlign w:val="center"/>
            <w:hideMark/>
          </w:tcPr>
          <w:p w14:paraId="4A8941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3.442</w:t>
            </w:r>
          </w:p>
        </w:tc>
        <w:tc>
          <w:tcPr>
            <w:tcW w:w="500" w:type="pct"/>
            <w:shd w:val="clear" w:color="000000" w:fill="auto"/>
            <w:noWrap/>
            <w:vAlign w:val="center"/>
            <w:hideMark/>
          </w:tcPr>
          <w:p w14:paraId="0E9714D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216.742</w:t>
            </w:r>
          </w:p>
        </w:tc>
      </w:tr>
      <w:tr w:rsidR="00535FE1" w:rsidRPr="00F05605" w14:paraId="18406FC6" w14:textId="77777777" w:rsidTr="00535FE1">
        <w:trPr>
          <w:trHeight w:val="290"/>
        </w:trPr>
        <w:tc>
          <w:tcPr>
            <w:tcW w:w="500" w:type="pct"/>
            <w:shd w:val="clear" w:color="000000" w:fill="auto"/>
            <w:noWrap/>
            <w:vAlign w:val="bottom"/>
            <w:hideMark/>
          </w:tcPr>
          <w:p w14:paraId="20E173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N_33 </w:t>
            </w:r>
          </w:p>
        </w:tc>
        <w:tc>
          <w:tcPr>
            <w:tcW w:w="500" w:type="pct"/>
            <w:shd w:val="clear" w:color="000000" w:fill="auto"/>
            <w:noWrap/>
            <w:vAlign w:val="center"/>
            <w:hideMark/>
          </w:tcPr>
          <w:p w14:paraId="040CF2C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79.280</w:t>
            </w:r>
          </w:p>
        </w:tc>
        <w:tc>
          <w:tcPr>
            <w:tcW w:w="500" w:type="pct"/>
            <w:shd w:val="clear" w:color="000000" w:fill="auto"/>
            <w:noWrap/>
            <w:vAlign w:val="center"/>
            <w:hideMark/>
          </w:tcPr>
          <w:p w14:paraId="7FCB47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93.519</w:t>
            </w:r>
          </w:p>
        </w:tc>
        <w:tc>
          <w:tcPr>
            <w:tcW w:w="500" w:type="pct"/>
            <w:shd w:val="clear" w:color="000000" w:fill="auto"/>
            <w:noWrap/>
            <w:vAlign w:val="center"/>
            <w:hideMark/>
          </w:tcPr>
          <w:p w14:paraId="347C962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101.748</w:t>
            </w:r>
          </w:p>
        </w:tc>
        <w:tc>
          <w:tcPr>
            <w:tcW w:w="500" w:type="pct"/>
            <w:shd w:val="clear" w:color="000000" w:fill="auto"/>
            <w:noWrap/>
            <w:vAlign w:val="center"/>
            <w:hideMark/>
          </w:tcPr>
          <w:p w14:paraId="2A99C71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274.547</w:t>
            </w:r>
          </w:p>
        </w:tc>
        <w:tc>
          <w:tcPr>
            <w:tcW w:w="500" w:type="pct"/>
            <w:shd w:val="clear" w:color="000000" w:fill="auto"/>
            <w:noWrap/>
            <w:vAlign w:val="center"/>
            <w:hideMark/>
          </w:tcPr>
          <w:p w14:paraId="687689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178.014</w:t>
            </w:r>
          </w:p>
        </w:tc>
        <w:tc>
          <w:tcPr>
            <w:tcW w:w="500" w:type="pct"/>
            <w:shd w:val="clear" w:color="000000" w:fill="auto"/>
            <w:noWrap/>
            <w:vAlign w:val="center"/>
            <w:hideMark/>
          </w:tcPr>
          <w:p w14:paraId="268C9C0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92.422</w:t>
            </w:r>
          </w:p>
        </w:tc>
        <w:tc>
          <w:tcPr>
            <w:tcW w:w="500" w:type="pct"/>
            <w:shd w:val="clear" w:color="000000" w:fill="auto"/>
            <w:noWrap/>
            <w:vAlign w:val="center"/>
            <w:hideMark/>
          </w:tcPr>
          <w:p w14:paraId="7B4A546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17.712</w:t>
            </w:r>
          </w:p>
        </w:tc>
        <w:tc>
          <w:tcPr>
            <w:tcW w:w="500" w:type="pct"/>
            <w:shd w:val="clear" w:color="000000" w:fill="auto"/>
            <w:noWrap/>
            <w:vAlign w:val="center"/>
            <w:hideMark/>
          </w:tcPr>
          <w:p w14:paraId="6D9556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4.650</w:t>
            </w:r>
          </w:p>
        </w:tc>
        <w:tc>
          <w:tcPr>
            <w:tcW w:w="500" w:type="pct"/>
            <w:shd w:val="clear" w:color="000000" w:fill="auto"/>
            <w:noWrap/>
            <w:vAlign w:val="center"/>
            <w:hideMark/>
          </w:tcPr>
          <w:p w14:paraId="1519C25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292.797</w:t>
            </w:r>
          </w:p>
        </w:tc>
      </w:tr>
      <w:tr w:rsidR="00535FE1" w:rsidRPr="00F05605" w14:paraId="6FA5B169" w14:textId="77777777" w:rsidTr="00535FE1">
        <w:trPr>
          <w:trHeight w:val="290"/>
        </w:trPr>
        <w:tc>
          <w:tcPr>
            <w:tcW w:w="500" w:type="pct"/>
            <w:shd w:val="clear" w:color="000000" w:fill="auto"/>
            <w:noWrap/>
            <w:vAlign w:val="bottom"/>
            <w:hideMark/>
          </w:tcPr>
          <w:p w14:paraId="7B0CCA4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N_34 </w:t>
            </w:r>
          </w:p>
        </w:tc>
        <w:tc>
          <w:tcPr>
            <w:tcW w:w="500" w:type="pct"/>
            <w:shd w:val="clear" w:color="000000" w:fill="auto"/>
            <w:noWrap/>
            <w:vAlign w:val="center"/>
            <w:hideMark/>
          </w:tcPr>
          <w:p w14:paraId="34BA08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36.564</w:t>
            </w:r>
          </w:p>
        </w:tc>
        <w:tc>
          <w:tcPr>
            <w:tcW w:w="500" w:type="pct"/>
            <w:shd w:val="clear" w:color="000000" w:fill="auto"/>
            <w:noWrap/>
            <w:vAlign w:val="center"/>
            <w:hideMark/>
          </w:tcPr>
          <w:p w14:paraId="5FD95B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8.526</w:t>
            </w:r>
          </w:p>
        </w:tc>
        <w:tc>
          <w:tcPr>
            <w:tcW w:w="500" w:type="pct"/>
            <w:shd w:val="clear" w:color="000000" w:fill="auto"/>
            <w:noWrap/>
            <w:vAlign w:val="center"/>
            <w:hideMark/>
          </w:tcPr>
          <w:p w14:paraId="30A0C8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4.382</w:t>
            </w:r>
          </w:p>
        </w:tc>
        <w:tc>
          <w:tcPr>
            <w:tcW w:w="500" w:type="pct"/>
            <w:shd w:val="clear" w:color="000000" w:fill="auto"/>
            <w:noWrap/>
            <w:vAlign w:val="center"/>
            <w:hideMark/>
          </w:tcPr>
          <w:p w14:paraId="232C963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49.472</w:t>
            </w:r>
          </w:p>
        </w:tc>
        <w:tc>
          <w:tcPr>
            <w:tcW w:w="500" w:type="pct"/>
            <w:shd w:val="clear" w:color="000000" w:fill="auto"/>
            <w:noWrap/>
            <w:vAlign w:val="center"/>
            <w:hideMark/>
          </w:tcPr>
          <w:p w14:paraId="008B2EA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6.258</w:t>
            </w:r>
          </w:p>
        </w:tc>
        <w:tc>
          <w:tcPr>
            <w:tcW w:w="500" w:type="pct"/>
            <w:shd w:val="clear" w:color="000000" w:fill="auto"/>
            <w:noWrap/>
            <w:vAlign w:val="center"/>
            <w:hideMark/>
          </w:tcPr>
          <w:p w14:paraId="76893D0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8.340</w:t>
            </w:r>
          </w:p>
        </w:tc>
        <w:tc>
          <w:tcPr>
            <w:tcW w:w="500" w:type="pct"/>
            <w:shd w:val="clear" w:color="000000" w:fill="auto"/>
            <w:noWrap/>
            <w:vAlign w:val="center"/>
            <w:hideMark/>
          </w:tcPr>
          <w:p w14:paraId="09F7A55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728</w:t>
            </w:r>
          </w:p>
        </w:tc>
        <w:tc>
          <w:tcPr>
            <w:tcW w:w="500" w:type="pct"/>
            <w:shd w:val="clear" w:color="000000" w:fill="auto"/>
            <w:noWrap/>
            <w:vAlign w:val="center"/>
            <w:hideMark/>
          </w:tcPr>
          <w:p w14:paraId="7C8DDD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287</w:t>
            </w:r>
          </w:p>
        </w:tc>
        <w:tc>
          <w:tcPr>
            <w:tcW w:w="500" w:type="pct"/>
            <w:shd w:val="clear" w:color="000000" w:fill="auto"/>
            <w:noWrap/>
            <w:vAlign w:val="center"/>
            <w:hideMark/>
          </w:tcPr>
          <w:p w14:paraId="6965561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15.613</w:t>
            </w:r>
          </w:p>
        </w:tc>
      </w:tr>
      <w:tr w:rsidR="00535FE1" w:rsidRPr="00F05605" w14:paraId="231138CF" w14:textId="77777777" w:rsidTr="00535FE1">
        <w:trPr>
          <w:trHeight w:val="290"/>
        </w:trPr>
        <w:tc>
          <w:tcPr>
            <w:tcW w:w="500" w:type="pct"/>
            <w:shd w:val="clear" w:color="000000" w:fill="auto"/>
            <w:noWrap/>
            <w:vAlign w:val="bottom"/>
            <w:hideMark/>
          </w:tcPr>
          <w:p w14:paraId="4293F44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N_35 </w:t>
            </w:r>
          </w:p>
        </w:tc>
        <w:tc>
          <w:tcPr>
            <w:tcW w:w="500" w:type="pct"/>
            <w:shd w:val="clear" w:color="000000" w:fill="auto"/>
            <w:noWrap/>
            <w:vAlign w:val="center"/>
            <w:hideMark/>
          </w:tcPr>
          <w:p w14:paraId="410FB17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65.615</w:t>
            </w:r>
          </w:p>
        </w:tc>
        <w:tc>
          <w:tcPr>
            <w:tcW w:w="500" w:type="pct"/>
            <w:shd w:val="clear" w:color="000000" w:fill="auto"/>
            <w:noWrap/>
            <w:vAlign w:val="center"/>
            <w:hideMark/>
          </w:tcPr>
          <w:p w14:paraId="12191D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23.040</w:t>
            </w:r>
          </w:p>
        </w:tc>
        <w:tc>
          <w:tcPr>
            <w:tcW w:w="500" w:type="pct"/>
            <w:shd w:val="clear" w:color="000000" w:fill="auto"/>
            <w:noWrap/>
            <w:vAlign w:val="center"/>
            <w:hideMark/>
          </w:tcPr>
          <w:p w14:paraId="6882BD2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11.842</w:t>
            </w:r>
          </w:p>
        </w:tc>
        <w:tc>
          <w:tcPr>
            <w:tcW w:w="500" w:type="pct"/>
            <w:shd w:val="clear" w:color="000000" w:fill="auto"/>
            <w:noWrap/>
            <w:vAlign w:val="center"/>
            <w:hideMark/>
          </w:tcPr>
          <w:p w14:paraId="7A9EF91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100.496</w:t>
            </w:r>
          </w:p>
        </w:tc>
        <w:tc>
          <w:tcPr>
            <w:tcW w:w="500" w:type="pct"/>
            <w:shd w:val="clear" w:color="000000" w:fill="auto"/>
            <w:noWrap/>
            <w:vAlign w:val="center"/>
            <w:hideMark/>
          </w:tcPr>
          <w:p w14:paraId="3FC636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16.911</w:t>
            </w:r>
          </w:p>
        </w:tc>
        <w:tc>
          <w:tcPr>
            <w:tcW w:w="500" w:type="pct"/>
            <w:shd w:val="clear" w:color="000000" w:fill="auto"/>
            <w:noWrap/>
            <w:vAlign w:val="center"/>
            <w:hideMark/>
          </w:tcPr>
          <w:p w14:paraId="3222DC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22.537</w:t>
            </w:r>
          </w:p>
        </w:tc>
        <w:tc>
          <w:tcPr>
            <w:tcW w:w="500" w:type="pct"/>
            <w:shd w:val="clear" w:color="000000" w:fill="auto"/>
            <w:noWrap/>
            <w:vAlign w:val="center"/>
            <w:hideMark/>
          </w:tcPr>
          <w:p w14:paraId="7E6EF97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1.967</w:t>
            </w:r>
          </w:p>
        </w:tc>
        <w:tc>
          <w:tcPr>
            <w:tcW w:w="500" w:type="pct"/>
            <w:shd w:val="clear" w:color="000000" w:fill="auto"/>
            <w:noWrap/>
            <w:vAlign w:val="center"/>
            <w:hideMark/>
          </w:tcPr>
          <w:p w14:paraId="026643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776</w:t>
            </w:r>
          </w:p>
        </w:tc>
        <w:tc>
          <w:tcPr>
            <w:tcW w:w="500" w:type="pct"/>
            <w:shd w:val="clear" w:color="000000" w:fill="auto"/>
            <w:noWrap/>
            <w:vAlign w:val="center"/>
            <w:hideMark/>
          </w:tcPr>
          <w:p w14:paraId="2849676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42.191</w:t>
            </w:r>
          </w:p>
        </w:tc>
      </w:tr>
      <w:tr w:rsidR="00535FE1" w:rsidRPr="00F05605" w14:paraId="386CFD71" w14:textId="77777777" w:rsidTr="00535FE1">
        <w:trPr>
          <w:trHeight w:val="290"/>
        </w:trPr>
        <w:tc>
          <w:tcPr>
            <w:tcW w:w="500" w:type="pct"/>
            <w:shd w:val="clear" w:color="000000" w:fill="auto"/>
            <w:noWrap/>
            <w:vAlign w:val="bottom"/>
            <w:hideMark/>
          </w:tcPr>
          <w:p w14:paraId="66BD2B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N_36 </w:t>
            </w:r>
          </w:p>
        </w:tc>
        <w:tc>
          <w:tcPr>
            <w:tcW w:w="500" w:type="pct"/>
            <w:shd w:val="clear" w:color="000000" w:fill="auto"/>
            <w:noWrap/>
            <w:vAlign w:val="center"/>
            <w:hideMark/>
          </w:tcPr>
          <w:p w14:paraId="0248FF9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52.897</w:t>
            </w:r>
          </w:p>
        </w:tc>
        <w:tc>
          <w:tcPr>
            <w:tcW w:w="500" w:type="pct"/>
            <w:shd w:val="clear" w:color="000000" w:fill="auto"/>
            <w:noWrap/>
            <w:vAlign w:val="center"/>
            <w:hideMark/>
          </w:tcPr>
          <w:p w14:paraId="4581840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10.363</w:t>
            </w:r>
          </w:p>
        </w:tc>
        <w:tc>
          <w:tcPr>
            <w:tcW w:w="500" w:type="pct"/>
            <w:shd w:val="clear" w:color="000000" w:fill="auto"/>
            <w:noWrap/>
            <w:vAlign w:val="center"/>
            <w:hideMark/>
          </w:tcPr>
          <w:p w14:paraId="14B2709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11.274</w:t>
            </w:r>
          </w:p>
        </w:tc>
        <w:tc>
          <w:tcPr>
            <w:tcW w:w="500" w:type="pct"/>
            <w:shd w:val="clear" w:color="000000" w:fill="auto"/>
            <w:noWrap/>
            <w:vAlign w:val="center"/>
            <w:hideMark/>
          </w:tcPr>
          <w:p w14:paraId="1C9600E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74.533</w:t>
            </w:r>
          </w:p>
        </w:tc>
        <w:tc>
          <w:tcPr>
            <w:tcW w:w="500" w:type="pct"/>
            <w:shd w:val="clear" w:color="000000" w:fill="auto"/>
            <w:noWrap/>
            <w:vAlign w:val="center"/>
            <w:hideMark/>
          </w:tcPr>
          <w:p w14:paraId="41ACC8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19.725</w:t>
            </w:r>
          </w:p>
        </w:tc>
        <w:tc>
          <w:tcPr>
            <w:tcW w:w="500" w:type="pct"/>
            <w:shd w:val="clear" w:color="000000" w:fill="auto"/>
            <w:noWrap/>
            <w:vAlign w:val="center"/>
            <w:hideMark/>
          </w:tcPr>
          <w:p w14:paraId="1C94ADA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10.241</w:t>
            </w:r>
          </w:p>
        </w:tc>
        <w:tc>
          <w:tcPr>
            <w:tcW w:w="500" w:type="pct"/>
            <w:shd w:val="clear" w:color="000000" w:fill="auto"/>
            <w:noWrap/>
            <w:vAlign w:val="center"/>
            <w:hideMark/>
          </w:tcPr>
          <w:p w14:paraId="0ED64F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1.963</w:t>
            </w:r>
          </w:p>
        </w:tc>
        <w:tc>
          <w:tcPr>
            <w:tcW w:w="500" w:type="pct"/>
            <w:shd w:val="clear" w:color="000000" w:fill="auto"/>
            <w:noWrap/>
            <w:vAlign w:val="center"/>
            <w:hideMark/>
          </w:tcPr>
          <w:p w14:paraId="4EC5581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515</w:t>
            </w:r>
          </w:p>
        </w:tc>
        <w:tc>
          <w:tcPr>
            <w:tcW w:w="500" w:type="pct"/>
            <w:shd w:val="clear" w:color="000000" w:fill="auto"/>
            <w:noWrap/>
            <w:vAlign w:val="center"/>
            <w:hideMark/>
          </w:tcPr>
          <w:p w14:paraId="03D25E0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32.444</w:t>
            </w:r>
          </w:p>
        </w:tc>
      </w:tr>
      <w:tr w:rsidR="00535FE1" w:rsidRPr="00F05605" w14:paraId="60072845" w14:textId="77777777" w:rsidTr="00535FE1">
        <w:trPr>
          <w:trHeight w:val="290"/>
        </w:trPr>
        <w:tc>
          <w:tcPr>
            <w:tcW w:w="500" w:type="pct"/>
            <w:shd w:val="clear" w:color="000000" w:fill="auto"/>
            <w:noWrap/>
            <w:vAlign w:val="bottom"/>
            <w:hideMark/>
          </w:tcPr>
          <w:p w14:paraId="4843B0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N_37 </w:t>
            </w:r>
          </w:p>
        </w:tc>
        <w:tc>
          <w:tcPr>
            <w:tcW w:w="500" w:type="pct"/>
            <w:shd w:val="clear" w:color="000000" w:fill="auto"/>
            <w:noWrap/>
            <w:vAlign w:val="center"/>
            <w:hideMark/>
          </w:tcPr>
          <w:p w14:paraId="67E6EB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23.115</w:t>
            </w:r>
          </w:p>
        </w:tc>
        <w:tc>
          <w:tcPr>
            <w:tcW w:w="500" w:type="pct"/>
            <w:shd w:val="clear" w:color="000000" w:fill="auto"/>
            <w:noWrap/>
            <w:vAlign w:val="center"/>
            <w:hideMark/>
          </w:tcPr>
          <w:p w14:paraId="20D92C5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30.856</w:t>
            </w:r>
          </w:p>
        </w:tc>
        <w:tc>
          <w:tcPr>
            <w:tcW w:w="500" w:type="pct"/>
            <w:shd w:val="clear" w:color="000000" w:fill="auto"/>
            <w:noWrap/>
            <w:vAlign w:val="center"/>
            <w:hideMark/>
          </w:tcPr>
          <w:p w14:paraId="4685C26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13.249</w:t>
            </w:r>
          </w:p>
        </w:tc>
        <w:tc>
          <w:tcPr>
            <w:tcW w:w="500" w:type="pct"/>
            <w:shd w:val="clear" w:color="000000" w:fill="auto"/>
            <w:noWrap/>
            <w:vAlign w:val="center"/>
            <w:hideMark/>
          </w:tcPr>
          <w:p w14:paraId="1480560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67.220</w:t>
            </w:r>
          </w:p>
        </w:tc>
        <w:tc>
          <w:tcPr>
            <w:tcW w:w="500" w:type="pct"/>
            <w:shd w:val="clear" w:color="000000" w:fill="auto"/>
            <w:noWrap/>
            <w:vAlign w:val="center"/>
            <w:hideMark/>
          </w:tcPr>
          <w:p w14:paraId="1A71AF4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45.130</w:t>
            </w:r>
          </w:p>
        </w:tc>
        <w:tc>
          <w:tcPr>
            <w:tcW w:w="500" w:type="pct"/>
            <w:shd w:val="clear" w:color="000000" w:fill="auto"/>
            <w:noWrap/>
            <w:vAlign w:val="center"/>
            <w:hideMark/>
          </w:tcPr>
          <w:p w14:paraId="165EE58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30.091</w:t>
            </w:r>
          </w:p>
        </w:tc>
        <w:tc>
          <w:tcPr>
            <w:tcW w:w="500" w:type="pct"/>
            <w:shd w:val="clear" w:color="000000" w:fill="auto"/>
            <w:noWrap/>
            <w:vAlign w:val="center"/>
            <w:hideMark/>
          </w:tcPr>
          <w:p w14:paraId="519759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1.657</w:t>
            </w:r>
          </w:p>
        </w:tc>
        <w:tc>
          <w:tcPr>
            <w:tcW w:w="500" w:type="pct"/>
            <w:shd w:val="clear" w:color="000000" w:fill="auto"/>
            <w:noWrap/>
            <w:vAlign w:val="center"/>
            <w:hideMark/>
          </w:tcPr>
          <w:p w14:paraId="364259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895</w:t>
            </w:r>
          </w:p>
        </w:tc>
        <w:tc>
          <w:tcPr>
            <w:tcW w:w="500" w:type="pct"/>
            <w:shd w:val="clear" w:color="000000" w:fill="auto"/>
            <w:noWrap/>
            <w:vAlign w:val="center"/>
            <w:hideMark/>
          </w:tcPr>
          <w:p w14:paraId="2A6E2ED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77.773</w:t>
            </w:r>
          </w:p>
        </w:tc>
      </w:tr>
      <w:tr w:rsidR="00535FE1" w:rsidRPr="00F05605" w14:paraId="198FEF59" w14:textId="77777777" w:rsidTr="00535FE1">
        <w:trPr>
          <w:trHeight w:val="290"/>
        </w:trPr>
        <w:tc>
          <w:tcPr>
            <w:tcW w:w="500" w:type="pct"/>
            <w:shd w:val="clear" w:color="000000" w:fill="auto"/>
            <w:noWrap/>
            <w:vAlign w:val="bottom"/>
            <w:hideMark/>
          </w:tcPr>
          <w:p w14:paraId="0DA0D4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N_38 </w:t>
            </w:r>
          </w:p>
        </w:tc>
        <w:tc>
          <w:tcPr>
            <w:tcW w:w="500" w:type="pct"/>
            <w:shd w:val="clear" w:color="000000" w:fill="auto"/>
            <w:noWrap/>
            <w:vAlign w:val="center"/>
            <w:hideMark/>
          </w:tcPr>
          <w:p w14:paraId="6DF8BE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65.213</w:t>
            </w:r>
          </w:p>
        </w:tc>
        <w:tc>
          <w:tcPr>
            <w:tcW w:w="500" w:type="pct"/>
            <w:shd w:val="clear" w:color="000000" w:fill="auto"/>
            <w:noWrap/>
            <w:vAlign w:val="center"/>
            <w:hideMark/>
          </w:tcPr>
          <w:p w14:paraId="7ABF93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10.934</w:t>
            </w:r>
          </w:p>
        </w:tc>
        <w:tc>
          <w:tcPr>
            <w:tcW w:w="500" w:type="pct"/>
            <w:shd w:val="clear" w:color="000000" w:fill="auto"/>
            <w:noWrap/>
            <w:vAlign w:val="center"/>
            <w:hideMark/>
          </w:tcPr>
          <w:p w14:paraId="2280220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11.896</w:t>
            </w:r>
          </w:p>
        </w:tc>
        <w:tc>
          <w:tcPr>
            <w:tcW w:w="500" w:type="pct"/>
            <w:shd w:val="clear" w:color="000000" w:fill="auto"/>
            <w:noWrap/>
            <w:vAlign w:val="center"/>
            <w:hideMark/>
          </w:tcPr>
          <w:p w14:paraId="28A5B65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88.042</w:t>
            </w:r>
          </w:p>
        </w:tc>
        <w:tc>
          <w:tcPr>
            <w:tcW w:w="500" w:type="pct"/>
            <w:shd w:val="clear" w:color="000000" w:fill="auto"/>
            <w:noWrap/>
            <w:vAlign w:val="center"/>
            <w:hideMark/>
          </w:tcPr>
          <w:p w14:paraId="7851EF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20.813</w:t>
            </w:r>
          </w:p>
        </w:tc>
        <w:tc>
          <w:tcPr>
            <w:tcW w:w="500" w:type="pct"/>
            <w:shd w:val="clear" w:color="000000" w:fill="auto"/>
            <w:noWrap/>
            <w:vAlign w:val="center"/>
            <w:hideMark/>
          </w:tcPr>
          <w:p w14:paraId="7A5D89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10.806</w:t>
            </w:r>
          </w:p>
        </w:tc>
        <w:tc>
          <w:tcPr>
            <w:tcW w:w="500" w:type="pct"/>
            <w:shd w:val="clear" w:color="000000" w:fill="auto"/>
            <w:noWrap/>
            <w:vAlign w:val="center"/>
            <w:hideMark/>
          </w:tcPr>
          <w:p w14:paraId="7165F8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2.071</w:t>
            </w:r>
          </w:p>
        </w:tc>
        <w:tc>
          <w:tcPr>
            <w:tcW w:w="500" w:type="pct"/>
            <w:shd w:val="clear" w:color="000000" w:fill="auto"/>
            <w:noWrap/>
            <w:vAlign w:val="center"/>
            <w:hideMark/>
          </w:tcPr>
          <w:p w14:paraId="6FEB86F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544</w:t>
            </w:r>
          </w:p>
        </w:tc>
        <w:tc>
          <w:tcPr>
            <w:tcW w:w="500" w:type="pct"/>
            <w:shd w:val="clear" w:color="000000" w:fill="auto"/>
            <w:noWrap/>
            <w:vAlign w:val="center"/>
            <w:hideMark/>
          </w:tcPr>
          <w:p w14:paraId="39A567E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34.233</w:t>
            </w:r>
          </w:p>
        </w:tc>
      </w:tr>
      <w:tr w:rsidR="00535FE1" w:rsidRPr="00F05605" w14:paraId="493A3CB1" w14:textId="77777777" w:rsidTr="00535FE1">
        <w:trPr>
          <w:trHeight w:val="290"/>
        </w:trPr>
        <w:tc>
          <w:tcPr>
            <w:tcW w:w="500" w:type="pct"/>
            <w:shd w:val="clear" w:color="000000" w:fill="auto"/>
            <w:noWrap/>
            <w:vAlign w:val="bottom"/>
            <w:hideMark/>
          </w:tcPr>
          <w:p w14:paraId="41DDE8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N_39 </w:t>
            </w:r>
          </w:p>
        </w:tc>
        <w:tc>
          <w:tcPr>
            <w:tcW w:w="500" w:type="pct"/>
            <w:shd w:val="clear" w:color="000000" w:fill="auto"/>
            <w:noWrap/>
            <w:vAlign w:val="center"/>
            <w:hideMark/>
          </w:tcPr>
          <w:p w14:paraId="792A4E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105.764</w:t>
            </w:r>
          </w:p>
        </w:tc>
        <w:tc>
          <w:tcPr>
            <w:tcW w:w="500" w:type="pct"/>
            <w:shd w:val="clear" w:color="000000" w:fill="auto"/>
            <w:noWrap/>
            <w:vAlign w:val="center"/>
            <w:hideMark/>
          </w:tcPr>
          <w:p w14:paraId="671EDB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30.456</w:t>
            </w:r>
          </w:p>
        </w:tc>
        <w:tc>
          <w:tcPr>
            <w:tcW w:w="500" w:type="pct"/>
            <w:shd w:val="clear" w:color="000000" w:fill="auto"/>
            <w:noWrap/>
            <w:vAlign w:val="center"/>
            <w:hideMark/>
          </w:tcPr>
          <w:p w14:paraId="25D5D31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33.136</w:t>
            </w:r>
          </w:p>
        </w:tc>
        <w:tc>
          <w:tcPr>
            <w:tcW w:w="500" w:type="pct"/>
            <w:shd w:val="clear" w:color="000000" w:fill="auto"/>
            <w:noWrap/>
            <w:vAlign w:val="center"/>
            <w:hideMark/>
          </w:tcPr>
          <w:p w14:paraId="170F42E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169.356</w:t>
            </w:r>
          </w:p>
        </w:tc>
        <w:tc>
          <w:tcPr>
            <w:tcW w:w="500" w:type="pct"/>
            <w:shd w:val="clear" w:color="000000" w:fill="auto"/>
            <w:noWrap/>
            <w:vAlign w:val="center"/>
            <w:hideMark/>
          </w:tcPr>
          <w:p w14:paraId="3F85E72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57.973</w:t>
            </w:r>
          </w:p>
        </w:tc>
        <w:tc>
          <w:tcPr>
            <w:tcW w:w="500" w:type="pct"/>
            <w:shd w:val="clear" w:color="000000" w:fill="auto"/>
            <w:noWrap/>
            <w:vAlign w:val="center"/>
            <w:hideMark/>
          </w:tcPr>
          <w:p w14:paraId="0F0120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30.099</w:t>
            </w:r>
          </w:p>
        </w:tc>
        <w:tc>
          <w:tcPr>
            <w:tcW w:w="500" w:type="pct"/>
            <w:shd w:val="clear" w:color="000000" w:fill="auto"/>
            <w:noWrap/>
            <w:vAlign w:val="center"/>
            <w:hideMark/>
          </w:tcPr>
          <w:p w14:paraId="3944DE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5.768</w:t>
            </w:r>
          </w:p>
        </w:tc>
        <w:tc>
          <w:tcPr>
            <w:tcW w:w="500" w:type="pct"/>
            <w:shd w:val="clear" w:color="000000" w:fill="auto"/>
            <w:noWrap/>
            <w:vAlign w:val="center"/>
            <w:hideMark/>
          </w:tcPr>
          <w:p w14:paraId="22176D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1.514</w:t>
            </w:r>
          </w:p>
        </w:tc>
        <w:tc>
          <w:tcPr>
            <w:tcW w:w="500" w:type="pct"/>
            <w:shd w:val="clear" w:color="000000" w:fill="auto"/>
            <w:noWrap/>
            <w:vAlign w:val="center"/>
            <w:hideMark/>
          </w:tcPr>
          <w:p w14:paraId="77C7DB7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95.354</w:t>
            </w:r>
          </w:p>
        </w:tc>
      </w:tr>
      <w:tr w:rsidR="00535FE1" w:rsidRPr="00F05605" w14:paraId="178DD3E0" w14:textId="77777777" w:rsidTr="00535FE1">
        <w:trPr>
          <w:trHeight w:val="290"/>
        </w:trPr>
        <w:tc>
          <w:tcPr>
            <w:tcW w:w="500" w:type="pct"/>
            <w:shd w:val="clear" w:color="000000" w:fill="auto"/>
            <w:noWrap/>
            <w:vAlign w:val="bottom"/>
            <w:hideMark/>
          </w:tcPr>
          <w:p w14:paraId="5A3726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N_40 </w:t>
            </w:r>
          </w:p>
        </w:tc>
        <w:tc>
          <w:tcPr>
            <w:tcW w:w="500" w:type="pct"/>
            <w:shd w:val="clear" w:color="000000" w:fill="auto"/>
            <w:noWrap/>
            <w:vAlign w:val="center"/>
            <w:hideMark/>
          </w:tcPr>
          <w:p w14:paraId="10CABC9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129.532</w:t>
            </w:r>
          </w:p>
        </w:tc>
        <w:tc>
          <w:tcPr>
            <w:tcW w:w="500" w:type="pct"/>
            <w:shd w:val="clear" w:color="000000" w:fill="auto"/>
            <w:noWrap/>
            <w:vAlign w:val="center"/>
            <w:hideMark/>
          </w:tcPr>
          <w:p w14:paraId="4CB1597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37.522</w:t>
            </w:r>
          </w:p>
        </w:tc>
        <w:tc>
          <w:tcPr>
            <w:tcW w:w="500" w:type="pct"/>
            <w:shd w:val="clear" w:color="000000" w:fill="auto"/>
            <w:noWrap/>
            <w:vAlign w:val="center"/>
            <w:hideMark/>
          </w:tcPr>
          <w:p w14:paraId="4AC168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40.824</w:t>
            </w:r>
          </w:p>
        </w:tc>
        <w:tc>
          <w:tcPr>
            <w:tcW w:w="500" w:type="pct"/>
            <w:shd w:val="clear" w:color="000000" w:fill="auto"/>
            <w:noWrap/>
            <w:vAlign w:val="center"/>
            <w:hideMark/>
          </w:tcPr>
          <w:p w14:paraId="78E1E40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207.879</w:t>
            </w:r>
          </w:p>
        </w:tc>
        <w:tc>
          <w:tcPr>
            <w:tcW w:w="500" w:type="pct"/>
            <w:shd w:val="clear" w:color="000000" w:fill="auto"/>
            <w:noWrap/>
            <w:vAlign w:val="center"/>
            <w:hideMark/>
          </w:tcPr>
          <w:p w14:paraId="0CF665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71.424</w:t>
            </w:r>
          </w:p>
        </w:tc>
        <w:tc>
          <w:tcPr>
            <w:tcW w:w="500" w:type="pct"/>
            <w:shd w:val="clear" w:color="000000" w:fill="auto"/>
            <w:noWrap/>
            <w:vAlign w:val="center"/>
            <w:hideMark/>
          </w:tcPr>
          <w:p w14:paraId="639E8C2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37.082</w:t>
            </w:r>
          </w:p>
        </w:tc>
        <w:tc>
          <w:tcPr>
            <w:tcW w:w="500" w:type="pct"/>
            <w:shd w:val="clear" w:color="000000" w:fill="auto"/>
            <w:noWrap/>
            <w:vAlign w:val="center"/>
            <w:hideMark/>
          </w:tcPr>
          <w:p w14:paraId="547451F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7.106</w:t>
            </w:r>
          </w:p>
        </w:tc>
        <w:tc>
          <w:tcPr>
            <w:tcW w:w="500" w:type="pct"/>
            <w:shd w:val="clear" w:color="000000" w:fill="auto"/>
            <w:noWrap/>
            <w:vAlign w:val="center"/>
            <w:hideMark/>
          </w:tcPr>
          <w:p w14:paraId="0D7882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1.866</w:t>
            </w:r>
          </w:p>
        </w:tc>
        <w:tc>
          <w:tcPr>
            <w:tcW w:w="500" w:type="pct"/>
            <w:shd w:val="clear" w:color="000000" w:fill="auto"/>
            <w:noWrap/>
            <w:vAlign w:val="center"/>
            <w:hideMark/>
          </w:tcPr>
          <w:p w14:paraId="63282E8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117.478</w:t>
            </w:r>
          </w:p>
        </w:tc>
      </w:tr>
      <w:tr w:rsidR="00535FE1" w:rsidRPr="00F05605" w14:paraId="71436BCB" w14:textId="77777777" w:rsidTr="00535FE1">
        <w:trPr>
          <w:trHeight w:val="290"/>
        </w:trPr>
        <w:tc>
          <w:tcPr>
            <w:tcW w:w="500" w:type="pct"/>
            <w:shd w:val="clear" w:color="000000" w:fill="auto"/>
            <w:noWrap/>
            <w:vAlign w:val="bottom"/>
            <w:hideMark/>
          </w:tcPr>
          <w:p w14:paraId="370602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N_41 </w:t>
            </w:r>
          </w:p>
        </w:tc>
        <w:tc>
          <w:tcPr>
            <w:tcW w:w="500" w:type="pct"/>
            <w:shd w:val="clear" w:color="000000" w:fill="auto"/>
            <w:noWrap/>
            <w:vAlign w:val="center"/>
            <w:hideMark/>
          </w:tcPr>
          <w:p w14:paraId="7C91553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483.481</w:t>
            </w:r>
          </w:p>
        </w:tc>
        <w:tc>
          <w:tcPr>
            <w:tcW w:w="500" w:type="pct"/>
            <w:shd w:val="clear" w:color="000000" w:fill="auto"/>
            <w:noWrap/>
            <w:vAlign w:val="center"/>
            <w:hideMark/>
          </w:tcPr>
          <w:p w14:paraId="6E7E5A5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103.846</w:t>
            </w:r>
          </w:p>
        </w:tc>
        <w:tc>
          <w:tcPr>
            <w:tcW w:w="500" w:type="pct"/>
            <w:shd w:val="clear" w:color="000000" w:fill="auto"/>
            <w:noWrap/>
            <w:vAlign w:val="center"/>
            <w:hideMark/>
          </w:tcPr>
          <w:p w14:paraId="005CD3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44.590</w:t>
            </w:r>
          </w:p>
        </w:tc>
        <w:tc>
          <w:tcPr>
            <w:tcW w:w="500" w:type="pct"/>
            <w:shd w:val="clear" w:color="000000" w:fill="auto"/>
            <w:noWrap/>
            <w:vAlign w:val="center"/>
            <w:hideMark/>
          </w:tcPr>
          <w:p w14:paraId="042A1D1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631.917</w:t>
            </w:r>
          </w:p>
        </w:tc>
        <w:tc>
          <w:tcPr>
            <w:tcW w:w="500" w:type="pct"/>
            <w:shd w:val="clear" w:color="000000" w:fill="auto"/>
            <w:noWrap/>
            <w:vAlign w:val="center"/>
            <w:hideMark/>
          </w:tcPr>
          <w:p w14:paraId="5EAA6A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151.885</w:t>
            </w:r>
          </w:p>
        </w:tc>
        <w:tc>
          <w:tcPr>
            <w:tcW w:w="500" w:type="pct"/>
            <w:shd w:val="clear" w:color="000000" w:fill="auto"/>
            <w:noWrap/>
            <w:vAlign w:val="center"/>
            <w:hideMark/>
          </w:tcPr>
          <w:p w14:paraId="4ACD16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101.273</w:t>
            </w:r>
          </w:p>
        </w:tc>
        <w:tc>
          <w:tcPr>
            <w:tcW w:w="500" w:type="pct"/>
            <w:shd w:val="clear" w:color="000000" w:fill="auto"/>
            <w:noWrap/>
            <w:vAlign w:val="center"/>
            <w:hideMark/>
          </w:tcPr>
          <w:p w14:paraId="38F771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5.578</w:t>
            </w:r>
          </w:p>
        </w:tc>
        <w:tc>
          <w:tcPr>
            <w:tcW w:w="500" w:type="pct"/>
            <w:shd w:val="clear" w:color="000000" w:fill="auto"/>
            <w:noWrap/>
            <w:vAlign w:val="center"/>
            <w:hideMark/>
          </w:tcPr>
          <w:p w14:paraId="07D2BE8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3.012</w:t>
            </w:r>
          </w:p>
        </w:tc>
        <w:tc>
          <w:tcPr>
            <w:tcW w:w="500" w:type="pct"/>
            <w:shd w:val="clear" w:color="000000" w:fill="auto"/>
            <w:noWrap/>
            <w:vAlign w:val="center"/>
            <w:hideMark/>
          </w:tcPr>
          <w:p w14:paraId="3AE4A96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261.748</w:t>
            </w:r>
          </w:p>
        </w:tc>
      </w:tr>
      <w:tr w:rsidR="00535FE1" w:rsidRPr="00F05605" w14:paraId="03C3B88F" w14:textId="77777777" w:rsidTr="00535FE1">
        <w:trPr>
          <w:trHeight w:val="290"/>
        </w:trPr>
        <w:tc>
          <w:tcPr>
            <w:tcW w:w="500" w:type="pct"/>
            <w:shd w:val="clear" w:color="000000" w:fill="auto"/>
            <w:noWrap/>
            <w:vAlign w:val="bottom"/>
            <w:hideMark/>
          </w:tcPr>
          <w:p w14:paraId="428B3E5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N_42 </w:t>
            </w:r>
          </w:p>
        </w:tc>
        <w:tc>
          <w:tcPr>
            <w:tcW w:w="500" w:type="pct"/>
            <w:shd w:val="clear" w:color="000000" w:fill="auto"/>
            <w:noWrap/>
            <w:vAlign w:val="center"/>
            <w:hideMark/>
          </w:tcPr>
          <w:p w14:paraId="72E433C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29.681</w:t>
            </w:r>
          </w:p>
        </w:tc>
        <w:tc>
          <w:tcPr>
            <w:tcW w:w="500" w:type="pct"/>
            <w:shd w:val="clear" w:color="000000" w:fill="auto"/>
            <w:noWrap/>
            <w:vAlign w:val="center"/>
            <w:hideMark/>
          </w:tcPr>
          <w:p w14:paraId="37A22E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4.412</w:t>
            </w:r>
          </w:p>
        </w:tc>
        <w:tc>
          <w:tcPr>
            <w:tcW w:w="500" w:type="pct"/>
            <w:shd w:val="clear" w:color="000000" w:fill="auto"/>
            <w:noWrap/>
            <w:vAlign w:val="center"/>
            <w:hideMark/>
          </w:tcPr>
          <w:p w14:paraId="63EE525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1.895</w:t>
            </w:r>
          </w:p>
        </w:tc>
        <w:tc>
          <w:tcPr>
            <w:tcW w:w="500" w:type="pct"/>
            <w:shd w:val="clear" w:color="000000" w:fill="auto"/>
            <w:noWrap/>
            <w:vAlign w:val="center"/>
            <w:hideMark/>
          </w:tcPr>
          <w:p w14:paraId="48D8FE0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35.988</w:t>
            </w:r>
          </w:p>
        </w:tc>
        <w:tc>
          <w:tcPr>
            <w:tcW w:w="500" w:type="pct"/>
            <w:shd w:val="clear" w:color="000000" w:fill="auto"/>
            <w:noWrap/>
            <w:vAlign w:val="center"/>
            <w:hideMark/>
          </w:tcPr>
          <w:p w14:paraId="47968E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6.453</w:t>
            </w:r>
          </w:p>
        </w:tc>
        <w:tc>
          <w:tcPr>
            <w:tcW w:w="500" w:type="pct"/>
            <w:shd w:val="clear" w:color="000000" w:fill="auto"/>
            <w:noWrap/>
            <w:vAlign w:val="center"/>
            <w:hideMark/>
          </w:tcPr>
          <w:p w14:paraId="75F2935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4.303</w:t>
            </w:r>
          </w:p>
        </w:tc>
        <w:tc>
          <w:tcPr>
            <w:tcW w:w="500" w:type="pct"/>
            <w:shd w:val="clear" w:color="000000" w:fill="auto"/>
            <w:noWrap/>
            <w:vAlign w:val="center"/>
            <w:hideMark/>
          </w:tcPr>
          <w:p w14:paraId="760B44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237</w:t>
            </w:r>
          </w:p>
        </w:tc>
        <w:tc>
          <w:tcPr>
            <w:tcW w:w="500" w:type="pct"/>
            <w:shd w:val="clear" w:color="000000" w:fill="auto"/>
            <w:noWrap/>
            <w:vAlign w:val="center"/>
            <w:hideMark/>
          </w:tcPr>
          <w:p w14:paraId="294254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128</w:t>
            </w:r>
          </w:p>
        </w:tc>
        <w:tc>
          <w:tcPr>
            <w:tcW w:w="500" w:type="pct"/>
            <w:shd w:val="clear" w:color="000000" w:fill="auto"/>
            <w:noWrap/>
            <w:vAlign w:val="center"/>
            <w:hideMark/>
          </w:tcPr>
          <w:p w14:paraId="709E4B8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11.121</w:t>
            </w:r>
          </w:p>
        </w:tc>
      </w:tr>
      <w:tr w:rsidR="00535FE1" w:rsidRPr="00F05605" w14:paraId="07339055" w14:textId="77777777" w:rsidTr="00535FE1">
        <w:trPr>
          <w:trHeight w:val="290"/>
        </w:trPr>
        <w:tc>
          <w:tcPr>
            <w:tcW w:w="500" w:type="pct"/>
            <w:shd w:val="clear" w:color="000000" w:fill="auto"/>
            <w:noWrap/>
            <w:vAlign w:val="bottom"/>
            <w:hideMark/>
          </w:tcPr>
          <w:p w14:paraId="068C030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N_43 </w:t>
            </w:r>
          </w:p>
        </w:tc>
        <w:tc>
          <w:tcPr>
            <w:tcW w:w="500" w:type="pct"/>
            <w:shd w:val="clear" w:color="000000" w:fill="auto"/>
            <w:noWrap/>
            <w:vAlign w:val="center"/>
            <w:hideMark/>
          </w:tcPr>
          <w:p w14:paraId="445C8B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979.651</w:t>
            </w:r>
          </w:p>
        </w:tc>
        <w:tc>
          <w:tcPr>
            <w:tcW w:w="500" w:type="pct"/>
            <w:shd w:val="clear" w:color="000000" w:fill="auto"/>
            <w:noWrap/>
            <w:vAlign w:val="center"/>
            <w:hideMark/>
          </w:tcPr>
          <w:p w14:paraId="2D68CE7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608.665</w:t>
            </w:r>
          </w:p>
        </w:tc>
        <w:tc>
          <w:tcPr>
            <w:tcW w:w="500" w:type="pct"/>
            <w:shd w:val="clear" w:color="000000" w:fill="auto"/>
            <w:noWrap/>
            <w:vAlign w:val="center"/>
            <w:hideMark/>
          </w:tcPr>
          <w:p w14:paraId="28C55C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261.351</w:t>
            </w:r>
          </w:p>
        </w:tc>
        <w:tc>
          <w:tcPr>
            <w:tcW w:w="500" w:type="pct"/>
            <w:shd w:val="clear" w:color="000000" w:fill="auto"/>
            <w:noWrap/>
            <w:vAlign w:val="center"/>
            <w:hideMark/>
          </w:tcPr>
          <w:p w14:paraId="36817AE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1.849.667</w:t>
            </w:r>
          </w:p>
        </w:tc>
        <w:tc>
          <w:tcPr>
            <w:tcW w:w="500" w:type="pct"/>
            <w:shd w:val="clear" w:color="000000" w:fill="auto"/>
            <w:noWrap/>
            <w:vAlign w:val="center"/>
            <w:hideMark/>
          </w:tcPr>
          <w:p w14:paraId="20555E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890.233</w:t>
            </w:r>
          </w:p>
        </w:tc>
        <w:tc>
          <w:tcPr>
            <w:tcW w:w="500" w:type="pct"/>
            <w:shd w:val="clear" w:color="000000" w:fill="auto"/>
            <w:noWrap/>
            <w:vAlign w:val="center"/>
            <w:hideMark/>
          </w:tcPr>
          <w:p w14:paraId="062807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593.583</w:t>
            </w:r>
          </w:p>
        </w:tc>
        <w:tc>
          <w:tcPr>
            <w:tcW w:w="500" w:type="pct"/>
            <w:shd w:val="clear" w:color="000000" w:fill="auto"/>
            <w:noWrap/>
            <w:vAlign w:val="center"/>
            <w:hideMark/>
          </w:tcPr>
          <w:p w14:paraId="48BABC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32.695</w:t>
            </w:r>
          </w:p>
        </w:tc>
        <w:tc>
          <w:tcPr>
            <w:tcW w:w="500" w:type="pct"/>
            <w:shd w:val="clear" w:color="000000" w:fill="auto"/>
            <w:noWrap/>
            <w:vAlign w:val="center"/>
            <w:hideMark/>
          </w:tcPr>
          <w:p w14:paraId="3EDE801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17.653</w:t>
            </w:r>
          </w:p>
        </w:tc>
        <w:tc>
          <w:tcPr>
            <w:tcW w:w="500" w:type="pct"/>
            <w:shd w:val="clear" w:color="000000" w:fill="auto"/>
            <w:noWrap/>
            <w:vAlign w:val="center"/>
            <w:hideMark/>
          </w:tcPr>
          <w:p w14:paraId="78E513B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1.534.163</w:t>
            </w:r>
          </w:p>
        </w:tc>
      </w:tr>
      <w:tr w:rsidR="00535FE1" w:rsidRPr="00F05605" w14:paraId="0FC3045C" w14:textId="77777777" w:rsidTr="00535FE1">
        <w:trPr>
          <w:trHeight w:val="290"/>
        </w:trPr>
        <w:tc>
          <w:tcPr>
            <w:tcW w:w="500" w:type="pct"/>
            <w:shd w:val="clear" w:color="000000" w:fill="auto"/>
            <w:noWrap/>
            <w:vAlign w:val="bottom"/>
            <w:hideMark/>
          </w:tcPr>
          <w:p w14:paraId="6034CF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N_44 </w:t>
            </w:r>
          </w:p>
        </w:tc>
        <w:tc>
          <w:tcPr>
            <w:tcW w:w="500" w:type="pct"/>
            <w:shd w:val="clear" w:color="000000" w:fill="auto"/>
            <w:noWrap/>
            <w:vAlign w:val="center"/>
            <w:hideMark/>
          </w:tcPr>
          <w:p w14:paraId="65145A1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249.688</w:t>
            </w:r>
          </w:p>
        </w:tc>
        <w:tc>
          <w:tcPr>
            <w:tcW w:w="500" w:type="pct"/>
            <w:shd w:val="clear" w:color="000000" w:fill="auto"/>
            <w:noWrap/>
            <w:vAlign w:val="center"/>
            <w:hideMark/>
          </w:tcPr>
          <w:p w14:paraId="58D0F8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42.136</w:t>
            </w:r>
          </w:p>
        </w:tc>
        <w:tc>
          <w:tcPr>
            <w:tcW w:w="500" w:type="pct"/>
            <w:shd w:val="clear" w:color="000000" w:fill="auto"/>
            <w:noWrap/>
            <w:vAlign w:val="center"/>
            <w:hideMark/>
          </w:tcPr>
          <w:p w14:paraId="63E59F2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18.093</w:t>
            </w:r>
          </w:p>
        </w:tc>
        <w:tc>
          <w:tcPr>
            <w:tcW w:w="500" w:type="pct"/>
            <w:shd w:val="clear" w:color="000000" w:fill="auto"/>
            <w:noWrap/>
            <w:vAlign w:val="center"/>
            <w:hideMark/>
          </w:tcPr>
          <w:p w14:paraId="7B17440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309.917</w:t>
            </w:r>
          </w:p>
        </w:tc>
        <w:tc>
          <w:tcPr>
            <w:tcW w:w="500" w:type="pct"/>
            <w:shd w:val="clear" w:color="000000" w:fill="auto"/>
            <w:noWrap/>
            <w:vAlign w:val="center"/>
            <w:hideMark/>
          </w:tcPr>
          <w:p w14:paraId="4698B3F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61.628</w:t>
            </w:r>
          </w:p>
        </w:tc>
        <w:tc>
          <w:tcPr>
            <w:tcW w:w="500" w:type="pct"/>
            <w:shd w:val="clear" w:color="000000" w:fill="auto"/>
            <w:noWrap/>
            <w:vAlign w:val="center"/>
            <w:hideMark/>
          </w:tcPr>
          <w:p w14:paraId="6B3D60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41.092</w:t>
            </w:r>
          </w:p>
        </w:tc>
        <w:tc>
          <w:tcPr>
            <w:tcW w:w="500" w:type="pct"/>
            <w:shd w:val="clear" w:color="000000" w:fill="auto"/>
            <w:noWrap/>
            <w:vAlign w:val="center"/>
            <w:hideMark/>
          </w:tcPr>
          <w:p w14:paraId="2CBD300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2.263</w:t>
            </w:r>
          </w:p>
        </w:tc>
        <w:tc>
          <w:tcPr>
            <w:tcW w:w="500" w:type="pct"/>
            <w:shd w:val="clear" w:color="000000" w:fill="auto"/>
            <w:noWrap/>
            <w:vAlign w:val="center"/>
            <w:hideMark/>
          </w:tcPr>
          <w:p w14:paraId="70E8702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1.222</w:t>
            </w:r>
          </w:p>
        </w:tc>
        <w:tc>
          <w:tcPr>
            <w:tcW w:w="500" w:type="pct"/>
            <w:shd w:val="clear" w:color="000000" w:fill="auto"/>
            <w:noWrap/>
            <w:vAlign w:val="center"/>
            <w:hideMark/>
          </w:tcPr>
          <w:p w14:paraId="202392C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106.206</w:t>
            </w:r>
          </w:p>
        </w:tc>
      </w:tr>
      <w:tr w:rsidR="00535FE1" w:rsidRPr="00F05605" w14:paraId="7111CB84" w14:textId="77777777" w:rsidTr="00535FE1">
        <w:trPr>
          <w:trHeight w:val="290"/>
        </w:trPr>
        <w:tc>
          <w:tcPr>
            <w:tcW w:w="500" w:type="pct"/>
            <w:shd w:val="clear" w:color="000000" w:fill="auto"/>
            <w:noWrap/>
            <w:vAlign w:val="bottom"/>
            <w:hideMark/>
          </w:tcPr>
          <w:p w14:paraId="478B010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N_45 </w:t>
            </w:r>
          </w:p>
        </w:tc>
        <w:tc>
          <w:tcPr>
            <w:tcW w:w="500" w:type="pct"/>
            <w:shd w:val="clear" w:color="000000" w:fill="auto"/>
            <w:noWrap/>
            <w:vAlign w:val="center"/>
            <w:hideMark/>
          </w:tcPr>
          <w:p w14:paraId="3AB27D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137.921</w:t>
            </w:r>
          </w:p>
        </w:tc>
        <w:tc>
          <w:tcPr>
            <w:tcW w:w="500" w:type="pct"/>
            <w:shd w:val="clear" w:color="000000" w:fill="auto"/>
            <w:noWrap/>
            <w:vAlign w:val="center"/>
            <w:hideMark/>
          </w:tcPr>
          <w:p w14:paraId="6C826D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52.024</w:t>
            </w:r>
          </w:p>
        </w:tc>
        <w:tc>
          <w:tcPr>
            <w:tcW w:w="500" w:type="pct"/>
            <w:shd w:val="clear" w:color="000000" w:fill="auto"/>
            <w:noWrap/>
            <w:vAlign w:val="center"/>
            <w:hideMark/>
          </w:tcPr>
          <w:p w14:paraId="62C0FB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22.338</w:t>
            </w:r>
          </w:p>
        </w:tc>
        <w:tc>
          <w:tcPr>
            <w:tcW w:w="500" w:type="pct"/>
            <w:shd w:val="clear" w:color="000000" w:fill="auto"/>
            <w:noWrap/>
            <w:vAlign w:val="center"/>
            <w:hideMark/>
          </w:tcPr>
          <w:p w14:paraId="208464E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212.283</w:t>
            </w:r>
          </w:p>
        </w:tc>
        <w:tc>
          <w:tcPr>
            <w:tcW w:w="500" w:type="pct"/>
            <w:shd w:val="clear" w:color="000000" w:fill="auto"/>
            <w:noWrap/>
            <w:vAlign w:val="center"/>
            <w:hideMark/>
          </w:tcPr>
          <w:p w14:paraId="121EF2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76.090</w:t>
            </w:r>
          </w:p>
        </w:tc>
        <w:tc>
          <w:tcPr>
            <w:tcW w:w="500" w:type="pct"/>
            <w:shd w:val="clear" w:color="000000" w:fill="auto"/>
            <w:noWrap/>
            <w:vAlign w:val="center"/>
            <w:hideMark/>
          </w:tcPr>
          <w:p w14:paraId="485139C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50.735</w:t>
            </w:r>
          </w:p>
        </w:tc>
        <w:tc>
          <w:tcPr>
            <w:tcW w:w="500" w:type="pct"/>
            <w:shd w:val="clear" w:color="000000" w:fill="auto"/>
            <w:noWrap/>
            <w:vAlign w:val="center"/>
            <w:hideMark/>
          </w:tcPr>
          <w:p w14:paraId="6F2374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2.794</w:t>
            </w:r>
          </w:p>
        </w:tc>
        <w:tc>
          <w:tcPr>
            <w:tcW w:w="500" w:type="pct"/>
            <w:shd w:val="clear" w:color="000000" w:fill="auto"/>
            <w:noWrap/>
            <w:vAlign w:val="center"/>
            <w:hideMark/>
          </w:tcPr>
          <w:p w14:paraId="3E4A2AF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1.509</w:t>
            </w:r>
          </w:p>
        </w:tc>
        <w:tc>
          <w:tcPr>
            <w:tcW w:w="500" w:type="pct"/>
            <w:shd w:val="clear" w:color="000000" w:fill="auto"/>
            <w:noWrap/>
            <w:vAlign w:val="center"/>
            <w:hideMark/>
          </w:tcPr>
          <w:p w14:paraId="3E5F822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131.128</w:t>
            </w:r>
          </w:p>
        </w:tc>
      </w:tr>
      <w:tr w:rsidR="00535FE1" w:rsidRPr="00F05605" w14:paraId="2CBECB45" w14:textId="77777777" w:rsidTr="00535FE1">
        <w:trPr>
          <w:trHeight w:val="290"/>
        </w:trPr>
        <w:tc>
          <w:tcPr>
            <w:tcW w:w="500" w:type="pct"/>
            <w:shd w:val="clear" w:color="000000" w:fill="auto"/>
            <w:noWrap/>
            <w:vAlign w:val="bottom"/>
            <w:hideMark/>
          </w:tcPr>
          <w:p w14:paraId="52B978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N_46 </w:t>
            </w:r>
          </w:p>
        </w:tc>
        <w:tc>
          <w:tcPr>
            <w:tcW w:w="500" w:type="pct"/>
            <w:shd w:val="clear" w:color="000000" w:fill="auto"/>
            <w:noWrap/>
            <w:vAlign w:val="center"/>
            <w:hideMark/>
          </w:tcPr>
          <w:p w14:paraId="305534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154.140</w:t>
            </w:r>
          </w:p>
        </w:tc>
        <w:tc>
          <w:tcPr>
            <w:tcW w:w="500" w:type="pct"/>
            <w:shd w:val="clear" w:color="000000" w:fill="auto"/>
            <w:noWrap/>
            <w:vAlign w:val="center"/>
            <w:hideMark/>
          </w:tcPr>
          <w:p w14:paraId="4FC6D45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23.213</w:t>
            </w:r>
          </w:p>
        </w:tc>
        <w:tc>
          <w:tcPr>
            <w:tcW w:w="500" w:type="pct"/>
            <w:shd w:val="clear" w:color="000000" w:fill="auto"/>
            <w:noWrap/>
            <w:vAlign w:val="center"/>
            <w:hideMark/>
          </w:tcPr>
          <w:p w14:paraId="19CDC1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25.255</w:t>
            </w:r>
          </w:p>
        </w:tc>
        <w:tc>
          <w:tcPr>
            <w:tcW w:w="500" w:type="pct"/>
            <w:shd w:val="clear" w:color="000000" w:fill="auto"/>
            <w:noWrap/>
            <w:vAlign w:val="center"/>
            <w:hideMark/>
          </w:tcPr>
          <w:p w14:paraId="0595D8F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202.608</w:t>
            </w:r>
          </w:p>
        </w:tc>
        <w:tc>
          <w:tcPr>
            <w:tcW w:w="500" w:type="pct"/>
            <w:shd w:val="clear" w:color="000000" w:fill="auto"/>
            <w:noWrap/>
            <w:vAlign w:val="center"/>
            <w:hideMark/>
          </w:tcPr>
          <w:p w14:paraId="60B1988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44.185</w:t>
            </w:r>
          </w:p>
        </w:tc>
        <w:tc>
          <w:tcPr>
            <w:tcW w:w="500" w:type="pct"/>
            <w:shd w:val="clear" w:color="000000" w:fill="auto"/>
            <w:noWrap/>
            <w:vAlign w:val="center"/>
            <w:hideMark/>
          </w:tcPr>
          <w:p w14:paraId="1836601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22.940</w:t>
            </w:r>
          </w:p>
        </w:tc>
        <w:tc>
          <w:tcPr>
            <w:tcW w:w="500" w:type="pct"/>
            <w:shd w:val="clear" w:color="000000" w:fill="auto"/>
            <w:noWrap/>
            <w:vAlign w:val="center"/>
            <w:hideMark/>
          </w:tcPr>
          <w:p w14:paraId="791150C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4.396</w:t>
            </w:r>
          </w:p>
        </w:tc>
        <w:tc>
          <w:tcPr>
            <w:tcW w:w="500" w:type="pct"/>
            <w:shd w:val="clear" w:color="000000" w:fill="auto"/>
            <w:noWrap/>
            <w:vAlign w:val="center"/>
            <w:hideMark/>
          </w:tcPr>
          <w:p w14:paraId="28540CB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1.154</w:t>
            </w:r>
          </w:p>
        </w:tc>
        <w:tc>
          <w:tcPr>
            <w:tcW w:w="500" w:type="pct"/>
            <w:shd w:val="clear" w:color="000000" w:fill="auto"/>
            <w:noWrap/>
            <w:vAlign w:val="center"/>
            <w:hideMark/>
          </w:tcPr>
          <w:p w14:paraId="3B7904E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72.676</w:t>
            </w:r>
          </w:p>
        </w:tc>
      </w:tr>
      <w:tr w:rsidR="00535FE1" w:rsidRPr="00F05605" w14:paraId="7986F61B" w14:textId="77777777" w:rsidTr="00535FE1">
        <w:trPr>
          <w:trHeight w:val="290"/>
        </w:trPr>
        <w:tc>
          <w:tcPr>
            <w:tcW w:w="500" w:type="pct"/>
            <w:shd w:val="clear" w:color="000000" w:fill="auto"/>
            <w:noWrap/>
            <w:vAlign w:val="bottom"/>
            <w:hideMark/>
          </w:tcPr>
          <w:p w14:paraId="2E88E15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N_47 </w:t>
            </w:r>
          </w:p>
        </w:tc>
        <w:tc>
          <w:tcPr>
            <w:tcW w:w="500" w:type="pct"/>
            <w:shd w:val="clear" w:color="000000" w:fill="auto"/>
            <w:noWrap/>
            <w:vAlign w:val="center"/>
            <w:hideMark/>
          </w:tcPr>
          <w:p w14:paraId="543AC2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61.717</w:t>
            </w:r>
          </w:p>
        </w:tc>
        <w:tc>
          <w:tcPr>
            <w:tcW w:w="500" w:type="pct"/>
            <w:shd w:val="clear" w:color="000000" w:fill="auto"/>
            <w:noWrap/>
            <w:vAlign w:val="center"/>
            <w:hideMark/>
          </w:tcPr>
          <w:p w14:paraId="6D32F3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8.985</w:t>
            </w:r>
          </w:p>
        </w:tc>
        <w:tc>
          <w:tcPr>
            <w:tcW w:w="500" w:type="pct"/>
            <w:shd w:val="clear" w:color="000000" w:fill="auto"/>
            <w:noWrap/>
            <w:vAlign w:val="center"/>
            <w:hideMark/>
          </w:tcPr>
          <w:p w14:paraId="56AA63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9.776</w:t>
            </w:r>
          </w:p>
        </w:tc>
        <w:tc>
          <w:tcPr>
            <w:tcW w:w="500" w:type="pct"/>
            <w:shd w:val="clear" w:color="000000" w:fill="auto"/>
            <w:noWrap/>
            <w:vAlign w:val="center"/>
            <w:hideMark/>
          </w:tcPr>
          <w:p w14:paraId="61C34DA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80.478</w:t>
            </w:r>
          </w:p>
        </w:tc>
        <w:tc>
          <w:tcPr>
            <w:tcW w:w="500" w:type="pct"/>
            <w:shd w:val="clear" w:color="000000" w:fill="auto"/>
            <w:noWrap/>
            <w:vAlign w:val="center"/>
            <w:hideMark/>
          </w:tcPr>
          <w:p w14:paraId="1C877A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17.103</w:t>
            </w:r>
          </w:p>
        </w:tc>
        <w:tc>
          <w:tcPr>
            <w:tcW w:w="500" w:type="pct"/>
            <w:shd w:val="clear" w:color="000000" w:fill="auto"/>
            <w:noWrap/>
            <w:vAlign w:val="center"/>
            <w:hideMark/>
          </w:tcPr>
          <w:p w14:paraId="147A2B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8.880</w:t>
            </w:r>
          </w:p>
        </w:tc>
        <w:tc>
          <w:tcPr>
            <w:tcW w:w="500" w:type="pct"/>
            <w:shd w:val="clear" w:color="000000" w:fill="auto"/>
            <w:noWrap/>
            <w:vAlign w:val="center"/>
            <w:hideMark/>
          </w:tcPr>
          <w:p w14:paraId="2DEC08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1.702</w:t>
            </w:r>
          </w:p>
        </w:tc>
        <w:tc>
          <w:tcPr>
            <w:tcW w:w="500" w:type="pct"/>
            <w:shd w:val="clear" w:color="000000" w:fill="auto"/>
            <w:noWrap/>
            <w:vAlign w:val="center"/>
            <w:hideMark/>
          </w:tcPr>
          <w:p w14:paraId="5318EF4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447</w:t>
            </w:r>
          </w:p>
        </w:tc>
        <w:tc>
          <w:tcPr>
            <w:tcW w:w="500" w:type="pct"/>
            <w:shd w:val="clear" w:color="000000" w:fill="auto"/>
            <w:noWrap/>
            <w:vAlign w:val="center"/>
            <w:hideMark/>
          </w:tcPr>
          <w:p w14:paraId="7EA0CA8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28.131</w:t>
            </w:r>
          </w:p>
        </w:tc>
      </w:tr>
      <w:tr w:rsidR="00535FE1" w:rsidRPr="00F05605" w14:paraId="191FAA38" w14:textId="77777777" w:rsidTr="00535FE1">
        <w:trPr>
          <w:trHeight w:val="290"/>
        </w:trPr>
        <w:tc>
          <w:tcPr>
            <w:tcW w:w="500" w:type="pct"/>
            <w:shd w:val="clear" w:color="000000" w:fill="auto"/>
            <w:noWrap/>
            <w:vAlign w:val="bottom"/>
            <w:hideMark/>
          </w:tcPr>
          <w:p w14:paraId="499C72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N_48 </w:t>
            </w:r>
          </w:p>
        </w:tc>
        <w:tc>
          <w:tcPr>
            <w:tcW w:w="500" w:type="pct"/>
            <w:shd w:val="clear" w:color="000000" w:fill="auto"/>
            <w:noWrap/>
            <w:vAlign w:val="center"/>
            <w:hideMark/>
          </w:tcPr>
          <w:p w14:paraId="11D7F89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339.168</w:t>
            </w:r>
          </w:p>
        </w:tc>
        <w:tc>
          <w:tcPr>
            <w:tcW w:w="500" w:type="pct"/>
            <w:shd w:val="clear" w:color="000000" w:fill="auto"/>
            <w:noWrap/>
            <w:vAlign w:val="center"/>
            <w:hideMark/>
          </w:tcPr>
          <w:p w14:paraId="2569601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57.189</w:t>
            </w:r>
          </w:p>
        </w:tc>
        <w:tc>
          <w:tcPr>
            <w:tcW w:w="500" w:type="pct"/>
            <w:shd w:val="clear" w:color="000000" w:fill="auto"/>
            <w:noWrap/>
            <w:vAlign w:val="center"/>
            <w:hideMark/>
          </w:tcPr>
          <w:p w14:paraId="569785D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24.556</w:t>
            </w:r>
          </w:p>
        </w:tc>
        <w:tc>
          <w:tcPr>
            <w:tcW w:w="500" w:type="pct"/>
            <w:shd w:val="clear" w:color="000000" w:fill="auto"/>
            <w:noWrap/>
            <w:vAlign w:val="center"/>
            <w:hideMark/>
          </w:tcPr>
          <w:p w14:paraId="0DF6EAF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420.913</w:t>
            </w:r>
          </w:p>
        </w:tc>
        <w:tc>
          <w:tcPr>
            <w:tcW w:w="500" w:type="pct"/>
            <w:shd w:val="clear" w:color="000000" w:fill="auto"/>
            <w:noWrap/>
            <w:vAlign w:val="center"/>
            <w:hideMark/>
          </w:tcPr>
          <w:p w14:paraId="549FE4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83.644</w:t>
            </w:r>
          </w:p>
        </w:tc>
        <w:tc>
          <w:tcPr>
            <w:tcW w:w="500" w:type="pct"/>
            <w:shd w:val="clear" w:color="000000" w:fill="auto"/>
            <w:noWrap/>
            <w:vAlign w:val="center"/>
            <w:hideMark/>
          </w:tcPr>
          <w:p w14:paraId="151BA6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55.772</w:t>
            </w:r>
          </w:p>
        </w:tc>
        <w:tc>
          <w:tcPr>
            <w:tcW w:w="500" w:type="pct"/>
            <w:shd w:val="clear" w:color="000000" w:fill="auto"/>
            <w:noWrap/>
            <w:vAlign w:val="center"/>
            <w:hideMark/>
          </w:tcPr>
          <w:p w14:paraId="60CCDA5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3.072</w:t>
            </w:r>
          </w:p>
        </w:tc>
        <w:tc>
          <w:tcPr>
            <w:tcW w:w="500" w:type="pct"/>
            <w:shd w:val="clear" w:color="000000" w:fill="auto"/>
            <w:noWrap/>
            <w:vAlign w:val="center"/>
            <w:hideMark/>
          </w:tcPr>
          <w:p w14:paraId="2DE162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1.659</w:t>
            </w:r>
          </w:p>
        </w:tc>
        <w:tc>
          <w:tcPr>
            <w:tcW w:w="500" w:type="pct"/>
            <w:shd w:val="clear" w:color="000000" w:fill="auto"/>
            <w:noWrap/>
            <w:vAlign w:val="center"/>
            <w:hideMark/>
          </w:tcPr>
          <w:p w14:paraId="3A9FA23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144.147</w:t>
            </w:r>
          </w:p>
        </w:tc>
      </w:tr>
      <w:tr w:rsidR="00535FE1" w:rsidRPr="00F05605" w14:paraId="3FD1524C" w14:textId="77777777" w:rsidTr="00535FE1">
        <w:trPr>
          <w:trHeight w:val="290"/>
        </w:trPr>
        <w:tc>
          <w:tcPr>
            <w:tcW w:w="500" w:type="pct"/>
            <w:shd w:val="clear" w:color="000000" w:fill="auto"/>
            <w:noWrap/>
            <w:vAlign w:val="bottom"/>
            <w:hideMark/>
          </w:tcPr>
          <w:p w14:paraId="6ED1F8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N_49 </w:t>
            </w:r>
          </w:p>
        </w:tc>
        <w:tc>
          <w:tcPr>
            <w:tcW w:w="500" w:type="pct"/>
            <w:shd w:val="clear" w:color="000000" w:fill="auto"/>
            <w:noWrap/>
            <w:vAlign w:val="center"/>
            <w:hideMark/>
          </w:tcPr>
          <w:p w14:paraId="083E69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86.210</w:t>
            </w:r>
          </w:p>
        </w:tc>
        <w:tc>
          <w:tcPr>
            <w:tcW w:w="500" w:type="pct"/>
            <w:shd w:val="clear" w:color="000000" w:fill="auto"/>
            <w:noWrap/>
            <w:vAlign w:val="center"/>
            <w:hideMark/>
          </w:tcPr>
          <w:p w14:paraId="5D6907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15.624</w:t>
            </w:r>
          </w:p>
        </w:tc>
        <w:tc>
          <w:tcPr>
            <w:tcW w:w="500" w:type="pct"/>
            <w:shd w:val="clear" w:color="000000" w:fill="auto"/>
            <w:noWrap/>
            <w:vAlign w:val="center"/>
            <w:hideMark/>
          </w:tcPr>
          <w:p w14:paraId="215F5F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16.998</w:t>
            </w:r>
          </w:p>
        </w:tc>
        <w:tc>
          <w:tcPr>
            <w:tcW w:w="500" w:type="pct"/>
            <w:shd w:val="clear" w:color="000000" w:fill="auto"/>
            <w:noWrap/>
            <w:vAlign w:val="center"/>
            <w:hideMark/>
          </w:tcPr>
          <w:p w14:paraId="62F210F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118.832</w:t>
            </w:r>
          </w:p>
        </w:tc>
        <w:tc>
          <w:tcPr>
            <w:tcW w:w="500" w:type="pct"/>
            <w:shd w:val="clear" w:color="000000" w:fill="auto"/>
            <w:noWrap/>
            <w:vAlign w:val="center"/>
            <w:hideMark/>
          </w:tcPr>
          <w:p w14:paraId="7B8122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29.740</w:t>
            </w:r>
          </w:p>
        </w:tc>
        <w:tc>
          <w:tcPr>
            <w:tcW w:w="500" w:type="pct"/>
            <w:shd w:val="clear" w:color="000000" w:fill="auto"/>
            <w:noWrap/>
            <w:vAlign w:val="center"/>
            <w:hideMark/>
          </w:tcPr>
          <w:p w14:paraId="240CDC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15.440</w:t>
            </w:r>
          </w:p>
        </w:tc>
        <w:tc>
          <w:tcPr>
            <w:tcW w:w="500" w:type="pct"/>
            <w:shd w:val="clear" w:color="000000" w:fill="auto"/>
            <w:noWrap/>
            <w:vAlign w:val="center"/>
            <w:hideMark/>
          </w:tcPr>
          <w:p w14:paraId="1C65AB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2.959</w:t>
            </w:r>
          </w:p>
        </w:tc>
        <w:tc>
          <w:tcPr>
            <w:tcW w:w="500" w:type="pct"/>
            <w:shd w:val="clear" w:color="000000" w:fill="auto"/>
            <w:noWrap/>
            <w:vAlign w:val="center"/>
            <w:hideMark/>
          </w:tcPr>
          <w:p w14:paraId="037E266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777</w:t>
            </w:r>
          </w:p>
        </w:tc>
        <w:tc>
          <w:tcPr>
            <w:tcW w:w="500" w:type="pct"/>
            <w:shd w:val="clear" w:color="000000" w:fill="auto"/>
            <w:noWrap/>
            <w:vAlign w:val="center"/>
            <w:hideMark/>
          </w:tcPr>
          <w:p w14:paraId="199337D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48.916</w:t>
            </w:r>
          </w:p>
        </w:tc>
      </w:tr>
      <w:tr w:rsidR="00535FE1" w:rsidRPr="00F05605" w14:paraId="70A37F05" w14:textId="77777777" w:rsidTr="00535FE1">
        <w:trPr>
          <w:trHeight w:val="290"/>
        </w:trPr>
        <w:tc>
          <w:tcPr>
            <w:tcW w:w="500" w:type="pct"/>
            <w:shd w:val="clear" w:color="000000" w:fill="auto"/>
            <w:noWrap/>
            <w:vAlign w:val="bottom"/>
            <w:hideMark/>
          </w:tcPr>
          <w:p w14:paraId="5C4F13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N_50 </w:t>
            </w:r>
          </w:p>
        </w:tc>
        <w:tc>
          <w:tcPr>
            <w:tcW w:w="500" w:type="pct"/>
            <w:shd w:val="clear" w:color="000000" w:fill="auto"/>
            <w:noWrap/>
            <w:vAlign w:val="center"/>
            <w:hideMark/>
          </w:tcPr>
          <w:p w14:paraId="60B503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19.039</w:t>
            </w:r>
          </w:p>
        </w:tc>
        <w:tc>
          <w:tcPr>
            <w:tcW w:w="500" w:type="pct"/>
            <w:shd w:val="clear" w:color="000000" w:fill="auto"/>
            <w:noWrap/>
            <w:vAlign w:val="center"/>
            <w:hideMark/>
          </w:tcPr>
          <w:p w14:paraId="1B4A23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19.748</w:t>
            </w:r>
          </w:p>
        </w:tc>
        <w:tc>
          <w:tcPr>
            <w:tcW w:w="500" w:type="pct"/>
            <w:shd w:val="clear" w:color="000000" w:fill="auto"/>
            <w:noWrap/>
            <w:vAlign w:val="center"/>
            <w:hideMark/>
          </w:tcPr>
          <w:p w14:paraId="06369A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10.150</w:t>
            </w:r>
          </w:p>
        </w:tc>
        <w:tc>
          <w:tcPr>
            <w:tcW w:w="500" w:type="pct"/>
            <w:shd w:val="clear" w:color="000000" w:fill="auto"/>
            <w:noWrap/>
            <w:vAlign w:val="center"/>
            <w:hideMark/>
          </w:tcPr>
          <w:p w14:paraId="77C2A11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48.937</w:t>
            </w:r>
          </w:p>
        </w:tc>
        <w:tc>
          <w:tcPr>
            <w:tcW w:w="500" w:type="pct"/>
            <w:shd w:val="clear" w:color="000000" w:fill="auto"/>
            <w:noWrap/>
            <w:vAlign w:val="center"/>
            <w:hideMark/>
          </w:tcPr>
          <w:p w14:paraId="00AB2B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14.495</w:t>
            </w:r>
          </w:p>
        </w:tc>
        <w:tc>
          <w:tcPr>
            <w:tcW w:w="500" w:type="pct"/>
            <w:shd w:val="clear" w:color="000000" w:fill="auto"/>
            <w:noWrap/>
            <w:vAlign w:val="center"/>
            <w:hideMark/>
          </w:tcPr>
          <w:p w14:paraId="41A24BF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19.317</w:t>
            </w:r>
          </w:p>
        </w:tc>
        <w:tc>
          <w:tcPr>
            <w:tcW w:w="500" w:type="pct"/>
            <w:shd w:val="clear" w:color="000000" w:fill="auto"/>
            <w:noWrap/>
            <w:vAlign w:val="center"/>
            <w:hideMark/>
          </w:tcPr>
          <w:p w14:paraId="0A48CDF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1.686</w:t>
            </w:r>
          </w:p>
        </w:tc>
        <w:tc>
          <w:tcPr>
            <w:tcW w:w="500" w:type="pct"/>
            <w:shd w:val="clear" w:color="000000" w:fill="auto"/>
            <w:noWrap/>
            <w:vAlign w:val="center"/>
            <w:hideMark/>
          </w:tcPr>
          <w:p w14:paraId="261291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665</w:t>
            </w:r>
          </w:p>
        </w:tc>
        <w:tc>
          <w:tcPr>
            <w:tcW w:w="500" w:type="pct"/>
            <w:shd w:val="clear" w:color="000000" w:fill="auto"/>
            <w:noWrap/>
            <w:vAlign w:val="center"/>
            <w:hideMark/>
          </w:tcPr>
          <w:p w14:paraId="3171AA6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36.163</w:t>
            </w:r>
          </w:p>
        </w:tc>
      </w:tr>
      <w:tr w:rsidR="00535FE1" w:rsidRPr="00F05605" w14:paraId="6FB7A9F3" w14:textId="77777777" w:rsidTr="00535FE1">
        <w:trPr>
          <w:trHeight w:val="290"/>
        </w:trPr>
        <w:tc>
          <w:tcPr>
            <w:tcW w:w="500" w:type="pct"/>
            <w:shd w:val="clear" w:color="000000" w:fill="auto"/>
            <w:noWrap/>
            <w:vAlign w:val="bottom"/>
            <w:hideMark/>
          </w:tcPr>
          <w:p w14:paraId="4B4CCC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N_51 </w:t>
            </w:r>
          </w:p>
        </w:tc>
        <w:tc>
          <w:tcPr>
            <w:tcW w:w="500" w:type="pct"/>
            <w:shd w:val="clear" w:color="000000" w:fill="auto"/>
            <w:noWrap/>
            <w:vAlign w:val="center"/>
            <w:hideMark/>
          </w:tcPr>
          <w:p w14:paraId="5C5B2ED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25.716</w:t>
            </w:r>
          </w:p>
        </w:tc>
        <w:tc>
          <w:tcPr>
            <w:tcW w:w="500" w:type="pct"/>
            <w:shd w:val="clear" w:color="000000" w:fill="auto"/>
            <w:noWrap/>
            <w:vAlign w:val="center"/>
            <w:hideMark/>
          </w:tcPr>
          <w:p w14:paraId="3120ED0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3.370</w:t>
            </w:r>
          </w:p>
        </w:tc>
        <w:tc>
          <w:tcPr>
            <w:tcW w:w="500" w:type="pct"/>
            <w:shd w:val="clear" w:color="000000" w:fill="auto"/>
            <w:noWrap/>
            <w:vAlign w:val="center"/>
            <w:hideMark/>
          </w:tcPr>
          <w:p w14:paraId="5732409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1.447</w:t>
            </w:r>
          </w:p>
        </w:tc>
        <w:tc>
          <w:tcPr>
            <w:tcW w:w="500" w:type="pct"/>
            <w:shd w:val="clear" w:color="000000" w:fill="auto"/>
            <w:noWrap/>
            <w:vAlign w:val="center"/>
            <w:hideMark/>
          </w:tcPr>
          <w:p w14:paraId="3DE3F3C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30.533</w:t>
            </w:r>
          </w:p>
        </w:tc>
        <w:tc>
          <w:tcPr>
            <w:tcW w:w="500" w:type="pct"/>
            <w:shd w:val="clear" w:color="000000" w:fill="auto"/>
            <w:noWrap/>
            <w:vAlign w:val="center"/>
            <w:hideMark/>
          </w:tcPr>
          <w:p w14:paraId="6D0B47B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4.929</w:t>
            </w:r>
          </w:p>
        </w:tc>
        <w:tc>
          <w:tcPr>
            <w:tcW w:w="500" w:type="pct"/>
            <w:shd w:val="clear" w:color="000000" w:fill="auto"/>
            <w:noWrap/>
            <w:vAlign w:val="center"/>
            <w:hideMark/>
          </w:tcPr>
          <w:p w14:paraId="64CA58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3.287</w:t>
            </w:r>
          </w:p>
        </w:tc>
        <w:tc>
          <w:tcPr>
            <w:tcW w:w="500" w:type="pct"/>
            <w:shd w:val="clear" w:color="000000" w:fill="auto"/>
            <w:noWrap/>
            <w:vAlign w:val="center"/>
            <w:hideMark/>
          </w:tcPr>
          <w:p w14:paraId="41C226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181</w:t>
            </w:r>
          </w:p>
        </w:tc>
        <w:tc>
          <w:tcPr>
            <w:tcW w:w="500" w:type="pct"/>
            <w:shd w:val="clear" w:color="000000" w:fill="auto"/>
            <w:noWrap/>
            <w:vAlign w:val="center"/>
            <w:hideMark/>
          </w:tcPr>
          <w:p w14:paraId="505A7B1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w:t>
            </w:r>
          </w:p>
        </w:tc>
        <w:tc>
          <w:tcPr>
            <w:tcW w:w="500" w:type="pct"/>
            <w:shd w:val="clear" w:color="000000" w:fill="auto"/>
            <w:noWrap/>
            <w:vAlign w:val="center"/>
            <w:hideMark/>
          </w:tcPr>
          <w:p w14:paraId="3A3072F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8.495</w:t>
            </w:r>
          </w:p>
        </w:tc>
      </w:tr>
      <w:tr w:rsidR="00535FE1" w:rsidRPr="00F05605" w14:paraId="0181A885" w14:textId="77777777" w:rsidTr="00535FE1">
        <w:trPr>
          <w:trHeight w:val="290"/>
        </w:trPr>
        <w:tc>
          <w:tcPr>
            <w:tcW w:w="500" w:type="pct"/>
            <w:shd w:val="clear" w:color="000000" w:fill="auto"/>
            <w:noWrap/>
            <w:vAlign w:val="bottom"/>
            <w:hideMark/>
          </w:tcPr>
          <w:p w14:paraId="73FFB3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N_52 </w:t>
            </w:r>
          </w:p>
        </w:tc>
        <w:tc>
          <w:tcPr>
            <w:tcW w:w="500" w:type="pct"/>
            <w:shd w:val="clear" w:color="000000" w:fill="auto"/>
            <w:noWrap/>
            <w:vAlign w:val="center"/>
            <w:hideMark/>
          </w:tcPr>
          <w:p w14:paraId="33A5A30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110.368</w:t>
            </w:r>
          </w:p>
        </w:tc>
        <w:tc>
          <w:tcPr>
            <w:tcW w:w="500" w:type="pct"/>
            <w:shd w:val="clear" w:color="000000" w:fill="auto"/>
            <w:noWrap/>
            <w:vAlign w:val="center"/>
            <w:hideMark/>
          </w:tcPr>
          <w:p w14:paraId="746BEB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27.989</w:t>
            </w:r>
          </w:p>
        </w:tc>
        <w:tc>
          <w:tcPr>
            <w:tcW w:w="500" w:type="pct"/>
            <w:shd w:val="clear" w:color="000000" w:fill="auto"/>
            <w:noWrap/>
            <w:vAlign w:val="center"/>
            <w:hideMark/>
          </w:tcPr>
          <w:p w14:paraId="6B3B602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12.018</w:t>
            </w:r>
          </w:p>
        </w:tc>
        <w:tc>
          <w:tcPr>
            <w:tcW w:w="500" w:type="pct"/>
            <w:shd w:val="clear" w:color="000000" w:fill="auto"/>
            <w:noWrap/>
            <w:vAlign w:val="center"/>
            <w:hideMark/>
          </w:tcPr>
          <w:p w14:paraId="5FE4519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150.375</w:t>
            </w:r>
          </w:p>
        </w:tc>
        <w:tc>
          <w:tcPr>
            <w:tcW w:w="500" w:type="pct"/>
            <w:shd w:val="clear" w:color="000000" w:fill="auto"/>
            <w:noWrap/>
            <w:vAlign w:val="center"/>
            <w:hideMark/>
          </w:tcPr>
          <w:p w14:paraId="551A17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40.936</w:t>
            </w:r>
          </w:p>
        </w:tc>
        <w:tc>
          <w:tcPr>
            <w:tcW w:w="500" w:type="pct"/>
            <w:shd w:val="clear" w:color="000000" w:fill="auto"/>
            <w:noWrap/>
            <w:vAlign w:val="center"/>
            <w:hideMark/>
          </w:tcPr>
          <w:p w14:paraId="650BD05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27.295</w:t>
            </w:r>
          </w:p>
        </w:tc>
        <w:tc>
          <w:tcPr>
            <w:tcW w:w="500" w:type="pct"/>
            <w:shd w:val="clear" w:color="000000" w:fill="auto"/>
            <w:noWrap/>
            <w:vAlign w:val="center"/>
            <w:hideMark/>
          </w:tcPr>
          <w:p w14:paraId="1144A12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1.503</w:t>
            </w:r>
          </w:p>
        </w:tc>
        <w:tc>
          <w:tcPr>
            <w:tcW w:w="500" w:type="pct"/>
            <w:shd w:val="clear" w:color="000000" w:fill="auto"/>
            <w:noWrap/>
            <w:vAlign w:val="center"/>
            <w:hideMark/>
          </w:tcPr>
          <w:p w14:paraId="10E71F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812</w:t>
            </w:r>
          </w:p>
        </w:tc>
        <w:tc>
          <w:tcPr>
            <w:tcW w:w="500" w:type="pct"/>
            <w:shd w:val="clear" w:color="000000" w:fill="auto"/>
            <w:noWrap/>
            <w:vAlign w:val="center"/>
            <w:hideMark/>
          </w:tcPr>
          <w:p w14:paraId="0DA4ACB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70.547</w:t>
            </w:r>
          </w:p>
        </w:tc>
      </w:tr>
      <w:tr w:rsidR="00535FE1" w:rsidRPr="00F05605" w14:paraId="4BAE2364" w14:textId="77777777" w:rsidTr="00535FE1">
        <w:trPr>
          <w:trHeight w:val="290"/>
        </w:trPr>
        <w:tc>
          <w:tcPr>
            <w:tcW w:w="500" w:type="pct"/>
            <w:shd w:val="clear" w:color="000000" w:fill="auto"/>
            <w:noWrap/>
            <w:vAlign w:val="bottom"/>
            <w:hideMark/>
          </w:tcPr>
          <w:p w14:paraId="662A9BD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N_53 </w:t>
            </w:r>
          </w:p>
        </w:tc>
        <w:tc>
          <w:tcPr>
            <w:tcW w:w="500" w:type="pct"/>
            <w:shd w:val="clear" w:color="000000" w:fill="auto"/>
            <w:noWrap/>
            <w:vAlign w:val="center"/>
            <w:hideMark/>
          </w:tcPr>
          <w:p w14:paraId="0BA9FA7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198.691</w:t>
            </w:r>
          </w:p>
        </w:tc>
        <w:tc>
          <w:tcPr>
            <w:tcW w:w="500" w:type="pct"/>
            <w:shd w:val="clear" w:color="000000" w:fill="auto"/>
            <w:noWrap/>
            <w:vAlign w:val="center"/>
            <w:hideMark/>
          </w:tcPr>
          <w:p w14:paraId="12FAD8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33.884</w:t>
            </w:r>
          </w:p>
        </w:tc>
        <w:tc>
          <w:tcPr>
            <w:tcW w:w="500" w:type="pct"/>
            <w:shd w:val="clear" w:color="000000" w:fill="auto"/>
            <w:noWrap/>
            <w:vAlign w:val="center"/>
            <w:hideMark/>
          </w:tcPr>
          <w:p w14:paraId="3C3FAB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14.549</w:t>
            </w:r>
          </w:p>
        </w:tc>
        <w:tc>
          <w:tcPr>
            <w:tcW w:w="500" w:type="pct"/>
            <w:shd w:val="clear" w:color="000000" w:fill="auto"/>
            <w:noWrap/>
            <w:vAlign w:val="center"/>
            <w:hideMark/>
          </w:tcPr>
          <w:p w14:paraId="7192691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247.123</w:t>
            </w:r>
          </w:p>
        </w:tc>
        <w:tc>
          <w:tcPr>
            <w:tcW w:w="500" w:type="pct"/>
            <w:shd w:val="clear" w:color="000000" w:fill="auto"/>
            <w:noWrap/>
            <w:vAlign w:val="center"/>
            <w:hideMark/>
          </w:tcPr>
          <w:p w14:paraId="18D58C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49.558</w:t>
            </w:r>
          </w:p>
        </w:tc>
        <w:tc>
          <w:tcPr>
            <w:tcW w:w="500" w:type="pct"/>
            <w:shd w:val="clear" w:color="000000" w:fill="auto"/>
            <w:noWrap/>
            <w:vAlign w:val="center"/>
            <w:hideMark/>
          </w:tcPr>
          <w:p w14:paraId="5376A7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33.044</w:t>
            </w:r>
          </w:p>
        </w:tc>
        <w:tc>
          <w:tcPr>
            <w:tcW w:w="500" w:type="pct"/>
            <w:shd w:val="clear" w:color="000000" w:fill="auto"/>
            <w:noWrap/>
            <w:vAlign w:val="center"/>
            <w:hideMark/>
          </w:tcPr>
          <w:p w14:paraId="0A12F8E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1.820</w:t>
            </w:r>
          </w:p>
        </w:tc>
        <w:tc>
          <w:tcPr>
            <w:tcW w:w="500" w:type="pct"/>
            <w:shd w:val="clear" w:color="000000" w:fill="auto"/>
            <w:noWrap/>
            <w:vAlign w:val="center"/>
            <w:hideMark/>
          </w:tcPr>
          <w:p w14:paraId="14E420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983</w:t>
            </w:r>
          </w:p>
        </w:tc>
        <w:tc>
          <w:tcPr>
            <w:tcW w:w="500" w:type="pct"/>
            <w:shd w:val="clear" w:color="000000" w:fill="auto"/>
            <w:noWrap/>
            <w:vAlign w:val="center"/>
            <w:hideMark/>
          </w:tcPr>
          <w:p w14:paraId="0EB4DDD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85.405</w:t>
            </w:r>
          </w:p>
        </w:tc>
      </w:tr>
      <w:tr w:rsidR="00535FE1" w:rsidRPr="00F05605" w14:paraId="67C94ECB" w14:textId="77777777" w:rsidTr="00535FE1">
        <w:trPr>
          <w:trHeight w:val="290"/>
        </w:trPr>
        <w:tc>
          <w:tcPr>
            <w:tcW w:w="500" w:type="pct"/>
            <w:shd w:val="clear" w:color="000000" w:fill="auto"/>
            <w:noWrap/>
            <w:vAlign w:val="bottom"/>
            <w:hideMark/>
          </w:tcPr>
          <w:p w14:paraId="7290A15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N_54 </w:t>
            </w:r>
          </w:p>
        </w:tc>
        <w:tc>
          <w:tcPr>
            <w:tcW w:w="500" w:type="pct"/>
            <w:shd w:val="clear" w:color="000000" w:fill="auto"/>
            <w:noWrap/>
            <w:vAlign w:val="center"/>
            <w:hideMark/>
          </w:tcPr>
          <w:p w14:paraId="3189B9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28.957</w:t>
            </w:r>
          </w:p>
        </w:tc>
        <w:tc>
          <w:tcPr>
            <w:tcW w:w="500" w:type="pct"/>
            <w:shd w:val="clear" w:color="000000" w:fill="auto"/>
            <w:noWrap/>
            <w:vAlign w:val="center"/>
            <w:hideMark/>
          </w:tcPr>
          <w:p w14:paraId="0B9E674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6.654</w:t>
            </w:r>
          </w:p>
        </w:tc>
        <w:tc>
          <w:tcPr>
            <w:tcW w:w="500" w:type="pct"/>
            <w:shd w:val="clear" w:color="000000" w:fill="auto"/>
            <w:noWrap/>
            <w:vAlign w:val="center"/>
            <w:hideMark/>
          </w:tcPr>
          <w:p w14:paraId="56EDBBD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2.857</w:t>
            </w:r>
          </w:p>
        </w:tc>
        <w:tc>
          <w:tcPr>
            <w:tcW w:w="500" w:type="pct"/>
            <w:shd w:val="clear" w:color="000000" w:fill="auto"/>
            <w:noWrap/>
            <w:vAlign w:val="center"/>
            <w:hideMark/>
          </w:tcPr>
          <w:p w14:paraId="794C93F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38.468</w:t>
            </w:r>
          </w:p>
        </w:tc>
        <w:tc>
          <w:tcPr>
            <w:tcW w:w="500" w:type="pct"/>
            <w:shd w:val="clear" w:color="000000" w:fill="auto"/>
            <w:noWrap/>
            <w:vAlign w:val="center"/>
            <w:hideMark/>
          </w:tcPr>
          <w:p w14:paraId="09D4D7D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9.732</w:t>
            </w:r>
          </w:p>
        </w:tc>
        <w:tc>
          <w:tcPr>
            <w:tcW w:w="500" w:type="pct"/>
            <w:shd w:val="clear" w:color="000000" w:fill="auto"/>
            <w:noWrap/>
            <w:vAlign w:val="center"/>
            <w:hideMark/>
          </w:tcPr>
          <w:p w14:paraId="4569825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6.489</w:t>
            </w:r>
          </w:p>
        </w:tc>
        <w:tc>
          <w:tcPr>
            <w:tcW w:w="500" w:type="pct"/>
            <w:shd w:val="clear" w:color="000000" w:fill="auto"/>
            <w:noWrap/>
            <w:vAlign w:val="center"/>
            <w:hideMark/>
          </w:tcPr>
          <w:p w14:paraId="7BBAFE2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357</w:t>
            </w:r>
          </w:p>
        </w:tc>
        <w:tc>
          <w:tcPr>
            <w:tcW w:w="500" w:type="pct"/>
            <w:shd w:val="clear" w:color="000000" w:fill="auto"/>
            <w:noWrap/>
            <w:vAlign w:val="center"/>
            <w:hideMark/>
          </w:tcPr>
          <w:p w14:paraId="4FB50C3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193</w:t>
            </w:r>
          </w:p>
        </w:tc>
        <w:tc>
          <w:tcPr>
            <w:tcW w:w="500" w:type="pct"/>
            <w:shd w:val="clear" w:color="000000" w:fill="auto"/>
            <w:noWrap/>
            <w:vAlign w:val="center"/>
            <w:hideMark/>
          </w:tcPr>
          <w:p w14:paraId="6FA3538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16.772</w:t>
            </w:r>
          </w:p>
        </w:tc>
      </w:tr>
      <w:tr w:rsidR="00535FE1" w:rsidRPr="00F05605" w14:paraId="7AC6DD9C" w14:textId="77777777" w:rsidTr="00535FE1">
        <w:trPr>
          <w:trHeight w:val="290"/>
        </w:trPr>
        <w:tc>
          <w:tcPr>
            <w:tcW w:w="500" w:type="pct"/>
            <w:shd w:val="clear" w:color="000000" w:fill="auto"/>
            <w:noWrap/>
            <w:vAlign w:val="bottom"/>
            <w:hideMark/>
          </w:tcPr>
          <w:p w14:paraId="30E0A44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N_55 </w:t>
            </w:r>
          </w:p>
        </w:tc>
        <w:tc>
          <w:tcPr>
            <w:tcW w:w="500" w:type="pct"/>
            <w:shd w:val="clear" w:color="000000" w:fill="auto"/>
            <w:noWrap/>
            <w:vAlign w:val="center"/>
            <w:hideMark/>
          </w:tcPr>
          <w:p w14:paraId="350B0C2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45.405</w:t>
            </w:r>
          </w:p>
        </w:tc>
        <w:tc>
          <w:tcPr>
            <w:tcW w:w="500" w:type="pct"/>
            <w:shd w:val="clear" w:color="000000" w:fill="auto"/>
            <w:noWrap/>
            <w:vAlign w:val="center"/>
            <w:hideMark/>
          </w:tcPr>
          <w:p w14:paraId="03DE6EF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9.477</w:t>
            </w:r>
          </w:p>
        </w:tc>
        <w:tc>
          <w:tcPr>
            <w:tcW w:w="500" w:type="pct"/>
            <w:shd w:val="clear" w:color="000000" w:fill="auto"/>
            <w:noWrap/>
            <w:vAlign w:val="center"/>
            <w:hideMark/>
          </w:tcPr>
          <w:p w14:paraId="0753CD0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10.311</w:t>
            </w:r>
          </w:p>
        </w:tc>
        <w:tc>
          <w:tcPr>
            <w:tcW w:w="500" w:type="pct"/>
            <w:shd w:val="clear" w:color="000000" w:fill="auto"/>
            <w:noWrap/>
            <w:vAlign w:val="center"/>
            <w:hideMark/>
          </w:tcPr>
          <w:p w14:paraId="34EE44F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65.193</w:t>
            </w:r>
          </w:p>
        </w:tc>
        <w:tc>
          <w:tcPr>
            <w:tcW w:w="500" w:type="pct"/>
            <w:shd w:val="clear" w:color="000000" w:fill="auto"/>
            <w:noWrap/>
            <w:vAlign w:val="center"/>
            <w:hideMark/>
          </w:tcPr>
          <w:p w14:paraId="33D8780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18.040</w:t>
            </w:r>
          </w:p>
        </w:tc>
        <w:tc>
          <w:tcPr>
            <w:tcW w:w="500" w:type="pct"/>
            <w:shd w:val="clear" w:color="000000" w:fill="auto"/>
            <w:noWrap/>
            <w:vAlign w:val="center"/>
            <w:hideMark/>
          </w:tcPr>
          <w:p w14:paraId="12812B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9.366</w:t>
            </w:r>
          </w:p>
        </w:tc>
        <w:tc>
          <w:tcPr>
            <w:tcW w:w="500" w:type="pct"/>
            <w:shd w:val="clear" w:color="000000" w:fill="auto"/>
            <w:noWrap/>
            <w:vAlign w:val="center"/>
            <w:hideMark/>
          </w:tcPr>
          <w:p w14:paraId="007A95C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1.795</w:t>
            </w:r>
          </w:p>
        </w:tc>
        <w:tc>
          <w:tcPr>
            <w:tcW w:w="500" w:type="pct"/>
            <w:shd w:val="clear" w:color="000000" w:fill="auto"/>
            <w:noWrap/>
            <w:vAlign w:val="center"/>
            <w:hideMark/>
          </w:tcPr>
          <w:p w14:paraId="79D14E4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471</w:t>
            </w:r>
          </w:p>
        </w:tc>
        <w:tc>
          <w:tcPr>
            <w:tcW w:w="500" w:type="pct"/>
            <w:shd w:val="clear" w:color="000000" w:fill="auto"/>
            <w:noWrap/>
            <w:vAlign w:val="center"/>
            <w:hideMark/>
          </w:tcPr>
          <w:p w14:paraId="6DB6041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29.672</w:t>
            </w:r>
          </w:p>
        </w:tc>
      </w:tr>
      <w:tr w:rsidR="00535FE1" w:rsidRPr="00F05605" w14:paraId="0C48207D" w14:textId="77777777" w:rsidTr="00535FE1">
        <w:trPr>
          <w:trHeight w:val="290"/>
        </w:trPr>
        <w:tc>
          <w:tcPr>
            <w:tcW w:w="500" w:type="pct"/>
            <w:shd w:val="clear" w:color="000000" w:fill="auto"/>
            <w:noWrap/>
            <w:vAlign w:val="bottom"/>
            <w:hideMark/>
          </w:tcPr>
          <w:p w14:paraId="3A3096F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N_56 </w:t>
            </w:r>
          </w:p>
        </w:tc>
        <w:tc>
          <w:tcPr>
            <w:tcW w:w="500" w:type="pct"/>
            <w:shd w:val="clear" w:color="000000" w:fill="auto"/>
            <w:noWrap/>
            <w:vAlign w:val="center"/>
            <w:hideMark/>
          </w:tcPr>
          <w:p w14:paraId="751D68B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120.008</w:t>
            </w:r>
          </w:p>
        </w:tc>
        <w:tc>
          <w:tcPr>
            <w:tcW w:w="500" w:type="pct"/>
            <w:shd w:val="clear" w:color="000000" w:fill="auto"/>
            <w:noWrap/>
            <w:vAlign w:val="center"/>
            <w:hideMark/>
          </w:tcPr>
          <w:p w14:paraId="0446F1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11.159</w:t>
            </w:r>
          </w:p>
        </w:tc>
        <w:tc>
          <w:tcPr>
            <w:tcW w:w="500" w:type="pct"/>
            <w:shd w:val="clear" w:color="000000" w:fill="auto"/>
            <w:noWrap/>
            <w:vAlign w:val="center"/>
            <w:hideMark/>
          </w:tcPr>
          <w:p w14:paraId="309F03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12.141</w:t>
            </w:r>
          </w:p>
        </w:tc>
        <w:tc>
          <w:tcPr>
            <w:tcW w:w="500" w:type="pct"/>
            <w:shd w:val="clear" w:color="000000" w:fill="auto"/>
            <w:noWrap/>
            <w:vAlign w:val="center"/>
            <w:hideMark/>
          </w:tcPr>
          <w:p w14:paraId="5F662D8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143.307</w:t>
            </w:r>
          </w:p>
        </w:tc>
        <w:tc>
          <w:tcPr>
            <w:tcW w:w="500" w:type="pct"/>
            <w:shd w:val="clear" w:color="000000" w:fill="auto"/>
            <w:noWrap/>
            <w:vAlign w:val="center"/>
            <w:hideMark/>
          </w:tcPr>
          <w:p w14:paraId="6DED881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21.241</w:t>
            </w:r>
          </w:p>
        </w:tc>
        <w:tc>
          <w:tcPr>
            <w:tcW w:w="500" w:type="pct"/>
            <w:shd w:val="clear" w:color="000000" w:fill="auto"/>
            <w:noWrap/>
            <w:vAlign w:val="center"/>
            <w:hideMark/>
          </w:tcPr>
          <w:p w14:paraId="4C8B5B8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11.028</w:t>
            </w:r>
          </w:p>
        </w:tc>
        <w:tc>
          <w:tcPr>
            <w:tcW w:w="500" w:type="pct"/>
            <w:shd w:val="clear" w:color="000000" w:fill="auto"/>
            <w:noWrap/>
            <w:vAlign w:val="center"/>
            <w:hideMark/>
          </w:tcPr>
          <w:p w14:paraId="1942730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2.113</w:t>
            </w:r>
          </w:p>
        </w:tc>
        <w:tc>
          <w:tcPr>
            <w:tcW w:w="500" w:type="pct"/>
            <w:shd w:val="clear" w:color="000000" w:fill="auto"/>
            <w:noWrap/>
            <w:vAlign w:val="center"/>
            <w:hideMark/>
          </w:tcPr>
          <w:p w14:paraId="254497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555</w:t>
            </w:r>
          </w:p>
        </w:tc>
        <w:tc>
          <w:tcPr>
            <w:tcW w:w="500" w:type="pct"/>
            <w:shd w:val="clear" w:color="000000" w:fill="auto"/>
            <w:noWrap/>
            <w:vAlign w:val="center"/>
            <w:hideMark/>
          </w:tcPr>
          <w:p w14:paraId="5387655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34.937</w:t>
            </w:r>
          </w:p>
        </w:tc>
      </w:tr>
      <w:tr w:rsidR="00535FE1" w:rsidRPr="00F05605" w14:paraId="3D728BCD" w14:textId="77777777" w:rsidTr="00535FE1">
        <w:trPr>
          <w:trHeight w:val="290"/>
        </w:trPr>
        <w:tc>
          <w:tcPr>
            <w:tcW w:w="500" w:type="pct"/>
            <w:shd w:val="clear" w:color="000000" w:fill="auto"/>
            <w:noWrap/>
            <w:vAlign w:val="bottom"/>
            <w:hideMark/>
          </w:tcPr>
          <w:p w14:paraId="461319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N_58 </w:t>
            </w:r>
          </w:p>
        </w:tc>
        <w:tc>
          <w:tcPr>
            <w:tcW w:w="500" w:type="pct"/>
            <w:shd w:val="clear" w:color="000000" w:fill="auto"/>
            <w:noWrap/>
            <w:vAlign w:val="center"/>
            <w:hideMark/>
          </w:tcPr>
          <w:p w14:paraId="65C15A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167.747</w:t>
            </w:r>
          </w:p>
        </w:tc>
        <w:tc>
          <w:tcPr>
            <w:tcW w:w="500" w:type="pct"/>
            <w:shd w:val="clear" w:color="000000" w:fill="auto"/>
            <w:noWrap/>
            <w:vAlign w:val="center"/>
            <w:hideMark/>
          </w:tcPr>
          <w:p w14:paraId="45A7BC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80.130</w:t>
            </w:r>
          </w:p>
        </w:tc>
        <w:tc>
          <w:tcPr>
            <w:tcW w:w="500" w:type="pct"/>
            <w:shd w:val="clear" w:color="000000" w:fill="auto"/>
            <w:noWrap/>
            <w:vAlign w:val="center"/>
            <w:hideMark/>
          </w:tcPr>
          <w:p w14:paraId="4F02BA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34.407</w:t>
            </w:r>
          </w:p>
        </w:tc>
        <w:tc>
          <w:tcPr>
            <w:tcW w:w="500" w:type="pct"/>
            <w:shd w:val="clear" w:color="000000" w:fill="auto"/>
            <w:noWrap/>
            <w:vAlign w:val="center"/>
            <w:hideMark/>
          </w:tcPr>
          <w:p w14:paraId="36B692A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282.284</w:t>
            </w:r>
          </w:p>
        </w:tc>
        <w:tc>
          <w:tcPr>
            <w:tcW w:w="500" w:type="pct"/>
            <w:shd w:val="clear" w:color="000000" w:fill="auto"/>
            <w:noWrap/>
            <w:vAlign w:val="center"/>
            <w:hideMark/>
          </w:tcPr>
          <w:p w14:paraId="152608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117.199</w:t>
            </w:r>
          </w:p>
        </w:tc>
        <w:tc>
          <w:tcPr>
            <w:tcW w:w="500" w:type="pct"/>
            <w:shd w:val="clear" w:color="000000" w:fill="auto"/>
            <w:noWrap/>
            <w:vAlign w:val="center"/>
            <w:hideMark/>
          </w:tcPr>
          <w:p w14:paraId="6F10020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78.145</w:t>
            </w:r>
          </w:p>
        </w:tc>
        <w:tc>
          <w:tcPr>
            <w:tcW w:w="500" w:type="pct"/>
            <w:shd w:val="clear" w:color="000000" w:fill="auto"/>
            <w:noWrap/>
            <w:vAlign w:val="center"/>
            <w:hideMark/>
          </w:tcPr>
          <w:p w14:paraId="542B044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4.304</w:t>
            </w:r>
          </w:p>
        </w:tc>
        <w:tc>
          <w:tcPr>
            <w:tcW w:w="500" w:type="pct"/>
            <w:shd w:val="clear" w:color="000000" w:fill="auto"/>
            <w:noWrap/>
            <w:vAlign w:val="center"/>
            <w:hideMark/>
          </w:tcPr>
          <w:p w14:paraId="114F54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2.324</w:t>
            </w:r>
          </w:p>
        </w:tc>
        <w:tc>
          <w:tcPr>
            <w:tcW w:w="500" w:type="pct"/>
            <w:shd w:val="clear" w:color="000000" w:fill="auto"/>
            <w:noWrap/>
            <w:vAlign w:val="center"/>
            <w:hideMark/>
          </w:tcPr>
          <w:p w14:paraId="2B78341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201.972</w:t>
            </w:r>
          </w:p>
        </w:tc>
      </w:tr>
      <w:tr w:rsidR="00535FE1" w:rsidRPr="00F05605" w14:paraId="29FA8937" w14:textId="77777777" w:rsidTr="00535FE1">
        <w:trPr>
          <w:trHeight w:val="290"/>
        </w:trPr>
        <w:tc>
          <w:tcPr>
            <w:tcW w:w="500" w:type="pct"/>
            <w:shd w:val="clear" w:color="000000" w:fill="auto"/>
            <w:noWrap/>
            <w:vAlign w:val="bottom"/>
            <w:hideMark/>
          </w:tcPr>
          <w:p w14:paraId="6E6A1B9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N_59 </w:t>
            </w:r>
          </w:p>
        </w:tc>
        <w:tc>
          <w:tcPr>
            <w:tcW w:w="500" w:type="pct"/>
            <w:shd w:val="clear" w:color="000000" w:fill="auto"/>
            <w:noWrap/>
            <w:vAlign w:val="center"/>
            <w:hideMark/>
          </w:tcPr>
          <w:p w14:paraId="77B0CA0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14.376</w:t>
            </w:r>
          </w:p>
        </w:tc>
        <w:tc>
          <w:tcPr>
            <w:tcW w:w="500" w:type="pct"/>
            <w:shd w:val="clear" w:color="000000" w:fill="auto"/>
            <w:noWrap/>
            <w:vAlign w:val="center"/>
            <w:hideMark/>
          </w:tcPr>
          <w:p w14:paraId="5442DF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4.204</w:t>
            </w:r>
          </w:p>
        </w:tc>
        <w:tc>
          <w:tcPr>
            <w:tcW w:w="500" w:type="pct"/>
            <w:shd w:val="clear" w:color="000000" w:fill="auto"/>
            <w:noWrap/>
            <w:vAlign w:val="center"/>
            <w:hideMark/>
          </w:tcPr>
          <w:p w14:paraId="248FDDE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1.805</w:t>
            </w:r>
          </w:p>
        </w:tc>
        <w:tc>
          <w:tcPr>
            <w:tcW w:w="500" w:type="pct"/>
            <w:shd w:val="clear" w:color="000000" w:fill="auto"/>
            <w:noWrap/>
            <w:vAlign w:val="center"/>
            <w:hideMark/>
          </w:tcPr>
          <w:p w14:paraId="3E402C5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20.385</w:t>
            </w:r>
          </w:p>
        </w:tc>
        <w:tc>
          <w:tcPr>
            <w:tcW w:w="500" w:type="pct"/>
            <w:shd w:val="clear" w:color="000000" w:fill="auto"/>
            <w:noWrap/>
            <w:vAlign w:val="center"/>
            <w:hideMark/>
          </w:tcPr>
          <w:p w14:paraId="3EF1445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6.149</w:t>
            </w:r>
          </w:p>
        </w:tc>
        <w:tc>
          <w:tcPr>
            <w:tcW w:w="500" w:type="pct"/>
            <w:shd w:val="clear" w:color="000000" w:fill="auto"/>
            <w:noWrap/>
            <w:vAlign w:val="center"/>
            <w:hideMark/>
          </w:tcPr>
          <w:p w14:paraId="48D7B5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4.100</w:t>
            </w:r>
          </w:p>
        </w:tc>
        <w:tc>
          <w:tcPr>
            <w:tcW w:w="500" w:type="pct"/>
            <w:shd w:val="clear" w:color="000000" w:fill="auto"/>
            <w:noWrap/>
            <w:vAlign w:val="center"/>
            <w:hideMark/>
          </w:tcPr>
          <w:p w14:paraId="1665EDB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226</w:t>
            </w:r>
          </w:p>
        </w:tc>
        <w:tc>
          <w:tcPr>
            <w:tcW w:w="500" w:type="pct"/>
            <w:shd w:val="clear" w:color="000000" w:fill="auto"/>
            <w:noWrap/>
            <w:vAlign w:val="center"/>
            <w:hideMark/>
          </w:tcPr>
          <w:p w14:paraId="5F5D251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122</w:t>
            </w:r>
          </w:p>
        </w:tc>
        <w:tc>
          <w:tcPr>
            <w:tcW w:w="500" w:type="pct"/>
            <w:shd w:val="clear" w:color="000000" w:fill="auto"/>
            <w:noWrap/>
            <w:vAlign w:val="center"/>
            <w:hideMark/>
          </w:tcPr>
          <w:p w14:paraId="136522F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10.596</w:t>
            </w:r>
          </w:p>
        </w:tc>
      </w:tr>
      <w:tr w:rsidR="00535FE1" w:rsidRPr="00F05605" w14:paraId="3D3256E8" w14:textId="77777777" w:rsidTr="00535FE1">
        <w:trPr>
          <w:trHeight w:val="290"/>
        </w:trPr>
        <w:tc>
          <w:tcPr>
            <w:tcW w:w="500" w:type="pct"/>
            <w:shd w:val="clear" w:color="000000" w:fill="auto"/>
            <w:noWrap/>
            <w:vAlign w:val="bottom"/>
            <w:hideMark/>
          </w:tcPr>
          <w:p w14:paraId="0B6EBA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N_60 </w:t>
            </w:r>
          </w:p>
        </w:tc>
        <w:tc>
          <w:tcPr>
            <w:tcW w:w="500" w:type="pct"/>
            <w:shd w:val="clear" w:color="000000" w:fill="auto"/>
            <w:noWrap/>
            <w:vAlign w:val="center"/>
            <w:hideMark/>
          </w:tcPr>
          <w:p w14:paraId="31FB70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548.412</w:t>
            </w:r>
          </w:p>
        </w:tc>
        <w:tc>
          <w:tcPr>
            <w:tcW w:w="500" w:type="pct"/>
            <w:shd w:val="clear" w:color="000000" w:fill="auto"/>
            <w:noWrap/>
            <w:vAlign w:val="center"/>
            <w:hideMark/>
          </w:tcPr>
          <w:p w14:paraId="162859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160.872</w:t>
            </w:r>
          </w:p>
        </w:tc>
        <w:tc>
          <w:tcPr>
            <w:tcW w:w="500" w:type="pct"/>
            <w:shd w:val="clear" w:color="000000" w:fill="auto"/>
            <w:noWrap/>
            <w:vAlign w:val="center"/>
            <w:hideMark/>
          </w:tcPr>
          <w:p w14:paraId="2502BF3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69.076</w:t>
            </w:r>
          </w:p>
        </w:tc>
        <w:tc>
          <w:tcPr>
            <w:tcW w:w="500" w:type="pct"/>
            <w:shd w:val="clear" w:color="000000" w:fill="auto"/>
            <w:noWrap/>
            <w:vAlign w:val="center"/>
            <w:hideMark/>
          </w:tcPr>
          <w:p w14:paraId="756F73E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778.360</w:t>
            </w:r>
          </w:p>
        </w:tc>
        <w:tc>
          <w:tcPr>
            <w:tcW w:w="500" w:type="pct"/>
            <w:shd w:val="clear" w:color="000000" w:fill="auto"/>
            <w:noWrap/>
            <w:vAlign w:val="center"/>
            <w:hideMark/>
          </w:tcPr>
          <w:p w14:paraId="4FBD6E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235.291</w:t>
            </w:r>
          </w:p>
        </w:tc>
        <w:tc>
          <w:tcPr>
            <w:tcW w:w="500" w:type="pct"/>
            <w:shd w:val="clear" w:color="000000" w:fill="auto"/>
            <w:noWrap/>
            <w:vAlign w:val="center"/>
            <w:hideMark/>
          </w:tcPr>
          <w:p w14:paraId="3134F27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156.886</w:t>
            </w:r>
          </w:p>
        </w:tc>
        <w:tc>
          <w:tcPr>
            <w:tcW w:w="500" w:type="pct"/>
            <w:shd w:val="clear" w:color="000000" w:fill="auto"/>
            <w:noWrap/>
            <w:vAlign w:val="center"/>
            <w:hideMark/>
          </w:tcPr>
          <w:p w14:paraId="5746D3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8.641</w:t>
            </w:r>
          </w:p>
        </w:tc>
        <w:tc>
          <w:tcPr>
            <w:tcW w:w="500" w:type="pct"/>
            <w:shd w:val="clear" w:color="000000" w:fill="auto"/>
            <w:noWrap/>
            <w:vAlign w:val="center"/>
            <w:hideMark/>
          </w:tcPr>
          <w:p w14:paraId="532A54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4.666</w:t>
            </w:r>
          </w:p>
        </w:tc>
        <w:tc>
          <w:tcPr>
            <w:tcW w:w="500" w:type="pct"/>
            <w:shd w:val="clear" w:color="000000" w:fill="auto"/>
            <w:noWrap/>
            <w:vAlign w:val="center"/>
            <w:hideMark/>
          </w:tcPr>
          <w:p w14:paraId="19F73ED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405.484</w:t>
            </w:r>
          </w:p>
        </w:tc>
      </w:tr>
      <w:tr w:rsidR="00535FE1" w:rsidRPr="00F05605" w14:paraId="1DAAA818" w14:textId="77777777" w:rsidTr="00535FE1">
        <w:trPr>
          <w:trHeight w:val="290"/>
        </w:trPr>
        <w:tc>
          <w:tcPr>
            <w:tcW w:w="500" w:type="pct"/>
            <w:shd w:val="clear" w:color="000000" w:fill="auto"/>
            <w:noWrap/>
            <w:vAlign w:val="bottom"/>
            <w:hideMark/>
          </w:tcPr>
          <w:p w14:paraId="4F3CE0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N_61 </w:t>
            </w:r>
          </w:p>
        </w:tc>
        <w:tc>
          <w:tcPr>
            <w:tcW w:w="500" w:type="pct"/>
            <w:shd w:val="clear" w:color="000000" w:fill="auto"/>
            <w:noWrap/>
            <w:vAlign w:val="center"/>
            <w:hideMark/>
          </w:tcPr>
          <w:p w14:paraId="6D8A7A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518.146</w:t>
            </w:r>
          </w:p>
        </w:tc>
        <w:tc>
          <w:tcPr>
            <w:tcW w:w="500" w:type="pct"/>
            <w:shd w:val="clear" w:color="000000" w:fill="auto"/>
            <w:noWrap/>
            <w:vAlign w:val="center"/>
            <w:hideMark/>
          </w:tcPr>
          <w:p w14:paraId="7495535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110.296</w:t>
            </w:r>
          </w:p>
        </w:tc>
        <w:tc>
          <w:tcPr>
            <w:tcW w:w="500" w:type="pct"/>
            <w:shd w:val="clear" w:color="000000" w:fill="auto"/>
            <w:noWrap/>
            <w:vAlign w:val="center"/>
            <w:hideMark/>
          </w:tcPr>
          <w:p w14:paraId="1FAA7C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47.359</w:t>
            </w:r>
          </w:p>
        </w:tc>
        <w:tc>
          <w:tcPr>
            <w:tcW w:w="500" w:type="pct"/>
            <w:shd w:val="clear" w:color="000000" w:fill="auto"/>
            <w:noWrap/>
            <w:vAlign w:val="center"/>
            <w:hideMark/>
          </w:tcPr>
          <w:p w14:paraId="6A897D5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675.801</w:t>
            </w:r>
          </w:p>
        </w:tc>
        <w:tc>
          <w:tcPr>
            <w:tcW w:w="500" w:type="pct"/>
            <w:shd w:val="clear" w:color="000000" w:fill="auto"/>
            <w:noWrap/>
            <w:vAlign w:val="center"/>
            <w:hideMark/>
          </w:tcPr>
          <w:p w14:paraId="3799D8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161.319</w:t>
            </w:r>
          </w:p>
        </w:tc>
        <w:tc>
          <w:tcPr>
            <w:tcW w:w="500" w:type="pct"/>
            <w:shd w:val="clear" w:color="000000" w:fill="auto"/>
            <w:noWrap/>
            <w:vAlign w:val="center"/>
            <w:hideMark/>
          </w:tcPr>
          <w:p w14:paraId="241A6A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107.563</w:t>
            </w:r>
          </w:p>
        </w:tc>
        <w:tc>
          <w:tcPr>
            <w:tcW w:w="500" w:type="pct"/>
            <w:shd w:val="clear" w:color="000000" w:fill="auto"/>
            <w:noWrap/>
            <w:vAlign w:val="center"/>
            <w:hideMark/>
          </w:tcPr>
          <w:p w14:paraId="2483AB4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5.925</w:t>
            </w:r>
          </w:p>
        </w:tc>
        <w:tc>
          <w:tcPr>
            <w:tcW w:w="500" w:type="pct"/>
            <w:shd w:val="clear" w:color="000000" w:fill="auto"/>
            <w:noWrap/>
            <w:vAlign w:val="center"/>
            <w:hideMark/>
          </w:tcPr>
          <w:p w14:paraId="6A4FC0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3.199</w:t>
            </w:r>
          </w:p>
        </w:tc>
        <w:tc>
          <w:tcPr>
            <w:tcW w:w="500" w:type="pct"/>
            <w:shd w:val="clear" w:color="000000" w:fill="auto"/>
            <w:noWrap/>
            <w:vAlign w:val="center"/>
            <w:hideMark/>
          </w:tcPr>
          <w:p w14:paraId="109ACCA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278.005</w:t>
            </w:r>
          </w:p>
        </w:tc>
      </w:tr>
      <w:tr w:rsidR="00535FE1" w:rsidRPr="00F05605" w14:paraId="7187D74E" w14:textId="77777777" w:rsidTr="00535FE1">
        <w:trPr>
          <w:trHeight w:val="290"/>
        </w:trPr>
        <w:tc>
          <w:tcPr>
            <w:tcW w:w="500" w:type="pct"/>
            <w:shd w:val="clear" w:color="000000" w:fill="auto"/>
            <w:noWrap/>
            <w:vAlign w:val="bottom"/>
            <w:hideMark/>
          </w:tcPr>
          <w:p w14:paraId="36FF70B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N_62 </w:t>
            </w:r>
          </w:p>
        </w:tc>
        <w:tc>
          <w:tcPr>
            <w:tcW w:w="500" w:type="pct"/>
            <w:shd w:val="clear" w:color="000000" w:fill="auto"/>
            <w:noWrap/>
            <w:vAlign w:val="center"/>
            <w:hideMark/>
          </w:tcPr>
          <w:p w14:paraId="0095029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322.208</w:t>
            </w:r>
          </w:p>
        </w:tc>
        <w:tc>
          <w:tcPr>
            <w:tcW w:w="500" w:type="pct"/>
            <w:shd w:val="clear" w:color="000000" w:fill="auto"/>
            <w:noWrap/>
            <w:vAlign w:val="center"/>
            <w:hideMark/>
          </w:tcPr>
          <w:p w14:paraId="6F902A7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77.173</w:t>
            </w:r>
          </w:p>
        </w:tc>
        <w:tc>
          <w:tcPr>
            <w:tcW w:w="500" w:type="pct"/>
            <w:shd w:val="clear" w:color="000000" w:fill="auto"/>
            <w:noWrap/>
            <w:vAlign w:val="center"/>
            <w:hideMark/>
          </w:tcPr>
          <w:p w14:paraId="08BA4D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33.137</w:t>
            </w:r>
          </w:p>
        </w:tc>
        <w:tc>
          <w:tcPr>
            <w:tcW w:w="500" w:type="pct"/>
            <w:shd w:val="clear" w:color="000000" w:fill="auto"/>
            <w:noWrap/>
            <w:vAlign w:val="center"/>
            <w:hideMark/>
          </w:tcPr>
          <w:p w14:paraId="6E48BCB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432.518</w:t>
            </w:r>
          </w:p>
        </w:tc>
        <w:tc>
          <w:tcPr>
            <w:tcW w:w="500" w:type="pct"/>
            <w:shd w:val="clear" w:color="000000" w:fill="auto"/>
            <w:noWrap/>
            <w:vAlign w:val="center"/>
            <w:hideMark/>
          </w:tcPr>
          <w:p w14:paraId="777CBE9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112.874</w:t>
            </w:r>
          </w:p>
        </w:tc>
        <w:tc>
          <w:tcPr>
            <w:tcW w:w="500" w:type="pct"/>
            <w:shd w:val="clear" w:color="000000" w:fill="auto"/>
            <w:noWrap/>
            <w:vAlign w:val="center"/>
            <w:hideMark/>
          </w:tcPr>
          <w:p w14:paraId="07A8F9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75.261</w:t>
            </w:r>
          </w:p>
        </w:tc>
        <w:tc>
          <w:tcPr>
            <w:tcW w:w="500" w:type="pct"/>
            <w:shd w:val="clear" w:color="000000" w:fill="auto"/>
            <w:noWrap/>
            <w:vAlign w:val="center"/>
            <w:hideMark/>
          </w:tcPr>
          <w:p w14:paraId="786C2E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4.145</w:t>
            </w:r>
          </w:p>
        </w:tc>
        <w:tc>
          <w:tcPr>
            <w:tcW w:w="500" w:type="pct"/>
            <w:shd w:val="clear" w:color="000000" w:fill="auto"/>
            <w:noWrap/>
            <w:vAlign w:val="center"/>
            <w:hideMark/>
          </w:tcPr>
          <w:p w14:paraId="693F02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2.238</w:t>
            </w:r>
          </w:p>
        </w:tc>
        <w:tc>
          <w:tcPr>
            <w:tcW w:w="500" w:type="pct"/>
            <w:shd w:val="clear" w:color="000000" w:fill="auto"/>
            <w:noWrap/>
            <w:vAlign w:val="center"/>
            <w:hideMark/>
          </w:tcPr>
          <w:p w14:paraId="3156FF2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194.518</w:t>
            </w:r>
          </w:p>
        </w:tc>
      </w:tr>
      <w:tr w:rsidR="00535FE1" w:rsidRPr="00F05605" w14:paraId="6503E936" w14:textId="77777777" w:rsidTr="00535FE1">
        <w:trPr>
          <w:trHeight w:val="290"/>
        </w:trPr>
        <w:tc>
          <w:tcPr>
            <w:tcW w:w="500" w:type="pct"/>
            <w:shd w:val="clear" w:color="000000" w:fill="auto"/>
            <w:noWrap/>
            <w:vAlign w:val="bottom"/>
            <w:hideMark/>
          </w:tcPr>
          <w:p w14:paraId="035BBE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N_63 </w:t>
            </w:r>
          </w:p>
        </w:tc>
        <w:tc>
          <w:tcPr>
            <w:tcW w:w="500" w:type="pct"/>
            <w:shd w:val="clear" w:color="000000" w:fill="auto"/>
            <w:noWrap/>
            <w:vAlign w:val="center"/>
            <w:hideMark/>
          </w:tcPr>
          <w:p w14:paraId="71A8156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460.591</w:t>
            </w:r>
          </w:p>
        </w:tc>
        <w:tc>
          <w:tcPr>
            <w:tcW w:w="500" w:type="pct"/>
            <w:shd w:val="clear" w:color="000000" w:fill="auto"/>
            <w:noWrap/>
            <w:vAlign w:val="center"/>
            <w:hideMark/>
          </w:tcPr>
          <w:p w14:paraId="5849251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45.612</w:t>
            </w:r>
          </w:p>
        </w:tc>
        <w:tc>
          <w:tcPr>
            <w:tcW w:w="500" w:type="pct"/>
            <w:shd w:val="clear" w:color="000000" w:fill="auto"/>
            <w:noWrap/>
            <w:vAlign w:val="center"/>
            <w:hideMark/>
          </w:tcPr>
          <w:p w14:paraId="0921EBE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19.585</w:t>
            </w:r>
          </w:p>
        </w:tc>
        <w:tc>
          <w:tcPr>
            <w:tcW w:w="500" w:type="pct"/>
            <w:shd w:val="clear" w:color="000000" w:fill="auto"/>
            <w:noWrap/>
            <w:vAlign w:val="center"/>
            <w:hideMark/>
          </w:tcPr>
          <w:p w14:paraId="7563EE5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525.788</w:t>
            </w:r>
          </w:p>
        </w:tc>
        <w:tc>
          <w:tcPr>
            <w:tcW w:w="500" w:type="pct"/>
            <w:shd w:val="clear" w:color="000000" w:fill="auto"/>
            <w:noWrap/>
            <w:vAlign w:val="center"/>
            <w:hideMark/>
          </w:tcPr>
          <w:p w14:paraId="15BC196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66.712</w:t>
            </w:r>
          </w:p>
        </w:tc>
        <w:tc>
          <w:tcPr>
            <w:tcW w:w="500" w:type="pct"/>
            <w:shd w:val="clear" w:color="000000" w:fill="auto"/>
            <w:noWrap/>
            <w:vAlign w:val="center"/>
            <w:hideMark/>
          </w:tcPr>
          <w:p w14:paraId="6C27B0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44.482</w:t>
            </w:r>
          </w:p>
        </w:tc>
        <w:tc>
          <w:tcPr>
            <w:tcW w:w="500" w:type="pct"/>
            <w:shd w:val="clear" w:color="000000" w:fill="auto"/>
            <w:noWrap/>
            <w:vAlign w:val="center"/>
            <w:hideMark/>
          </w:tcPr>
          <w:p w14:paraId="49B78D2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2.450</w:t>
            </w:r>
          </w:p>
        </w:tc>
        <w:tc>
          <w:tcPr>
            <w:tcW w:w="500" w:type="pct"/>
            <w:shd w:val="clear" w:color="000000" w:fill="auto"/>
            <w:noWrap/>
            <w:vAlign w:val="center"/>
            <w:hideMark/>
          </w:tcPr>
          <w:p w14:paraId="21AE1C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1.323</w:t>
            </w:r>
          </w:p>
        </w:tc>
        <w:tc>
          <w:tcPr>
            <w:tcW w:w="500" w:type="pct"/>
            <w:shd w:val="clear" w:color="000000" w:fill="auto"/>
            <w:noWrap/>
            <w:vAlign w:val="center"/>
            <w:hideMark/>
          </w:tcPr>
          <w:p w14:paraId="2F7CE25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114.967</w:t>
            </w:r>
          </w:p>
        </w:tc>
      </w:tr>
      <w:tr w:rsidR="00535FE1" w:rsidRPr="00F05605" w14:paraId="5F342792" w14:textId="77777777" w:rsidTr="00535FE1">
        <w:trPr>
          <w:trHeight w:val="290"/>
        </w:trPr>
        <w:tc>
          <w:tcPr>
            <w:tcW w:w="500" w:type="pct"/>
            <w:shd w:val="clear" w:color="000000" w:fill="auto"/>
            <w:noWrap/>
            <w:vAlign w:val="bottom"/>
            <w:hideMark/>
          </w:tcPr>
          <w:p w14:paraId="6216B30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N_64 </w:t>
            </w:r>
          </w:p>
        </w:tc>
        <w:tc>
          <w:tcPr>
            <w:tcW w:w="500" w:type="pct"/>
            <w:shd w:val="clear" w:color="000000" w:fill="auto"/>
            <w:noWrap/>
            <w:vAlign w:val="center"/>
            <w:hideMark/>
          </w:tcPr>
          <w:p w14:paraId="1BDE06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143.951</w:t>
            </w:r>
          </w:p>
        </w:tc>
        <w:tc>
          <w:tcPr>
            <w:tcW w:w="500" w:type="pct"/>
            <w:shd w:val="clear" w:color="000000" w:fill="auto"/>
            <w:noWrap/>
            <w:vAlign w:val="center"/>
            <w:hideMark/>
          </w:tcPr>
          <w:p w14:paraId="2FBBA8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36.337</w:t>
            </w:r>
          </w:p>
        </w:tc>
        <w:tc>
          <w:tcPr>
            <w:tcW w:w="500" w:type="pct"/>
            <w:shd w:val="clear" w:color="000000" w:fill="auto"/>
            <w:noWrap/>
            <w:vAlign w:val="center"/>
            <w:hideMark/>
          </w:tcPr>
          <w:p w14:paraId="4D2BF12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15.603</w:t>
            </w:r>
          </w:p>
        </w:tc>
        <w:tc>
          <w:tcPr>
            <w:tcW w:w="500" w:type="pct"/>
            <w:shd w:val="clear" w:color="000000" w:fill="auto"/>
            <w:noWrap/>
            <w:vAlign w:val="center"/>
            <w:hideMark/>
          </w:tcPr>
          <w:p w14:paraId="29CEBEC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195.890</w:t>
            </w:r>
          </w:p>
        </w:tc>
        <w:tc>
          <w:tcPr>
            <w:tcW w:w="500" w:type="pct"/>
            <w:shd w:val="clear" w:color="000000" w:fill="auto"/>
            <w:noWrap/>
            <w:vAlign w:val="center"/>
            <w:hideMark/>
          </w:tcPr>
          <w:p w14:paraId="7B7ABEA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53.147</w:t>
            </w:r>
          </w:p>
        </w:tc>
        <w:tc>
          <w:tcPr>
            <w:tcW w:w="500" w:type="pct"/>
            <w:shd w:val="clear" w:color="000000" w:fill="auto"/>
            <w:noWrap/>
            <w:vAlign w:val="center"/>
            <w:hideMark/>
          </w:tcPr>
          <w:p w14:paraId="2EF1C48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35.437</w:t>
            </w:r>
          </w:p>
        </w:tc>
        <w:tc>
          <w:tcPr>
            <w:tcW w:w="500" w:type="pct"/>
            <w:shd w:val="clear" w:color="000000" w:fill="auto"/>
            <w:noWrap/>
            <w:vAlign w:val="center"/>
            <w:hideMark/>
          </w:tcPr>
          <w:p w14:paraId="0C0CFB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1.952</w:t>
            </w:r>
          </w:p>
        </w:tc>
        <w:tc>
          <w:tcPr>
            <w:tcW w:w="500" w:type="pct"/>
            <w:shd w:val="clear" w:color="000000" w:fill="auto"/>
            <w:noWrap/>
            <w:vAlign w:val="center"/>
            <w:hideMark/>
          </w:tcPr>
          <w:p w14:paraId="6926DCB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1.054</w:t>
            </w:r>
          </w:p>
        </w:tc>
        <w:tc>
          <w:tcPr>
            <w:tcW w:w="500" w:type="pct"/>
            <w:shd w:val="clear" w:color="000000" w:fill="auto"/>
            <w:noWrap/>
            <w:vAlign w:val="center"/>
            <w:hideMark/>
          </w:tcPr>
          <w:p w14:paraId="12EE68B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91.589</w:t>
            </w:r>
          </w:p>
        </w:tc>
      </w:tr>
      <w:tr w:rsidR="00535FE1" w:rsidRPr="00F05605" w14:paraId="41467702" w14:textId="77777777" w:rsidTr="00535FE1">
        <w:trPr>
          <w:trHeight w:val="290"/>
        </w:trPr>
        <w:tc>
          <w:tcPr>
            <w:tcW w:w="500" w:type="pct"/>
            <w:shd w:val="clear" w:color="000000" w:fill="auto"/>
            <w:noWrap/>
            <w:vAlign w:val="bottom"/>
            <w:hideMark/>
          </w:tcPr>
          <w:p w14:paraId="6EDEE5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N_65 </w:t>
            </w:r>
          </w:p>
        </w:tc>
        <w:tc>
          <w:tcPr>
            <w:tcW w:w="500" w:type="pct"/>
            <w:shd w:val="clear" w:color="000000" w:fill="auto"/>
            <w:noWrap/>
            <w:vAlign w:val="center"/>
            <w:hideMark/>
          </w:tcPr>
          <w:p w14:paraId="7825BA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44.476</w:t>
            </w:r>
          </w:p>
        </w:tc>
        <w:tc>
          <w:tcPr>
            <w:tcW w:w="500" w:type="pct"/>
            <w:shd w:val="clear" w:color="000000" w:fill="auto"/>
            <w:noWrap/>
            <w:vAlign w:val="center"/>
            <w:hideMark/>
          </w:tcPr>
          <w:p w14:paraId="5A6D27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9.396</w:t>
            </w:r>
          </w:p>
        </w:tc>
        <w:tc>
          <w:tcPr>
            <w:tcW w:w="500" w:type="pct"/>
            <w:shd w:val="clear" w:color="000000" w:fill="auto"/>
            <w:noWrap/>
            <w:vAlign w:val="center"/>
            <w:hideMark/>
          </w:tcPr>
          <w:p w14:paraId="289840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4.034</w:t>
            </w:r>
          </w:p>
        </w:tc>
        <w:tc>
          <w:tcPr>
            <w:tcW w:w="500" w:type="pct"/>
            <w:shd w:val="clear" w:color="000000" w:fill="auto"/>
            <w:noWrap/>
            <w:vAlign w:val="center"/>
            <w:hideMark/>
          </w:tcPr>
          <w:p w14:paraId="73FB360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57.906</w:t>
            </w:r>
          </w:p>
        </w:tc>
        <w:tc>
          <w:tcPr>
            <w:tcW w:w="500" w:type="pct"/>
            <w:shd w:val="clear" w:color="000000" w:fill="auto"/>
            <w:noWrap/>
            <w:vAlign w:val="center"/>
            <w:hideMark/>
          </w:tcPr>
          <w:p w14:paraId="07550C9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13.743</w:t>
            </w:r>
          </w:p>
        </w:tc>
        <w:tc>
          <w:tcPr>
            <w:tcW w:w="500" w:type="pct"/>
            <w:shd w:val="clear" w:color="000000" w:fill="auto"/>
            <w:noWrap/>
            <w:vAlign w:val="center"/>
            <w:hideMark/>
          </w:tcPr>
          <w:p w14:paraId="64D14A3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9.163</w:t>
            </w:r>
          </w:p>
        </w:tc>
        <w:tc>
          <w:tcPr>
            <w:tcW w:w="500" w:type="pct"/>
            <w:shd w:val="clear" w:color="000000" w:fill="auto"/>
            <w:noWrap/>
            <w:vAlign w:val="center"/>
            <w:hideMark/>
          </w:tcPr>
          <w:p w14:paraId="4C19B4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505</w:t>
            </w:r>
          </w:p>
        </w:tc>
        <w:tc>
          <w:tcPr>
            <w:tcW w:w="500" w:type="pct"/>
            <w:shd w:val="clear" w:color="000000" w:fill="auto"/>
            <w:noWrap/>
            <w:vAlign w:val="center"/>
            <w:hideMark/>
          </w:tcPr>
          <w:p w14:paraId="113E5C0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273</w:t>
            </w:r>
          </w:p>
        </w:tc>
        <w:tc>
          <w:tcPr>
            <w:tcW w:w="500" w:type="pct"/>
            <w:shd w:val="clear" w:color="000000" w:fill="auto"/>
            <w:noWrap/>
            <w:vAlign w:val="center"/>
            <w:hideMark/>
          </w:tcPr>
          <w:p w14:paraId="205D95B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23.683</w:t>
            </w:r>
          </w:p>
        </w:tc>
      </w:tr>
      <w:tr w:rsidR="00535FE1" w:rsidRPr="00F05605" w14:paraId="42F4E05A" w14:textId="77777777" w:rsidTr="00535FE1">
        <w:trPr>
          <w:trHeight w:val="290"/>
        </w:trPr>
        <w:tc>
          <w:tcPr>
            <w:tcW w:w="500" w:type="pct"/>
            <w:shd w:val="clear" w:color="000000" w:fill="auto"/>
            <w:noWrap/>
            <w:vAlign w:val="bottom"/>
            <w:hideMark/>
          </w:tcPr>
          <w:p w14:paraId="475071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N_66 </w:t>
            </w:r>
          </w:p>
        </w:tc>
        <w:tc>
          <w:tcPr>
            <w:tcW w:w="500" w:type="pct"/>
            <w:shd w:val="clear" w:color="000000" w:fill="auto"/>
            <w:noWrap/>
            <w:vAlign w:val="center"/>
            <w:hideMark/>
          </w:tcPr>
          <w:p w14:paraId="74200D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91.851</w:t>
            </w:r>
          </w:p>
        </w:tc>
        <w:tc>
          <w:tcPr>
            <w:tcW w:w="500" w:type="pct"/>
            <w:shd w:val="clear" w:color="000000" w:fill="auto"/>
            <w:noWrap/>
            <w:vAlign w:val="center"/>
            <w:hideMark/>
          </w:tcPr>
          <w:p w14:paraId="0CBE4F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21.540</w:t>
            </w:r>
          </w:p>
        </w:tc>
        <w:tc>
          <w:tcPr>
            <w:tcW w:w="500" w:type="pct"/>
            <w:shd w:val="clear" w:color="000000" w:fill="auto"/>
            <w:noWrap/>
            <w:vAlign w:val="center"/>
            <w:hideMark/>
          </w:tcPr>
          <w:p w14:paraId="7BFA26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9.249</w:t>
            </w:r>
          </w:p>
        </w:tc>
        <w:tc>
          <w:tcPr>
            <w:tcW w:w="500" w:type="pct"/>
            <w:shd w:val="clear" w:color="000000" w:fill="auto"/>
            <w:noWrap/>
            <w:vAlign w:val="center"/>
            <w:hideMark/>
          </w:tcPr>
          <w:p w14:paraId="46AE3E6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122.640</w:t>
            </w:r>
          </w:p>
        </w:tc>
        <w:tc>
          <w:tcPr>
            <w:tcW w:w="500" w:type="pct"/>
            <w:shd w:val="clear" w:color="000000" w:fill="auto"/>
            <w:noWrap/>
            <w:vAlign w:val="center"/>
            <w:hideMark/>
          </w:tcPr>
          <w:p w14:paraId="259D433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31.504</w:t>
            </w:r>
          </w:p>
        </w:tc>
        <w:tc>
          <w:tcPr>
            <w:tcW w:w="500" w:type="pct"/>
            <w:shd w:val="clear" w:color="000000" w:fill="auto"/>
            <w:noWrap/>
            <w:vAlign w:val="center"/>
            <w:hideMark/>
          </w:tcPr>
          <w:p w14:paraId="1D29A0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21.006</w:t>
            </w:r>
          </w:p>
        </w:tc>
        <w:tc>
          <w:tcPr>
            <w:tcW w:w="500" w:type="pct"/>
            <w:shd w:val="clear" w:color="000000" w:fill="auto"/>
            <w:noWrap/>
            <w:vAlign w:val="center"/>
            <w:hideMark/>
          </w:tcPr>
          <w:p w14:paraId="60FD50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1.157</w:t>
            </w:r>
          </w:p>
        </w:tc>
        <w:tc>
          <w:tcPr>
            <w:tcW w:w="500" w:type="pct"/>
            <w:shd w:val="clear" w:color="000000" w:fill="auto"/>
            <w:noWrap/>
            <w:vAlign w:val="center"/>
            <w:hideMark/>
          </w:tcPr>
          <w:p w14:paraId="7103D1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625</w:t>
            </w:r>
          </w:p>
        </w:tc>
        <w:tc>
          <w:tcPr>
            <w:tcW w:w="500" w:type="pct"/>
            <w:shd w:val="clear" w:color="000000" w:fill="auto"/>
            <w:noWrap/>
            <w:vAlign w:val="center"/>
            <w:hideMark/>
          </w:tcPr>
          <w:p w14:paraId="3A9360C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54.291</w:t>
            </w:r>
          </w:p>
        </w:tc>
      </w:tr>
      <w:tr w:rsidR="00535FE1" w:rsidRPr="00F05605" w14:paraId="42ED82E0" w14:textId="77777777" w:rsidTr="00535FE1">
        <w:trPr>
          <w:trHeight w:val="290"/>
        </w:trPr>
        <w:tc>
          <w:tcPr>
            <w:tcW w:w="500" w:type="pct"/>
            <w:shd w:val="clear" w:color="000000" w:fill="auto"/>
            <w:noWrap/>
            <w:vAlign w:val="bottom"/>
            <w:hideMark/>
          </w:tcPr>
          <w:p w14:paraId="474FB4A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N_67 </w:t>
            </w:r>
          </w:p>
        </w:tc>
        <w:tc>
          <w:tcPr>
            <w:tcW w:w="500" w:type="pct"/>
            <w:shd w:val="clear" w:color="000000" w:fill="auto"/>
            <w:noWrap/>
            <w:vAlign w:val="center"/>
            <w:hideMark/>
          </w:tcPr>
          <w:p w14:paraId="57D29AA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52.874</w:t>
            </w:r>
          </w:p>
        </w:tc>
        <w:tc>
          <w:tcPr>
            <w:tcW w:w="500" w:type="pct"/>
            <w:shd w:val="clear" w:color="000000" w:fill="auto"/>
            <w:noWrap/>
            <w:vAlign w:val="center"/>
            <w:hideMark/>
          </w:tcPr>
          <w:p w14:paraId="4584AC2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12.132</w:t>
            </w:r>
          </w:p>
        </w:tc>
        <w:tc>
          <w:tcPr>
            <w:tcW w:w="500" w:type="pct"/>
            <w:shd w:val="clear" w:color="000000" w:fill="auto"/>
            <w:noWrap/>
            <w:vAlign w:val="center"/>
            <w:hideMark/>
          </w:tcPr>
          <w:p w14:paraId="0DCDFF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13.200</w:t>
            </w:r>
          </w:p>
        </w:tc>
        <w:tc>
          <w:tcPr>
            <w:tcW w:w="500" w:type="pct"/>
            <w:shd w:val="clear" w:color="000000" w:fill="auto"/>
            <w:noWrap/>
            <w:vAlign w:val="center"/>
            <w:hideMark/>
          </w:tcPr>
          <w:p w14:paraId="32C46B5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78.205</w:t>
            </w:r>
          </w:p>
        </w:tc>
        <w:tc>
          <w:tcPr>
            <w:tcW w:w="500" w:type="pct"/>
            <w:shd w:val="clear" w:color="000000" w:fill="auto"/>
            <w:noWrap/>
            <w:vAlign w:val="center"/>
            <w:hideMark/>
          </w:tcPr>
          <w:p w14:paraId="345605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23.094</w:t>
            </w:r>
          </w:p>
        </w:tc>
        <w:tc>
          <w:tcPr>
            <w:tcW w:w="500" w:type="pct"/>
            <w:shd w:val="clear" w:color="000000" w:fill="auto"/>
            <w:noWrap/>
            <w:vAlign w:val="center"/>
            <w:hideMark/>
          </w:tcPr>
          <w:p w14:paraId="631167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11.990</w:t>
            </w:r>
          </w:p>
        </w:tc>
        <w:tc>
          <w:tcPr>
            <w:tcW w:w="500" w:type="pct"/>
            <w:shd w:val="clear" w:color="000000" w:fill="auto"/>
            <w:noWrap/>
            <w:vAlign w:val="center"/>
            <w:hideMark/>
          </w:tcPr>
          <w:p w14:paraId="2DC68A9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2.298</w:t>
            </w:r>
          </w:p>
        </w:tc>
        <w:tc>
          <w:tcPr>
            <w:tcW w:w="500" w:type="pct"/>
            <w:shd w:val="clear" w:color="000000" w:fill="auto"/>
            <w:noWrap/>
            <w:vAlign w:val="center"/>
            <w:hideMark/>
          </w:tcPr>
          <w:p w14:paraId="34BEB7A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603</w:t>
            </w:r>
          </w:p>
        </w:tc>
        <w:tc>
          <w:tcPr>
            <w:tcW w:w="500" w:type="pct"/>
            <w:shd w:val="clear" w:color="000000" w:fill="auto"/>
            <w:noWrap/>
            <w:vAlign w:val="center"/>
            <w:hideMark/>
          </w:tcPr>
          <w:p w14:paraId="1397D5B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37.984</w:t>
            </w:r>
          </w:p>
        </w:tc>
      </w:tr>
      <w:tr w:rsidR="00535FE1" w:rsidRPr="00F05605" w14:paraId="6D4EB5CF" w14:textId="77777777" w:rsidTr="00535FE1">
        <w:trPr>
          <w:trHeight w:val="290"/>
        </w:trPr>
        <w:tc>
          <w:tcPr>
            <w:tcW w:w="500" w:type="pct"/>
            <w:shd w:val="clear" w:color="000000" w:fill="auto"/>
            <w:noWrap/>
            <w:vAlign w:val="bottom"/>
            <w:hideMark/>
          </w:tcPr>
          <w:p w14:paraId="2CC29F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N_69 </w:t>
            </w:r>
          </w:p>
        </w:tc>
        <w:tc>
          <w:tcPr>
            <w:tcW w:w="500" w:type="pct"/>
            <w:shd w:val="clear" w:color="000000" w:fill="auto"/>
            <w:noWrap/>
            <w:vAlign w:val="center"/>
            <w:hideMark/>
          </w:tcPr>
          <w:p w14:paraId="41630B0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170.234</w:t>
            </w:r>
          </w:p>
        </w:tc>
        <w:tc>
          <w:tcPr>
            <w:tcW w:w="500" w:type="pct"/>
            <w:shd w:val="clear" w:color="000000" w:fill="auto"/>
            <w:noWrap/>
            <w:vAlign w:val="center"/>
            <w:hideMark/>
          </w:tcPr>
          <w:p w14:paraId="0FA9C8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39.682</w:t>
            </w:r>
          </w:p>
        </w:tc>
        <w:tc>
          <w:tcPr>
            <w:tcW w:w="500" w:type="pct"/>
            <w:shd w:val="clear" w:color="000000" w:fill="auto"/>
            <w:noWrap/>
            <w:vAlign w:val="center"/>
            <w:hideMark/>
          </w:tcPr>
          <w:p w14:paraId="7F895D7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20.396</w:t>
            </w:r>
          </w:p>
        </w:tc>
        <w:tc>
          <w:tcPr>
            <w:tcW w:w="500" w:type="pct"/>
            <w:shd w:val="clear" w:color="000000" w:fill="auto"/>
            <w:noWrap/>
            <w:vAlign w:val="center"/>
            <w:hideMark/>
          </w:tcPr>
          <w:p w14:paraId="53D3041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230.312</w:t>
            </w:r>
          </w:p>
        </w:tc>
        <w:tc>
          <w:tcPr>
            <w:tcW w:w="500" w:type="pct"/>
            <w:shd w:val="clear" w:color="000000" w:fill="auto"/>
            <w:noWrap/>
            <w:vAlign w:val="center"/>
            <w:hideMark/>
          </w:tcPr>
          <w:p w14:paraId="615064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29.127</w:t>
            </w:r>
          </w:p>
        </w:tc>
        <w:tc>
          <w:tcPr>
            <w:tcW w:w="500" w:type="pct"/>
            <w:shd w:val="clear" w:color="000000" w:fill="auto"/>
            <w:noWrap/>
            <w:vAlign w:val="center"/>
            <w:hideMark/>
          </w:tcPr>
          <w:p w14:paraId="642BAE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38.816</w:t>
            </w:r>
          </w:p>
        </w:tc>
        <w:tc>
          <w:tcPr>
            <w:tcW w:w="500" w:type="pct"/>
            <w:shd w:val="clear" w:color="000000" w:fill="auto"/>
            <w:noWrap/>
            <w:vAlign w:val="center"/>
            <w:hideMark/>
          </w:tcPr>
          <w:p w14:paraId="7AC413F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3.388</w:t>
            </w:r>
          </w:p>
        </w:tc>
        <w:tc>
          <w:tcPr>
            <w:tcW w:w="500" w:type="pct"/>
            <w:shd w:val="clear" w:color="000000" w:fill="auto"/>
            <w:noWrap/>
            <w:vAlign w:val="center"/>
            <w:hideMark/>
          </w:tcPr>
          <w:p w14:paraId="4F3E946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1.336</w:t>
            </w:r>
          </w:p>
        </w:tc>
        <w:tc>
          <w:tcPr>
            <w:tcW w:w="500" w:type="pct"/>
            <w:shd w:val="clear" w:color="000000" w:fill="auto"/>
            <w:noWrap/>
            <w:vAlign w:val="center"/>
            <w:hideMark/>
          </w:tcPr>
          <w:p w14:paraId="2ECF99D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72.667</w:t>
            </w:r>
          </w:p>
        </w:tc>
      </w:tr>
      <w:tr w:rsidR="00535FE1" w:rsidRPr="00F05605" w14:paraId="18FC3374" w14:textId="77777777" w:rsidTr="00535FE1">
        <w:trPr>
          <w:trHeight w:val="290"/>
        </w:trPr>
        <w:tc>
          <w:tcPr>
            <w:tcW w:w="500" w:type="pct"/>
            <w:shd w:val="clear" w:color="000000" w:fill="auto"/>
            <w:noWrap/>
            <w:vAlign w:val="bottom"/>
            <w:hideMark/>
          </w:tcPr>
          <w:p w14:paraId="7FA1B01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N_70 </w:t>
            </w:r>
          </w:p>
        </w:tc>
        <w:tc>
          <w:tcPr>
            <w:tcW w:w="500" w:type="pct"/>
            <w:shd w:val="clear" w:color="000000" w:fill="auto"/>
            <w:noWrap/>
            <w:vAlign w:val="center"/>
            <w:hideMark/>
          </w:tcPr>
          <w:p w14:paraId="78EC95B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224.765</w:t>
            </w:r>
          </w:p>
        </w:tc>
        <w:tc>
          <w:tcPr>
            <w:tcW w:w="500" w:type="pct"/>
            <w:shd w:val="clear" w:color="000000" w:fill="auto"/>
            <w:noWrap/>
            <w:vAlign w:val="center"/>
            <w:hideMark/>
          </w:tcPr>
          <w:p w14:paraId="2737FB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132.956</w:t>
            </w:r>
          </w:p>
        </w:tc>
        <w:tc>
          <w:tcPr>
            <w:tcW w:w="500" w:type="pct"/>
            <w:shd w:val="clear" w:color="000000" w:fill="auto"/>
            <w:noWrap/>
            <w:vAlign w:val="center"/>
            <w:hideMark/>
          </w:tcPr>
          <w:p w14:paraId="29AF81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68.336</w:t>
            </w:r>
          </w:p>
        </w:tc>
        <w:tc>
          <w:tcPr>
            <w:tcW w:w="500" w:type="pct"/>
            <w:shd w:val="clear" w:color="000000" w:fill="auto"/>
            <w:noWrap/>
            <w:vAlign w:val="center"/>
            <w:hideMark/>
          </w:tcPr>
          <w:p w14:paraId="4CF59FC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426.057</w:t>
            </w:r>
          </w:p>
        </w:tc>
        <w:tc>
          <w:tcPr>
            <w:tcW w:w="500" w:type="pct"/>
            <w:shd w:val="clear" w:color="000000" w:fill="auto"/>
            <w:noWrap/>
            <w:vAlign w:val="center"/>
            <w:hideMark/>
          </w:tcPr>
          <w:p w14:paraId="05FFF5B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97.591</w:t>
            </w:r>
          </w:p>
        </w:tc>
        <w:tc>
          <w:tcPr>
            <w:tcW w:w="500" w:type="pct"/>
            <w:shd w:val="clear" w:color="000000" w:fill="auto"/>
            <w:noWrap/>
            <w:vAlign w:val="center"/>
            <w:hideMark/>
          </w:tcPr>
          <w:p w14:paraId="4781D4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130.053</w:t>
            </w:r>
          </w:p>
        </w:tc>
        <w:tc>
          <w:tcPr>
            <w:tcW w:w="500" w:type="pct"/>
            <w:shd w:val="clear" w:color="000000" w:fill="auto"/>
            <w:noWrap/>
            <w:vAlign w:val="center"/>
            <w:hideMark/>
          </w:tcPr>
          <w:p w14:paraId="5ACBCC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11.353</w:t>
            </w:r>
          </w:p>
        </w:tc>
        <w:tc>
          <w:tcPr>
            <w:tcW w:w="500" w:type="pct"/>
            <w:shd w:val="clear" w:color="000000" w:fill="auto"/>
            <w:noWrap/>
            <w:vAlign w:val="center"/>
            <w:hideMark/>
          </w:tcPr>
          <w:p w14:paraId="5765A36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4.476</w:t>
            </w:r>
          </w:p>
        </w:tc>
        <w:tc>
          <w:tcPr>
            <w:tcW w:w="500" w:type="pct"/>
            <w:shd w:val="clear" w:color="000000" w:fill="auto"/>
            <w:noWrap/>
            <w:vAlign w:val="center"/>
            <w:hideMark/>
          </w:tcPr>
          <w:p w14:paraId="713BAA2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243.473</w:t>
            </w:r>
          </w:p>
        </w:tc>
      </w:tr>
      <w:tr w:rsidR="00535FE1" w:rsidRPr="00F05605" w14:paraId="2952A546" w14:textId="77777777" w:rsidTr="00535FE1">
        <w:trPr>
          <w:trHeight w:val="290"/>
        </w:trPr>
        <w:tc>
          <w:tcPr>
            <w:tcW w:w="500" w:type="pct"/>
            <w:shd w:val="clear" w:color="000000" w:fill="auto"/>
            <w:noWrap/>
            <w:vAlign w:val="bottom"/>
            <w:hideMark/>
          </w:tcPr>
          <w:p w14:paraId="1E4E982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N_72 </w:t>
            </w:r>
          </w:p>
        </w:tc>
        <w:tc>
          <w:tcPr>
            <w:tcW w:w="500" w:type="pct"/>
            <w:shd w:val="clear" w:color="000000" w:fill="auto"/>
            <w:noWrap/>
            <w:vAlign w:val="center"/>
            <w:hideMark/>
          </w:tcPr>
          <w:p w14:paraId="482EB2D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1.862.666</w:t>
            </w:r>
          </w:p>
        </w:tc>
        <w:tc>
          <w:tcPr>
            <w:tcW w:w="500" w:type="pct"/>
            <w:shd w:val="clear" w:color="000000" w:fill="auto"/>
            <w:noWrap/>
            <w:vAlign w:val="center"/>
            <w:hideMark/>
          </w:tcPr>
          <w:p w14:paraId="428F59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1.111.903</w:t>
            </w:r>
          </w:p>
        </w:tc>
        <w:tc>
          <w:tcPr>
            <w:tcW w:w="500" w:type="pct"/>
            <w:shd w:val="clear" w:color="000000" w:fill="auto"/>
            <w:noWrap/>
            <w:vAlign w:val="center"/>
            <w:hideMark/>
          </w:tcPr>
          <w:p w14:paraId="1068EE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477.433</w:t>
            </w:r>
          </w:p>
        </w:tc>
        <w:tc>
          <w:tcPr>
            <w:tcW w:w="500" w:type="pct"/>
            <w:shd w:val="clear" w:color="000000" w:fill="auto"/>
            <w:noWrap/>
            <w:vAlign w:val="center"/>
            <w:hideMark/>
          </w:tcPr>
          <w:p w14:paraId="2493438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3.452.002</w:t>
            </w:r>
          </w:p>
        </w:tc>
        <w:tc>
          <w:tcPr>
            <w:tcW w:w="500" w:type="pct"/>
            <w:shd w:val="clear" w:color="000000" w:fill="auto"/>
            <w:noWrap/>
            <w:vAlign w:val="center"/>
            <w:hideMark/>
          </w:tcPr>
          <w:p w14:paraId="40934CE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1.626.267</w:t>
            </w:r>
          </w:p>
        </w:tc>
        <w:tc>
          <w:tcPr>
            <w:tcW w:w="500" w:type="pct"/>
            <w:shd w:val="clear" w:color="000000" w:fill="auto"/>
            <w:noWrap/>
            <w:vAlign w:val="center"/>
            <w:hideMark/>
          </w:tcPr>
          <w:p w14:paraId="6DF9AA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1.084.350</w:t>
            </w:r>
          </w:p>
        </w:tc>
        <w:tc>
          <w:tcPr>
            <w:tcW w:w="500" w:type="pct"/>
            <w:shd w:val="clear" w:color="000000" w:fill="auto"/>
            <w:noWrap/>
            <w:vAlign w:val="center"/>
            <w:hideMark/>
          </w:tcPr>
          <w:p w14:paraId="1E0B40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59.726</w:t>
            </w:r>
          </w:p>
        </w:tc>
        <w:tc>
          <w:tcPr>
            <w:tcW w:w="500" w:type="pct"/>
            <w:shd w:val="clear" w:color="000000" w:fill="auto"/>
            <w:noWrap/>
            <w:vAlign w:val="center"/>
            <w:hideMark/>
          </w:tcPr>
          <w:p w14:paraId="30C8B7E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32.247</w:t>
            </w:r>
          </w:p>
        </w:tc>
        <w:tc>
          <w:tcPr>
            <w:tcW w:w="500" w:type="pct"/>
            <w:shd w:val="clear" w:color="000000" w:fill="auto"/>
            <w:noWrap/>
            <w:vAlign w:val="center"/>
            <w:hideMark/>
          </w:tcPr>
          <w:p w14:paraId="1F44B14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2.802.591</w:t>
            </w:r>
          </w:p>
        </w:tc>
      </w:tr>
      <w:tr w:rsidR="00535FE1" w:rsidRPr="00F05605" w14:paraId="79F6C079" w14:textId="77777777" w:rsidTr="00535FE1">
        <w:trPr>
          <w:trHeight w:val="290"/>
        </w:trPr>
        <w:tc>
          <w:tcPr>
            <w:tcW w:w="500" w:type="pct"/>
            <w:shd w:val="clear" w:color="000000" w:fill="auto"/>
            <w:noWrap/>
            <w:vAlign w:val="bottom"/>
            <w:hideMark/>
          </w:tcPr>
          <w:p w14:paraId="629B41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N_73 </w:t>
            </w:r>
          </w:p>
        </w:tc>
        <w:tc>
          <w:tcPr>
            <w:tcW w:w="500" w:type="pct"/>
            <w:shd w:val="clear" w:color="000000" w:fill="auto"/>
            <w:noWrap/>
            <w:vAlign w:val="center"/>
            <w:hideMark/>
          </w:tcPr>
          <w:p w14:paraId="791F3D0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58.076</w:t>
            </w:r>
          </w:p>
        </w:tc>
        <w:tc>
          <w:tcPr>
            <w:tcW w:w="500" w:type="pct"/>
            <w:shd w:val="clear" w:color="000000" w:fill="auto"/>
            <w:noWrap/>
            <w:vAlign w:val="center"/>
            <w:hideMark/>
          </w:tcPr>
          <w:p w14:paraId="3E74F07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52.584</w:t>
            </w:r>
          </w:p>
        </w:tc>
        <w:tc>
          <w:tcPr>
            <w:tcW w:w="500" w:type="pct"/>
            <w:shd w:val="clear" w:color="000000" w:fill="auto"/>
            <w:noWrap/>
            <w:vAlign w:val="center"/>
            <w:hideMark/>
          </w:tcPr>
          <w:p w14:paraId="2738C9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22.579</w:t>
            </w:r>
          </w:p>
        </w:tc>
        <w:tc>
          <w:tcPr>
            <w:tcW w:w="500" w:type="pct"/>
            <w:shd w:val="clear" w:color="000000" w:fill="auto"/>
            <w:noWrap/>
            <w:vAlign w:val="center"/>
            <w:hideMark/>
          </w:tcPr>
          <w:p w14:paraId="48A3E5B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133.239</w:t>
            </w:r>
          </w:p>
        </w:tc>
        <w:tc>
          <w:tcPr>
            <w:tcW w:w="500" w:type="pct"/>
            <w:shd w:val="clear" w:color="000000" w:fill="auto"/>
            <w:noWrap/>
            <w:vAlign w:val="center"/>
            <w:hideMark/>
          </w:tcPr>
          <w:p w14:paraId="52B088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76.909</w:t>
            </w:r>
          </w:p>
        </w:tc>
        <w:tc>
          <w:tcPr>
            <w:tcW w:w="500" w:type="pct"/>
            <w:shd w:val="clear" w:color="000000" w:fill="auto"/>
            <w:noWrap/>
            <w:vAlign w:val="center"/>
            <w:hideMark/>
          </w:tcPr>
          <w:p w14:paraId="597378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51.281</w:t>
            </w:r>
          </w:p>
        </w:tc>
        <w:tc>
          <w:tcPr>
            <w:tcW w:w="500" w:type="pct"/>
            <w:shd w:val="clear" w:color="000000" w:fill="auto"/>
            <w:noWrap/>
            <w:vAlign w:val="center"/>
            <w:hideMark/>
          </w:tcPr>
          <w:p w14:paraId="3DEAE9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2.825</w:t>
            </w:r>
          </w:p>
        </w:tc>
        <w:tc>
          <w:tcPr>
            <w:tcW w:w="500" w:type="pct"/>
            <w:shd w:val="clear" w:color="000000" w:fill="auto"/>
            <w:noWrap/>
            <w:vAlign w:val="center"/>
            <w:hideMark/>
          </w:tcPr>
          <w:p w14:paraId="77FDAE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1.525</w:t>
            </w:r>
          </w:p>
        </w:tc>
        <w:tc>
          <w:tcPr>
            <w:tcW w:w="500" w:type="pct"/>
            <w:shd w:val="clear" w:color="000000" w:fill="auto"/>
            <w:noWrap/>
            <w:vAlign w:val="center"/>
            <w:hideMark/>
          </w:tcPr>
          <w:p w14:paraId="5A29358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132.540</w:t>
            </w:r>
          </w:p>
        </w:tc>
      </w:tr>
      <w:tr w:rsidR="00535FE1" w:rsidRPr="00F05605" w14:paraId="73920061" w14:textId="77777777" w:rsidTr="00535FE1">
        <w:trPr>
          <w:trHeight w:val="290"/>
        </w:trPr>
        <w:tc>
          <w:tcPr>
            <w:tcW w:w="500" w:type="pct"/>
            <w:shd w:val="clear" w:color="000000" w:fill="auto"/>
            <w:noWrap/>
            <w:vAlign w:val="bottom"/>
            <w:hideMark/>
          </w:tcPr>
          <w:p w14:paraId="0A42D2A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N_74 </w:t>
            </w:r>
          </w:p>
        </w:tc>
        <w:tc>
          <w:tcPr>
            <w:tcW w:w="500" w:type="pct"/>
            <w:shd w:val="clear" w:color="000000" w:fill="auto"/>
            <w:noWrap/>
            <w:vAlign w:val="center"/>
            <w:hideMark/>
          </w:tcPr>
          <w:p w14:paraId="40980B5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164.601</w:t>
            </w:r>
          </w:p>
        </w:tc>
        <w:tc>
          <w:tcPr>
            <w:tcW w:w="500" w:type="pct"/>
            <w:shd w:val="clear" w:color="000000" w:fill="auto"/>
            <w:noWrap/>
            <w:vAlign w:val="center"/>
            <w:hideMark/>
          </w:tcPr>
          <w:p w14:paraId="23F7C4B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94.379</w:t>
            </w:r>
          </w:p>
        </w:tc>
        <w:tc>
          <w:tcPr>
            <w:tcW w:w="500" w:type="pct"/>
            <w:shd w:val="clear" w:color="000000" w:fill="auto"/>
            <w:noWrap/>
            <w:vAlign w:val="center"/>
            <w:hideMark/>
          </w:tcPr>
          <w:p w14:paraId="7341D4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48.509</w:t>
            </w:r>
          </w:p>
        </w:tc>
        <w:tc>
          <w:tcPr>
            <w:tcW w:w="500" w:type="pct"/>
            <w:shd w:val="clear" w:color="000000" w:fill="auto"/>
            <w:noWrap/>
            <w:vAlign w:val="center"/>
            <w:hideMark/>
          </w:tcPr>
          <w:p w14:paraId="3F7F4BC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307.488</w:t>
            </w:r>
          </w:p>
        </w:tc>
        <w:tc>
          <w:tcPr>
            <w:tcW w:w="500" w:type="pct"/>
            <w:shd w:val="clear" w:color="000000" w:fill="auto"/>
            <w:noWrap/>
            <w:vAlign w:val="center"/>
            <w:hideMark/>
          </w:tcPr>
          <w:p w14:paraId="118B57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69.275</w:t>
            </w:r>
          </w:p>
        </w:tc>
        <w:tc>
          <w:tcPr>
            <w:tcW w:w="500" w:type="pct"/>
            <w:shd w:val="clear" w:color="000000" w:fill="auto"/>
            <w:noWrap/>
            <w:vAlign w:val="center"/>
            <w:hideMark/>
          </w:tcPr>
          <w:p w14:paraId="29A20E4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92.318</w:t>
            </w:r>
          </w:p>
        </w:tc>
        <w:tc>
          <w:tcPr>
            <w:tcW w:w="500" w:type="pct"/>
            <w:shd w:val="clear" w:color="000000" w:fill="auto"/>
            <w:noWrap/>
            <w:vAlign w:val="center"/>
            <w:hideMark/>
          </w:tcPr>
          <w:p w14:paraId="490A8EB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8.059</w:t>
            </w:r>
          </w:p>
        </w:tc>
        <w:tc>
          <w:tcPr>
            <w:tcW w:w="500" w:type="pct"/>
            <w:shd w:val="clear" w:color="000000" w:fill="auto"/>
            <w:noWrap/>
            <w:vAlign w:val="center"/>
            <w:hideMark/>
          </w:tcPr>
          <w:p w14:paraId="3510C80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3.177</w:t>
            </w:r>
          </w:p>
        </w:tc>
        <w:tc>
          <w:tcPr>
            <w:tcW w:w="500" w:type="pct"/>
            <w:shd w:val="clear" w:color="000000" w:fill="auto"/>
            <w:noWrap/>
            <w:vAlign w:val="center"/>
            <w:hideMark/>
          </w:tcPr>
          <w:p w14:paraId="5FD7C44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172.829</w:t>
            </w:r>
          </w:p>
        </w:tc>
      </w:tr>
      <w:tr w:rsidR="00535FE1" w:rsidRPr="00F05605" w14:paraId="036A78E8" w14:textId="77777777" w:rsidTr="00535FE1">
        <w:trPr>
          <w:trHeight w:val="290"/>
        </w:trPr>
        <w:tc>
          <w:tcPr>
            <w:tcW w:w="500" w:type="pct"/>
            <w:shd w:val="clear" w:color="000000" w:fill="auto"/>
            <w:noWrap/>
            <w:vAlign w:val="bottom"/>
            <w:hideMark/>
          </w:tcPr>
          <w:p w14:paraId="43257D9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N_75 </w:t>
            </w:r>
          </w:p>
        </w:tc>
        <w:tc>
          <w:tcPr>
            <w:tcW w:w="500" w:type="pct"/>
            <w:shd w:val="clear" w:color="000000" w:fill="auto"/>
            <w:noWrap/>
            <w:vAlign w:val="center"/>
            <w:hideMark/>
          </w:tcPr>
          <w:p w14:paraId="10505A3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373.597</w:t>
            </w:r>
          </w:p>
        </w:tc>
        <w:tc>
          <w:tcPr>
            <w:tcW w:w="500" w:type="pct"/>
            <w:shd w:val="clear" w:color="000000" w:fill="auto"/>
            <w:noWrap/>
            <w:vAlign w:val="center"/>
            <w:hideMark/>
          </w:tcPr>
          <w:p w14:paraId="75A268B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63.349</w:t>
            </w:r>
          </w:p>
        </w:tc>
        <w:tc>
          <w:tcPr>
            <w:tcW w:w="500" w:type="pct"/>
            <w:shd w:val="clear" w:color="000000" w:fill="auto"/>
            <w:noWrap/>
            <w:vAlign w:val="center"/>
            <w:hideMark/>
          </w:tcPr>
          <w:p w14:paraId="72991C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27.201</w:t>
            </w:r>
          </w:p>
        </w:tc>
        <w:tc>
          <w:tcPr>
            <w:tcW w:w="500" w:type="pct"/>
            <w:shd w:val="clear" w:color="000000" w:fill="auto"/>
            <w:noWrap/>
            <w:vAlign w:val="center"/>
            <w:hideMark/>
          </w:tcPr>
          <w:p w14:paraId="76ED5EE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464.147</w:t>
            </w:r>
          </w:p>
        </w:tc>
        <w:tc>
          <w:tcPr>
            <w:tcW w:w="500" w:type="pct"/>
            <w:shd w:val="clear" w:color="000000" w:fill="auto"/>
            <w:noWrap/>
            <w:vAlign w:val="center"/>
            <w:hideMark/>
          </w:tcPr>
          <w:p w14:paraId="0B5F9AB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92.654</w:t>
            </w:r>
          </w:p>
        </w:tc>
        <w:tc>
          <w:tcPr>
            <w:tcW w:w="500" w:type="pct"/>
            <w:shd w:val="clear" w:color="000000" w:fill="auto"/>
            <w:noWrap/>
            <w:vAlign w:val="center"/>
            <w:hideMark/>
          </w:tcPr>
          <w:p w14:paraId="6DBF38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61.779</w:t>
            </w:r>
          </w:p>
        </w:tc>
        <w:tc>
          <w:tcPr>
            <w:tcW w:w="500" w:type="pct"/>
            <w:shd w:val="clear" w:color="000000" w:fill="auto"/>
            <w:noWrap/>
            <w:vAlign w:val="center"/>
            <w:hideMark/>
          </w:tcPr>
          <w:p w14:paraId="5BEBF2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3.403</w:t>
            </w:r>
          </w:p>
        </w:tc>
        <w:tc>
          <w:tcPr>
            <w:tcW w:w="500" w:type="pct"/>
            <w:shd w:val="clear" w:color="000000" w:fill="auto"/>
            <w:noWrap/>
            <w:vAlign w:val="center"/>
            <w:hideMark/>
          </w:tcPr>
          <w:p w14:paraId="05D3F6F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1.837</w:t>
            </w:r>
          </w:p>
        </w:tc>
        <w:tc>
          <w:tcPr>
            <w:tcW w:w="500" w:type="pct"/>
            <w:shd w:val="clear" w:color="000000" w:fill="auto"/>
            <w:noWrap/>
            <w:vAlign w:val="center"/>
            <w:hideMark/>
          </w:tcPr>
          <w:p w14:paraId="2FB665C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159.673</w:t>
            </w:r>
          </w:p>
        </w:tc>
      </w:tr>
      <w:tr w:rsidR="00535FE1" w:rsidRPr="00F05605" w14:paraId="196BA2DE" w14:textId="77777777" w:rsidTr="00535FE1">
        <w:trPr>
          <w:trHeight w:val="290"/>
        </w:trPr>
        <w:tc>
          <w:tcPr>
            <w:tcW w:w="500" w:type="pct"/>
            <w:shd w:val="clear" w:color="000000" w:fill="auto"/>
            <w:noWrap/>
            <w:vAlign w:val="bottom"/>
            <w:hideMark/>
          </w:tcPr>
          <w:p w14:paraId="26ACFCF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N_76 </w:t>
            </w:r>
          </w:p>
        </w:tc>
        <w:tc>
          <w:tcPr>
            <w:tcW w:w="500" w:type="pct"/>
            <w:shd w:val="clear" w:color="000000" w:fill="auto"/>
            <w:noWrap/>
            <w:vAlign w:val="center"/>
            <w:hideMark/>
          </w:tcPr>
          <w:p w14:paraId="5570D79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301.761</w:t>
            </w:r>
          </w:p>
        </w:tc>
        <w:tc>
          <w:tcPr>
            <w:tcW w:w="500" w:type="pct"/>
            <w:shd w:val="clear" w:color="000000" w:fill="auto"/>
            <w:noWrap/>
            <w:vAlign w:val="center"/>
            <w:hideMark/>
          </w:tcPr>
          <w:p w14:paraId="650C53A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41.626</w:t>
            </w:r>
          </w:p>
        </w:tc>
        <w:tc>
          <w:tcPr>
            <w:tcW w:w="500" w:type="pct"/>
            <w:shd w:val="clear" w:color="000000" w:fill="auto"/>
            <w:noWrap/>
            <w:vAlign w:val="center"/>
            <w:hideMark/>
          </w:tcPr>
          <w:p w14:paraId="24F1777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17.874</w:t>
            </w:r>
          </w:p>
        </w:tc>
        <w:tc>
          <w:tcPr>
            <w:tcW w:w="500" w:type="pct"/>
            <w:shd w:val="clear" w:color="000000" w:fill="auto"/>
            <w:noWrap/>
            <w:vAlign w:val="center"/>
            <w:hideMark/>
          </w:tcPr>
          <w:p w14:paraId="5E82107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361.260</w:t>
            </w:r>
          </w:p>
        </w:tc>
        <w:tc>
          <w:tcPr>
            <w:tcW w:w="500" w:type="pct"/>
            <w:shd w:val="clear" w:color="000000" w:fill="auto"/>
            <w:noWrap/>
            <w:vAlign w:val="center"/>
            <w:hideMark/>
          </w:tcPr>
          <w:p w14:paraId="3EBE6A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60.882</w:t>
            </w:r>
          </w:p>
        </w:tc>
        <w:tc>
          <w:tcPr>
            <w:tcW w:w="500" w:type="pct"/>
            <w:shd w:val="clear" w:color="000000" w:fill="auto"/>
            <w:noWrap/>
            <w:vAlign w:val="center"/>
            <w:hideMark/>
          </w:tcPr>
          <w:p w14:paraId="29F8CB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40.595</w:t>
            </w:r>
          </w:p>
        </w:tc>
        <w:tc>
          <w:tcPr>
            <w:tcW w:w="500" w:type="pct"/>
            <w:shd w:val="clear" w:color="000000" w:fill="auto"/>
            <w:noWrap/>
            <w:vAlign w:val="center"/>
            <w:hideMark/>
          </w:tcPr>
          <w:p w14:paraId="48A0CA9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2.236</w:t>
            </w:r>
          </w:p>
        </w:tc>
        <w:tc>
          <w:tcPr>
            <w:tcW w:w="500" w:type="pct"/>
            <w:shd w:val="clear" w:color="000000" w:fill="auto"/>
            <w:noWrap/>
            <w:vAlign w:val="center"/>
            <w:hideMark/>
          </w:tcPr>
          <w:p w14:paraId="5B8A0E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1.207</w:t>
            </w:r>
          </w:p>
        </w:tc>
        <w:tc>
          <w:tcPr>
            <w:tcW w:w="500" w:type="pct"/>
            <w:shd w:val="clear" w:color="000000" w:fill="auto"/>
            <w:noWrap/>
            <w:vAlign w:val="center"/>
            <w:hideMark/>
          </w:tcPr>
          <w:p w14:paraId="5A4EBB1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104.920</w:t>
            </w:r>
          </w:p>
        </w:tc>
      </w:tr>
      <w:tr w:rsidR="00535FE1" w:rsidRPr="00F05605" w14:paraId="526C347A" w14:textId="77777777" w:rsidTr="00535FE1">
        <w:trPr>
          <w:trHeight w:val="290"/>
        </w:trPr>
        <w:tc>
          <w:tcPr>
            <w:tcW w:w="500" w:type="pct"/>
            <w:shd w:val="clear" w:color="000000" w:fill="auto"/>
            <w:noWrap/>
            <w:vAlign w:val="bottom"/>
            <w:hideMark/>
          </w:tcPr>
          <w:p w14:paraId="5153E5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N_77 </w:t>
            </w:r>
          </w:p>
        </w:tc>
        <w:tc>
          <w:tcPr>
            <w:tcW w:w="500" w:type="pct"/>
            <w:shd w:val="clear" w:color="000000" w:fill="auto"/>
            <w:noWrap/>
            <w:vAlign w:val="center"/>
            <w:hideMark/>
          </w:tcPr>
          <w:p w14:paraId="1AA2056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211.030</w:t>
            </w:r>
          </w:p>
        </w:tc>
        <w:tc>
          <w:tcPr>
            <w:tcW w:w="500" w:type="pct"/>
            <w:shd w:val="clear" w:color="000000" w:fill="auto"/>
            <w:noWrap/>
            <w:vAlign w:val="center"/>
            <w:hideMark/>
          </w:tcPr>
          <w:p w14:paraId="54B6875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27.848</w:t>
            </w:r>
          </w:p>
        </w:tc>
        <w:tc>
          <w:tcPr>
            <w:tcW w:w="500" w:type="pct"/>
            <w:shd w:val="clear" w:color="000000" w:fill="auto"/>
            <w:noWrap/>
            <w:vAlign w:val="center"/>
            <w:hideMark/>
          </w:tcPr>
          <w:p w14:paraId="79736B5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11.958</w:t>
            </w:r>
          </w:p>
        </w:tc>
        <w:tc>
          <w:tcPr>
            <w:tcW w:w="500" w:type="pct"/>
            <w:shd w:val="clear" w:color="000000" w:fill="auto"/>
            <w:noWrap/>
            <w:vAlign w:val="center"/>
            <w:hideMark/>
          </w:tcPr>
          <w:p w14:paraId="5BEA258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250.836</w:t>
            </w:r>
          </w:p>
        </w:tc>
        <w:tc>
          <w:tcPr>
            <w:tcW w:w="500" w:type="pct"/>
            <w:shd w:val="clear" w:color="000000" w:fill="auto"/>
            <w:noWrap/>
            <w:vAlign w:val="center"/>
            <w:hideMark/>
          </w:tcPr>
          <w:p w14:paraId="40AD76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40.731</w:t>
            </w:r>
          </w:p>
        </w:tc>
        <w:tc>
          <w:tcPr>
            <w:tcW w:w="500" w:type="pct"/>
            <w:shd w:val="clear" w:color="000000" w:fill="auto"/>
            <w:noWrap/>
            <w:vAlign w:val="center"/>
            <w:hideMark/>
          </w:tcPr>
          <w:p w14:paraId="599C15B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27.158</w:t>
            </w:r>
          </w:p>
        </w:tc>
        <w:tc>
          <w:tcPr>
            <w:tcW w:w="500" w:type="pct"/>
            <w:shd w:val="clear" w:color="000000" w:fill="auto"/>
            <w:noWrap/>
            <w:vAlign w:val="center"/>
            <w:hideMark/>
          </w:tcPr>
          <w:p w14:paraId="53F9AD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1.496</w:t>
            </w:r>
          </w:p>
        </w:tc>
        <w:tc>
          <w:tcPr>
            <w:tcW w:w="500" w:type="pct"/>
            <w:shd w:val="clear" w:color="000000" w:fill="auto"/>
            <w:noWrap/>
            <w:vAlign w:val="center"/>
            <w:hideMark/>
          </w:tcPr>
          <w:p w14:paraId="2C8C69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808</w:t>
            </w:r>
          </w:p>
        </w:tc>
        <w:tc>
          <w:tcPr>
            <w:tcW w:w="500" w:type="pct"/>
            <w:shd w:val="clear" w:color="000000" w:fill="auto"/>
            <w:noWrap/>
            <w:vAlign w:val="center"/>
            <w:hideMark/>
          </w:tcPr>
          <w:p w14:paraId="21C30A3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70.193</w:t>
            </w:r>
          </w:p>
        </w:tc>
      </w:tr>
      <w:tr w:rsidR="00535FE1" w:rsidRPr="00F05605" w14:paraId="2C20197F" w14:textId="77777777" w:rsidTr="00535FE1">
        <w:trPr>
          <w:trHeight w:val="290"/>
        </w:trPr>
        <w:tc>
          <w:tcPr>
            <w:tcW w:w="500" w:type="pct"/>
            <w:shd w:val="clear" w:color="000000" w:fill="auto"/>
            <w:noWrap/>
            <w:vAlign w:val="bottom"/>
            <w:hideMark/>
          </w:tcPr>
          <w:p w14:paraId="1C260B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N_78 </w:t>
            </w:r>
          </w:p>
        </w:tc>
        <w:tc>
          <w:tcPr>
            <w:tcW w:w="500" w:type="pct"/>
            <w:shd w:val="clear" w:color="000000" w:fill="auto"/>
            <w:noWrap/>
            <w:vAlign w:val="center"/>
            <w:hideMark/>
          </w:tcPr>
          <w:p w14:paraId="7A8A9B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357.569</w:t>
            </w:r>
          </w:p>
        </w:tc>
        <w:tc>
          <w:tcPr>
            <w:tcW w:w="500" w:type="pct"/>
            <w:shd w:val="clear" w:color="000000" w:fill="auto"/>
            <w:noWrap/>
            <w:vAlign w:val="center"/>
            <w:hideMark/>
          </w:tcPr>
          <w:p w14:paraId="3286C8A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83.935</w:t>
            </w:r>
          </w:p>
        </w:tc>
        <w:tc>
          <w:tcPr>
            <w:tcW w:w="500" w:type="pct"/>
            <w:shd w:val="clear" w:color="000000" w:fill="auto"/>
            <w:noWrap/>
            <w:vAlign w:val="center"/>
            <w:hideMark/>
          </w:tcPr>
          <w:p w14:paraId="77CBB04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36.041</w:t>
            </w:r>
          </w:p>
        </w:tc>
        <w:tc>
          <w:tcPr>
            <w:tcW w:w="500" w:type="pct"/>
            <w:shd w:val="clear" w:color="000000" w:fill="auto"/>
            <w:noWrap/>
            <w:vAlign w:val="center"/>
            <w:hideMark/>
          </w:tcPr>
          <w:p w14:paraId="5C35EA2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477.545</w:t>
            </w:r>
          </w:p>
        </w:tc>
        <w:tc>
          <w:tcPr>
            <w:tcW w:w="500" w:type="pct"/>
            <w:shd w:val="clear" w:color="000000" w:fill="auto"/>
            <w:noWrap/>
            <w:vAlign w:val="center"/>
            <w:hideMark/>
          </w:tcPr>
          <w:p w14:paraId="1B63F47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122.764</w:t>
            </w:r>
          </w:p>
        </w:tc>
        <w:tc>
          <w:tcPr>
            <w:tcW w:w="500" w:type="pct"/>
            <w:shd w:val="clear" w:color="000000" w:fill="auto"/>
            <w:noWrap/>
            <w:vAlign w:val="center"/>
            <w:hideMark/>
          </w:tcPr>
          <w:p w14:paraId="64A74CF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81.856</w:t>
            </w:r>
          </w:p>
        </w:tc>
        <w:tc>
          <w:tcPr>
            <w:tcW w:w="500" w:type="pct"/>
            <w:shd w:val="clear" w:color="000000" w:fill="auto"/>
            <w:noWrap/>
            <w:vAlign w:val="center"/>
            <w:hideMark/>
          </w:tcPr>
          <w:p w14:paraId="01401B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4.509</w:t>
            </w:r>
          </w:p>
        </w:tc>
        <w:tc>
          <w:tcPr>
            <w:tcW w:w="500" w:type="pct"/>
            <w:shd w:val="clear" w:color="000000" w:fill="auto"/>
            <w:noWrap/>
            <w:vAlign w:val="center"/>
            <w:hideMark/>
          </w:tcPr>
          <w:p w14:paraId="137B895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2.434</w:t>
            </w:r>
          </w:p>
        </w:tc>
        <w:tc>
          <w:tcPr>
            <w:tcW w:w="500" w:type="pct"/>
            <w:shd w:val="clear" w:color="000000" w:fill="auto"/>
            <w:noWrap/>
            <w:vAlign w:val="center"/>
            <w:hideMark/>
          </w:tcPr>
          <w:p w14:paraId="0551BF2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211.562</w:t>
            </w:r>
          </w:p>
        </w:tc>
      </w:tr>
      <w:tr w:rsidR="00535FE1" w:rsidRPr="00F05605" w14:paraId="3AD05E49" w14:textId="77777777" w:rsidTr="00535FE1">
        <w:trPr>
          <w:trHeight w:val="290"/>
        </w:trPr>
        <w:tc>
          <w:tcPr>
            <w:tcW w:w="500" w:type="pct"/>
            <w:shd w:val="clear" w:color="000000" w:fill="auto"/>
            <w:noWrap/>
            <w:vAlign w:val="bottom"/>
            <w:hideMark/>
          </w:tcPr>
          <w:p w14:paraId="667EED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N_79 </w:t>
            </w:r>
          </w:p>
        </w:tc>
        <w:tc>
          <w:tcPr>
            <w:tcW w:w="500" w:type="pct"/>
            <w:shd w:val="clear" w:color="000000" w:fill="auto"/>
            <w:noWrap/>
            <w:vAlign w:val="center"/>
            <w:hideMark/>
          </w:tcPr>
          <w:p w14:paraId="2E75865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154.692</w:t>
            </w:r>
          </w:p>
        </w:tc>
        <w:tc>
          <w:tcPr>
            <w:tcW w:w="500" w:type="pct"/>
            <w:shd w:val="clear" w:color="000000" w:fill="auto"/>
            <w:noWrap/>
            <w:vAlign w:val="center"/>
            <w:hideMark/>
          </w:tcPr>
          <w:p w14:paraId="6DAF5D8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26.713</w:t>
            </w:r>
          </w:p>
        </w:tc>
        <w:tc>
          <w:tcPr>
            <w:tcW w:w="500" w:type="pct"/>
            <w:shd w:val="clear" w:color="000000" w:fill="auto"/>
            <w:noWrap/>
            <w:vAlign w:val="center"/>
            <w:hideMark/>
          </w:tcPr>
          <w:p w14:paraId="7BA38DB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11.470</w:t>
            </w:r>
          </w:p>
        </w:tc>
        <w:tc>
          <w:tcPr>
            <w:tcW w:w="500" w:type="pct"/>
            <w:shd w:val="clear" w:color="000000" w:fill="auto"/>
            <w:noWrap/>
            <w:vAlign w:val="center"/>
            <w:hideMark/>
          </w:tcPr>
          <w:p w14:paraId="4C80433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192.875</w:t>
            </w:r>
          </w:p>
        </w:tc>
        <w:tc>
          <w:tcPr>
            <w:tcW w:w="500" w:type="pct"/>
            <w:shd w:val="clear" w:color="000000" w:fill="auto"/>
            <w:noWrap/>
            <w:vAlign w:val="center"/>
            <w:hideMark/>
          </w:tcPr>
          <w:p w14:paraId="6F9FE6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39.070</w:t>
            </w:r>
          </w:p>
        </w:tc>
        <w:tc>
          <w:tcPr>
            <w:tcW w:w="500" w:type="pct"/>
            <w:shd w:val="clear" w:color="000000" w:fill="auto"/>
            <w:noWrap/>
            <w:vAlign w:val="center"/>
            <w:hideMark/>
          </w:tcPr>
          <w:p w14:paraId="645131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26.051</w:t>
            </w:r>
          </w:p>
        </w:tc>
        <w:tc>
          <w:tcPr>
            <w:tcW w:w="500" w:type="pct"/>
            <w:shd w:val="clear" w:color="000000" w:fill="auto"/>
            <w:noWrap/>
            <w:vAlign w:val="center"/>
            <w:hideMark/>
          </w:tcPr>
          <w:p w14:paraId="19F0EF7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1.435</w:t>
            </w:r>
          </w:p>
        </w:tc>
        <w:tc>
          <w:tcPr>
            <w:tcW w:w="500" w:type="pct"/>
            <w:shd w:val="clear" w:color="000000" w:fill="auto"/>
            <w:noWrap/>
            <w:vAlign w:val="center"/>
            <w:hideMark/>
          </w:tcPr>
          <w:p w14:paraId="4B1FD8E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775</w:t>
            </w:r>
          </w:p>
        </w:tc>
        <w:tc>
          <w:tcPr>
            <w:tcW w:w="500" w:type="pct"/>
            <w:shd w:val="clear" w:color="000000" w:fill="auto"/>
            <w:noWrap/>
            <w:vAlign w:val="center"/>
            <w:hideMark/>
          </w:tcPr>
          <w:p w14:paraId="1FD1485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67.330</w:t>
            </w:r>
          </w:p>
        </w:tc>
      </w:tr>
      <w:tr w:rsidR="00535FE1" w:rsidRPr="00F05605" w14:paraId="107AFB90" w14:textId="77777777" w:rsidTr="00535FE1">
        <w:trPr>
          <w:trHeight w:val="290"/>
        </w:trPr>
        <w:tc>
          <w:tcPr>
            <w:tcW w:w="500" w:type="pct"/>
            <w:shd w:val="clear" w:color="000000" w:fill="auto"/>
            <w:noWrap/>
            <w:vAlign w:val="bottom"/>
            <w:hideMark/>
          </w:tcPr>
          <w:p w14:paraId="66BDF0F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N_80 </w:t>
            </w:r>
          </w:p>
        </w:tc>
        <w:tc>
          <w:tcPr>
            <w:tcW w:w="500" w:type="pct"/>
            <w:shd w:val="clear" w:color="000000" w:fill="auto"/>
            <w:noWrap/>
            <w:vAlign w:val="center"/>
            <w:hideMark/>
          </w:tcPr>
          <w:p w14:paraId="1FD1CA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129.892</w:t>
            </w:r>
          </w:p>
        </w:tc>
        <w:tc>
          <w:tcPr>
            <w:tcW w:w="500" w:type="pct"/>
            <w:shd w:val="clear" w:color="000000" w:fill="auto"/>
            <w:noWrap/>
            <w:vAlign w:val="center"/>
            <w:hideMark/>
          </w:tcPr>
          <w:p w14:paraId="4E41803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24.541</w:t>
            </w:r>
          </w:p>
        </w:tc>
        <w:tc>
          <w:tcPr>
            <w:tcW w:w="500" w:type="pct"/>
            <w:shd w:val="clear" w:color="000000" w:fill="auto"/>
            <w:noWrap/>
            <w:vAlign w:val="center"/>
            <w:hideMark/>
          </w:tcPr>
          <w:p w14:paraId="41E14F0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10.537</w:t>
            </w:r>
          </w:p>
        </w:tc>
        <w:tc>
          <w:tcPr>
            <w:tcW w:w="500" w:type="pct"/>
            <w:shd w:val="clear" w:color="000000" w:fill="auto"/>
            <w:noWrap/>
            <w:vAlign w:val="center"/>
            <w:hideMark/>
          </w:tcPr>
          <w:p w14:paraId="7BA148C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164.970</w:t>
            </w:r>
          </w:p>
        </w:tc>
        <w:tc>
          <w:tcPr>
            <w:tcW w:w="500" w:type="pct"/>
            <w:shd w:val="clear" w:color="000000" w:fill="auto"/>
            <w:noWrap/>
            <w:vAlign w:val="center"/>
            <w:hideMark/>
          </w:tcPr>
          <w:p w14:paraId="757121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35.893</w:t>
            </w:r>
          </w:p>
        </w:tc>
        <w:tc>
          <w:tcPr>
            <w:tcW w:w="500" w:type="pct"/>
            <w:shd w:val="clear" w:color="000000" w:fill="auto"/>
            <w:noWrap/>
            <w:vAlign w:val="center"/>
            <w:hideMark/>
          </w:tcPr>
          <w:p w14:paraId="101C42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23.933</w:t>
            </w:r>
          </w:p>
        </w:tc>
        <w:tc>
          <w:tcPr>
            <w:tcW w:w="500" w:type="pct"/>
            <w:shd w:val="clear" w:color="000000" w:fill="auto"/>
            <w:noWrap/>
            <w:vAlign w:val="center"/>
            <w:hideMark/>
          </w:tcPr>
          <w:p w14:paraId="2734702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1.318</w:t>
            </w:r>
          </w:p>
        </w:tc>
        <w:tc>
          <w:tcPr>
            <w:tcW w:w="500" w:type="pct"/>
            <w:shd w:val="clear" w:color="000000" w:fill="auto"/>
            <w:noWrap/>
            <w:vAlign w:val="center"/>
            <w:hideMark/>
          </w:tcPr>
          <w:p w14:paraId="21BF705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712</w:t>
            </w:r>
          </w:p>
        </w:tc>
        <w:tc>
          <w:tcPr>
            <w:tcW w:w="500" w:type="pct"/>
            <w:shd w:val="clear" w:color="000000" w:fill="auto"/>
            <w:noWrap/>
            <w:vAlign w:val="center"/>
            <w:hideMark/>
          </w:tcPr>
          <w:p w14:paraId="4844BFB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61.856</w:t>
            </w:r>
          </w:p>
        </w:tc>
      </w:tr>
      <w:tr w:rsidR="00535FE1" w:rsidRPr="00F05605" w14:paraId="3A866A84" w14:textId="77777777" w:rsidTr="00535FE1">
        <w:trPr>
          <w:trHeight w:val="290"/>
        </w:trPr>
        <w:tc>
          <w:tcPr>
            <w:tcW w:w="500" w:type="pct"/>
            <w:shd w:val="clear" w:color="000000" w:fill="auto"/>
            <w:noWrap/>
            <w:vAlign w:val="bottom"/>
            <w:hideMark/>
          </w:tcPr>
          <w:p w14:paraId="59118C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N_81 </w:t>
            </w:r>
          </w:p>
        </w:tc>
        <w:tc>
          <w:tcPr>
            <w:tcW w:w="500" w:type="pct"/>
            <w:shd w:val="clear" w:color="000000" w:fill="auto"/>
            <w:noWrap/>
            <w:vAlign w:val="center"/>
            <w:hideMark/>
          </w:tcPr>
          <w:p w14:paraId="1142CF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55.426</w:t>
            </w:r>
          </w:p>
        </w:tc>
        <w:tc>
          <w:tcPr>
            <w:tcW w:w="500" w:type="pct"/>
            <w:shd w:val="clear" w:color="000000" w:fill="auto"/>
            <w:noWrap/>
            <w:vAlign w:val="center"/>
            <w:hideMark/>
          </w:tcPr>
          <w:p w14:paraId="4B2B13F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9.253</w:t>
            </w:r>
          </w:p>
        </w:tc>
        <w:tc>
          <w:tcPr>
            <w:tcW w:w="500" w:type="pct"/>
            <w:shd w:val="clear" w:color="000000" w:fill="auto"/>
            <w:noWrap/>
            <w:vAlign w:val="center"/>
            <w:hideMark/>
          </w:tcPr>
          <w:p w14:paraId="4EAA97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3.973</w:t>
            </w:r>
          </w:p>
        </w:tc>
        <w:tc>
          <w:tcPr>
            <w:tcW w:w="500" w:type="pct"/>
            <w:shd w:val="clear" w:color="000000" w:fill="auto"/>
            <w:noWrap/>
            <w:vAlign w:val="center"/>
            <w:hideMark/>
          </w:tcPr>
          <w:p w14:paraId="0193D9E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68.651</w:t>
            </w:r>
          </w:p>
        </w:tc>
        <w:tc>
          <w:tcPr>
            <w:tcW w:w="500" w:type="pct"/>
            <w:shd w:val="clear" w:color="000000" w:fill="auto"/>
            <w:noWrap/>
            <w:vAlign w:val="center"/>
            <w:hideMark/>
          </w:tcPr>
          <w:p w14:paraId="201A8B1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13.533</w:t>
            </w:r>
          </w:p>
        </w:tc>
        <w:tc>
          <w:tcPr>
            <w:tcW w:w="500" w:type="pct"/>
            <w:shd w:val="clear" w:color="000000" w:fill="auto"/>
            <w:noWrap/>
            <w:vAlign w:val="center"/>
            <w:hideMark/>
          </w:tcPr>
          <w:p w14:paraId="3555EE7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9.023</w:t>
            </w:r>
          </w:p>
        </w:tc>
        <w:tc>
          <w:tcPr>
            <w:tcW w:w="500" w:type="pct"/>
            <w:shd w:val="clear" w:color="000000" w:fill="auto"/>
            <w:noWrap/>
            <w:vAlign w:val="center"/>
            <w:hideMark/>
          </w:tcPr>
          <w:p w14:paraId="3CA9D7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497</w:t>
            </w:r>
          </w:p>
        </w:tc>
        <w:tc>
          <w:tcPr>
            <w:tcW w:w="500" w:type="pct"/>
            <w:shd w:val="clear" w:color="000000" w:fill="auto"/>
            <w:noWrap/>
            <w:vAlign w:val="center"/>
            <w:hideMark/>
          </w:tcPr>
          <w:p w14:paraId="5AB6AB6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268</w:t>
            </w:r>
          </w:p>
        </w:tc>
        <w:tc>
          <w:tcPr>
            <w:tcW w:w="500" w:type="pct"/>
            <w:shd w:val="clear" w:color="000000" w:fill="auto"/>
            <w:noWrap/>
            <w:vAlign w:val="center"/>
            <w:hideMark/>
          </w:tcPr>
          <w:p w14:paraId="2CD9CC7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23.321</w:t>
            </w:r>
          </w:p>
        </w:tc>
      </w:tr>
      <w:tr w:rsidR="00535FE1" w:rsidRPr="00F05605" w14:paraId="674ADBE9" w14:textId="77777777" w:rsidTr="00535FE1">
        <w:trPr>
          <w:trHeight w:val="290"/>
        </w:trPr>
        <w:tc>
          <w:tcPr>
            <w:tcW w:w="500" w:type="pct"/>
            <w:shd w:val="clear" w:color="000000" w:fill="auto"/>
            <w:noWrap/>
            <w:vAlign w:val="bottom"/>
            <w:hideMark/>
          </w:tcPr>
          <w:p w14:paraId="51B1300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N_82 </w:t>
            </w:r>
          </w:p>
        </w:tc>
        <w:tc>
          <w:tcPr>
            <w:tcW w:w="500" w:type="pct"/>
            <w:shd w:val="clear" w:color="000000" w:fill="auto"/>
            <w:noWrap/>
            <w:vAlign w:val="center"/>
            <w:hideMark/>
          </w:tcPr>
          <w:p w14:paraId="158B7F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326.170</w:t>
            </w:r>
          </w:p>
        </w:tc>
        <w:tc>
          <w:tcPr>
            <w:tcW w:w="500" w:type="pct"/>
            <w:shd w:val="clear" w:color="000000" w:fill="auto"/>
            <w:noWrap/>
            <w:vAlign w:val="center"/>
            <w:hideMark/>
          </w:tcPr>
          <w:p w14:paraId="23A0F27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55.456</w:t>
            </w:r>
          </w:p>
        </w:tc>
        <w:tc>
          <w:tcPr>
            <w:tcW w:w="500" w:type="pct"/>
            <w:shd w:val="clear" w:color="000000" w:fill="auto"/>
            <w:noWrap/>
            <w:vAlign w:val="center"/>
            <w:hideMark/>
          </w:tcPr>
          <w:p w14:paraId="7081979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23.812</w:t>
            </w:r>
          </w:p>
        </w:tc>
        <w:tc>
          <w:tcPr>
            <w:tcW w:w="500" w:type="pct"/>
            <w:shd w:val="clear" w:color="000000" w:fill="auto"/>
            <w:noWrap/>
            <w:vAlign w:val="center"/>
            <w:hideMark/>
          </w:tcPr>
          <w:p w14:paraId="36A2559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405.438</w:t>
            </w:r>
          </w:p>
        </w:tc>
        <w:tc>
          <w:tcPr>
            <w:tcW w:w="500" w:type="pct"/>
            <w:shd w:val="clear" w:color="000000" w:fill="auto"/>
            <w:noWrap/>
            <w:vAlign w:val="center"/>
            <w:hideMark/>
          </w:tcPr>
          <w:p w14:paraId="0CB9C5D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81.110</w:t>
            </w:r>
          </w:p>
        </w:tc>
        <w:tc>
          <w:tcPr>
            <w:tcW w:w="500" w:type="pct"/>
            <w:shd w:val="clear" w:color="000000" w:fill="auto"/>
            <w:noWrap/>
            <w:vAlign w:val="center"/>
            <w:hideMark/>
          </w:tcPr>
          <w:p w14:paraId="4DE78FF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54.082</w:t>
            </w:r>
          </w:p>
        </w:tc>
        <w:tc>
          <w:tcPr>
            <w:tcW w:w="500" w:type="pct"/>
            <w:shd w:val="clear" w:color="000000" w:fill="auto"/>
            <w:noWrap/>
            <w:vAlign w:val="center"/>
            <w:hideMark/>
          </w:tcPr>
          <w:p w14:paraId="478BB04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2.979</w:t>
            </w:r>
          </w:p>
        </w:tc>
        <w:tc>
          <w:tcPr>
            <w:tcW w:w="500" w:type="pct"/>
            <w:shd w:val="clear" w:color="000000" w:fill="auto"/>
            <w:noWrap/>
            <w:vAlign w:val="center"/>
            <w:hideMark/>
          </w:tcPr>
          <w:p w14:paraId="54F7808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1.608</w:t>
            </w:r>
          </w:p>
        </w:tc>
        <w:tc>
          <w:tcPr>
            <w:tcW w:w="500" w:type="pct"/>
            <w:shd w:val="clear" w:color="000000" w:fill="auto"/>
            <w:noWrap/>
            <w:vAlign w:val="center"/>
            <w:hideMark/>
          </w:tcPr>
          <w:p w14:paraId="360B370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139.778</w:t>
            </w:r>
          </w:p>
        </w:tc>
      </w:tr>
      <w:tr w:rsidR="00535FE1" w:rsidRPr="00F05605" w14:paraId="14E71C5B" w14:textId="77777777" w:rsidTr="00535FE1">
        <w:trPr>
          <w:trHeight w:val="290"/>
        </w:trPr>
        <w:tc>
          <w:tcPr>
            <w:tcW w:w="500" w:type="pct"/>
            <w:shd w:val="clear" w:color="000000" w:fill="auto"/>
            <w:noWrap/>
            <w:vAlign w:val="bottom"/>
            <w:hideMark/>
          </w:tcPr>
          <w:p w14:paraId="3DE367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N_83 </w:t>
            </w:r>
          </w:p>
        </w:tc>
        <w:tc>
          <w:tcPr>
            <w:tcW w:w="500" w:type="pct"/>
            <w:shd w:val="clear" w:color="000000" w:fill="auto"/>
            <w:noWrap/>
            <w:vAlign w:val="center"/>
            <w:hideMark/>
          </w:tcPr>
          <w:p w14:paraId="580EAAC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165.921</w:t>
            </w:r>
          </w:p>
        </w:tc>
        <w:tc>
          <w:tcPr>
            <w:tcW w:w="500" w:type="pct"/>
            <w:shd w:val="clear" w:color="000000" w:fill="auto"/>
            <w:noWrap/>
            <w:vAlign w:val="center"/>
            <w:hideMark/>
          </w:tcPr>
          <w:p w14:paraId="45BB53B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50.280</w:t>
            </w:r>
          </w:p>
        </w:tc>
        <w:tc>
          <w:tcPr>
            <w:tcW w:w="500" w:type="pct"/>
            <w:shd w:val="clear" w:color="000000" w:fill="auto"/>
            <w:noWrap/>
            <w:vAlign w:val="center"/>
            <w:hideMark/>
          </w:tcPr>
          <w:p w14:paraId="3E8753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54.704</w:t>
            </w:r>
          </w:p>
        </w:tc>
        <w:tc>
          <w:tcPr>
            <w:tcW w:w="500" w:type="pct"/>
            <w:shd w:val="clear" w:color="000000" w:fill="auto"/>
            <w:noWrap/>
            <w:vAlign w:val="center"/>
            <w:hideMark/>
          </w:tcPr>
          <w:p w14:paraId="68A5808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270.905</w:t>
            </w:r>
          </w:p>
        </w:tc>
        <w:tc>
          <w:tcPr>
            <w:tcW w:w="500" w:type="pct"/>
            <w:shd w:val="clear" w:color="000000" w:fill="auto"/>
            <w:noWrap/>
            <w:vAlign w:val="center"/>
            <w:hideMark/>
          </w:tcPr>
          <w:p w14:paraId="3041DF8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95.708</w:t>
            </w:r>
          </w:p>
        </w:tc>
        <w:tc>
          <w:tcPr>
            <w:tcW w:w="500" w:type="pct"/>
            <w:shd w:val="clear" w:color="000000" w:fill="auto"/>
            <w:noWrap/>
            <w:vAlign w:val="center"/>
            <w:hideMark/>
          </w:tcPr>
          <w:p w14:paraId="6A29990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49.690</w:t>
            </w:r>
          </w:p>
        </w:tc>
        <w:tc>
          <w:tcPr>
            <w:tcW w:w="500" w:type="pct"/>
            <w:shd w:val="clear" w:color="000000" w:fill="auto"/>
            <w:noWrap/>
            <w:vAlign w:val="center"/>
            <w:hideMark/>
          </w:tcPr>
          <w:p w14:paraId="58E1AB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9.523</w:t>
            </w:r>
          </w:p>
        </w:tc>
        <w:tc>
          <w:tcPr>
            <w:tcW w:w="500" w:type="pct"/>
            <w:shd w:val="clear" w:color="000000" w:fill="auto"/>
            <w:noWrap/>
            <w:vAlign w:val="center"/>
            <w:hideMark/>
          </w:tcPr>
          <w:p w14:paraId="648942D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2.500</w:t>
            </w:r>
          </w:p>
        </w:tc>
        <w:tc>
          <w:tcPr>
            <w:tcW w:w="500" w:type="pct"/>
            <w:shd w:val="clear" w:color="000000" w:fill="auto"/>
            <w:noWrap/>
            <w:vAlign w:val="center"/>
            <w:hideMark/>
          </w:tcPr>
          <w:p w14:paraId="00D5609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157.420</w:t>
            </w:r>
          </w:p>
        </w:tc>
      </w:tr>
      <w:tr w:rsidR="00535FE1" w:rsidRPr="00F05605" w14:paraId="6A9593CF" w14:textId="77777777" w:rsidTr="00535FE1">
        <w:trPr>
          <w:trHeight w:val="290"/>
        </w:trPr>
        <w:tc>
          <w:tcPr>
            <w:tcW w:w="500" w:type="pct"/>
            <w:shd w:val="clear" w:color="000000" w:fill="auto"/>
            <w:noWrap/>
            <w:vAlign w:val="bottom"/>
            <w:hideMark/>
          </w:tcPr>
          <w:p w14:paraId="01379B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N_84 </w:t>
            </w:r>
          </w:p>
        </w:tc>
        <w:tc>
          <w:tcPr>
            <w:tcW w:w="500" w:type="pct"/>
            <w:shd w:val="clear" w:color="000000" w:fill="auto"/>
            <w:noWrap/>
            <w:vAlign w:val="center"/>
            <w:hideMark/>
          </w:tcPr>
          <w:p w14:paraId="4D66131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16.414</w:t>
            </w:r>
          </w:p>
        </w:tc>
        <w:tc>
          <w:tcPr>
            <w:tcW w:w="500" w:type="pct"/>
            <w:shd w:val="clear" w:color="000000" w:fill="auto"/>
            <w:noWrap/>
            <w:vAlign w:val="center"/>
            <w:hideMark/>
          </w:tcPr>
          <w:p w14:paraId="5FF7A4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436</w:t>
            </w:r>
          </w:p>
        </w:tc>
        <w:tc>
          <w:tcPr>
            <w:tcW w:w="500" w:type="pct"/>
            <w:shd w:val="clear" w:color="000000" w:fill="auto"/>
            <w:noWrap/>
            <w:vAlign w:val="center"/>
            <w:hideMark/>
          </w:tcPr>
          <w:p w14:paraId="3A6F8E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474</w:t>
            </w:r>
          </w:p>
        </w:tc>
        <w:tc>
          <w:tcPr>
            <w:tcW w:w="500" w:type="pct"/>
            <w:shd w:val="clear" w:color="000000" w:fill="auto"/>
            <w:noWrap/>
            <w:vAlign w:val="center"/>
            <w:hideMark/>
          </w:tcPr>
          <w:p w14:paraId="64C384E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17.325</w:t>
            </w:r>
          </w:p>
        </w:tc>
        <w:tc>
          <w:tcPr>
            <w:tcW w:w="500" w:type="pct"/>
            <w:shd w:val="clear" w:color="000000" w:fill="auto"/>
            <w:noWrap/>
            <w:vAlign w:val="center"/>
            <w:hideMark/>
          </w:tcPr>
          <w:p w14:paraId="3BCEA47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830</w:t>
            </w:r>
          </w:p>
        </w:tc>
        <w:tc>
          <w:tcPr>
            <w:tcW w:w="500" w:type="pct"/>
            <w:shd w:val="clear" w:color="000000" w:fill="auto"/>
            <w:noWrap/>
            <w:vAlign w:val="center"/>
            <w:hideMark/>
          </w:tcPr>
          <w:p w14:paraId="0188C1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431</w:t>
            </w:r>
          </w:p>
        </w:tc>
        <w:tc>
          <w:tcPr>
            <w:tcW w:w="500" w:type="pct"/>
            <w:shd w:val="clear" w:color="000000" w:fill="auto"/>
            <w:noWrap/>
            <w:vAlign w:val="center"/>
            <w:hideMark/>
          </w:tcPr>
          <w:p w14:paraId="766A81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w:t>
            </w:r>
          </w:p>
        </w:tc>
        <w:tc>
          <w:tcPr>
            <w:tcW w:w="500" w:type="pct"/>
            <w:shd w:val="clear" w:color="000000" w:fill="auto"/>
            <w:noWrap/>
            <w:vAlign w:val="center"/>
            <w:hideMark/>
          </w:tcPr>
          <w:p w14:paraId="6EF40F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w:t>
            </w:r>
          </w:p>
        </w:tc>
        <w:tc>
          <w:tcPr>
            <w:tcW w:w="500" w:type="pct"/>
            <w:shd w:val="clear" w:color="000000" w:fill="auto"/>
            <w:noWrap/>
            <w:vAlign w:val="center"/>
            <w:hideMark/>
          </w:tcPr>
          <w:p w14:paraId="24123C0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1.365</w:t>
            </w:r>
          </w:p>
        </w:tc>
      </w:tr>
      <w:tr w:rsidR="00535FE1" w:rsidRPr="00F05605" w14:paraId="4C05ADE2" w14:textId="77777777" w:rsidTr="00535FE1">
        <w:trPr>
          <w:trHeight w:val="290"/>
        </w:trPr>
        <w:tc>
          <w:tcPr>
            <w:tcW w:w="500" w:type="pct"/>
            <w:shd w:val="clear" w:color="000000" w:fill="auto"/>
            <w:noWrap/>
            <w:vAlign w:val="bottom"/>
            <w:hideMark/>
          </w:tcPr>
          <w:p w14:paraId="075460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N_85 </w:t>
            </w:r>
          </w:p>
        </w:tc>
        <w:tc>
          <w:tcPr>
            <w:tcW w:w="500" w:type="pct"/>
            <w:shd w:val="clear" w:color="000000" w:fill="auto"/>
            <w:noWrap/>
            <w:vAlign w:val="center"/>
            <w:hideMark/>
          </w:tcPr>
          <w:p w14:paraId="4AF5326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345.233</w:t>
            </w:r>
          </w:p>
        </w:tc>
        <w:tc>
          <w:tcPr>
            <w:tcW w:w="500" w:type="pct"/>
            <w:shd w:val="clear" w:color="000000" w:fill="auto"/>
            <w:noWrap/>
            <w:vAlign w:val="center"/>
            <w:hideMark/>
          </w:tcPr>
          <w:p w14:paraId="3B9C74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98.016</w:t>
            </w:r>
          </w:p>
        </w:tc>
        <w:tc>
          <w:tcPr>
            <w:tcW w:w="500" w:type="pct"/>
            <w:shd w:val="clear" w:color="000000" w:fill="auto"/>
            <w:noWrap/>
            <w:vAlign w:val="center"/>
            <w:hideMark/>
          </w:tcPr>
          <w:p w14:paraId="7C39202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42.087</w:t>
            </w:r>
          </w:p>
        </w:tc>
        <w:tc>
          <w:tcPr>
            <w:tcW w:w="500" w:type="pct"/>
            <w:shd w:val="clear" w:color="000000" w:fill="auto"/>
            <w:noWrap/>
            <w:vAlign w:val="center"/>
            <w:hideMark/>
          </w:tcPr>
          <w:p w14:paraId="36936FE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485.335</w:t>
            </w:r>
          </w:p>
        </w:tc>
        <w:tc>
          <w:tcPr>
            <w:tcW w:w="500" w:type="pct"/>
            <w:shd w:val="clear" w:color="000000" w:fill="auto"/>
            <w:noWrap/>
            <w:vAlign w:val="center"/>
            <w:hideMark/>
          </w:tcPr>
          <w:p w14:paraId="5138D4F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143.358</w:t>
            </w:r>
          </w:p>
        </w:tc>
        <w:tc>
          <w:tcPr>
            <w:tcW w:w="500" w:type="pct"/>
            <w:shd w:val="clear" w:color="000000" w:fill="auto"/>
            <w:noWrap/>
            <w:vAlign w:val="center"/>
            <w:hideMark/>
          </w:tcPr>
          <w:p w14:paraId="0C4E349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95.587</w:t>
            </w:r>
          </w:p>
        </w:tc>
        <w:tc>
          <w:tcPr>
            <w:tcW w:w="500" w:type="pct"/>
            <w:shd w:val="clear" w:color="000000" w:fill="auto"/>
            <w:noWrap/>
            <w:vAlign w:val="center"/>
            <w:hideMark/>
          </w:tcPr>
          <w:p w14:paraId="2F433A5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5.265</w:t>
            </w:r>
          </w:p>
        </w:tc>
        <w:tc>
          <w:tcPr>
            <w:tcW w:w="500" w:type="pct"/>
            <w:shd w:val="clear" w:color="000000" w:fill="auto"/>
            <w:noWrap/>
            <w:vAlign w:val="center"/>
            <w:hideMark/>
          </w:tcPr>
          <w:p w14:paraId="41215CF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2.843</w:t>
            </w:r>
          </w:p>
        </w:tc>
        <w:tc>
          <w:tcPr>
            <w:tcW w:w="500" w:type="pct"/>
            <w:shd w:val="clear" w:color="000000" w:fill="auto"/>
            <w:noWrap/>
            <w:vAlign w:val="center"/>
            <w:hideMark/>
          </w:tcPr>
          <w:p w14:paraId="37F84F4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247.053</w:t>
            </w:r>
          </w:p>
        </w:tc>
      </w:tr>
      <w:tr w:rsidR="00535FE1" w:rsidRPr="00F05605" w14:paraId="694D1600" w14:textId="77777777" w:rsidTr="00535FE1">
        <w:trPr>
          <w:trHeight w:val="290"/>
        </w:trPr>
        <w:tc>
          <w:tcPr>
            <w:tcW w:w="500" w:type="pct"/>
            <w:shd w:val="clear" w:color="000000" w:fill="auto"/>
            <w:noWrap/>
            <w:vAlign w:val="bottom"/>
            <w:hideMark/>
          </w:tcPr>
          <w:p w14:paraId="10EC8A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N_86 </w:t>
            </w:r>
          </w:p>
        </w:tc>
        <w:tc>
          <w:tcPr>
            <w:tcW w:w="500" w:type="pct"/>
            <w:shd w:val="clear" w:color="000000" w:fill="auto"/>
            <w:noWrap/>
            <w:vAlign w:val="center"/>
            <w:hideMark/>
          </w:tcPr>
          <w:p w14:paraId="5D7E8A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91.644</w:t>
            </w:r>
          </w:p>
        </w:tc>
        <w:tc>
          <w:tcPr>
            <w:tcW w:w="500" w:type="pct"/>
            <w:shd w:val="clear" w:color="000000" w:fill="auto"/>
            <w:noWrap/>
            <w:vAlign w:val="center"/>
            <w:hideMark/>
          </w:tcPr>
          <w:p w14:paraId="5AA20C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27.671</w:t>
            </w:r>
          </w:p>
        </w:tc>
        <w:tc>
          <w:tcPr>
            <w:tcW w:w="500" w:type="pct"/>
            <w:shd w:val="clear" w:color="000000" w:fill="auto"/>
            <w:noWrap/>
            <w:vAlign w:val="center"/>
            <w:hideMark/>
          </w:tcPr>
          <w:p w14:paraId="15D726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11.881</w:t>
            </w:r>
          </w:p>
        </w:tc>
        <w:tc>
          <w:tcPr>
            <w:tcW w:w="500" w:type="pct"/>
            <w:shd w:val="clear" w:color="000000" w:fill="auto"/>
            <w:noWrap/>
            <w:vAlign w:val="center"/>
            <w:hideMark/>
          </w:tcPr>
          <w:p w14:paraId="79DBE33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131.197</w:t>
            </w:r>
          </w:p>
        </w:tc>
        <w:tc>
          <w:tcPr>
            <w:tcW w:w="500" w:type="pct"/>
            <w:shd w:val="clear" w:color="000000" w:fill="auto"/>
            <w:noWrap/>
            <w:vAlign w:val="center"/>
            <w:hideMark/>
          </w:tcPr>
          <w:p w14:paraId="03A99A8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40.471</w:t>
            </w:r>
          </w:p>
        </w:tc>
        <w:tc>
          <w:tcPr>
            <w:tcW w:w="500" w:type="pct"/>
            <w:shd w:val="clear" w:color="000000" w:fill="auto"/>
            <w:noWrap/>
            <w:vAlign w:val="center"/>
            <w:hideMark/>
          </w:tcPr>
          <w:p w14:paraId="1C9A71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26.985</w:t>
            </w:r>
          </w:p>
        </w:tc>
        <w:tc>
          <w:tcPr>
            <w:tcW w:w="500" w:type="pct"/>
            <w:shd w:val="clear" w:color="000000" w:fill="auto"/>
            <w:noWrap/>
            <w:vAlign w:val="center"/>
            <w:hideMark/>
          </w:tcPr>
          <w:p w14:paraId="6C0FA51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1.486</w:t>
            </w:r>
          </w:p>
        </w:tc>
        <w:tc>
          <w:tcPr>
            <w:tcW w:w="500" w:type="pct"/>
            <w:shd w:val="clear" w:color="000000" w:fill="auto"/>
            <w:noWrap/>
            <w:vAlign w:val="center"/>
            <w:hideMark/>
          </w:tcPr>
          <w:p w14:paraId="2F3D7A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803</w:t>
            </w:r>
          </w:p>
        </w:tc>
        <w:tc>
          <w:tcPr>
            <w:tcW w:w="500" w:type="pct"/>
            <w:shd w:val="clear" w:color="000000" w:fill="auto"/>
            <w:noWrap/>
            <w:vAlign w:val="center"/>
            <w:hideMark/>
          </w:tcPr>
          <w:p w14:paraId="64854FA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69.746</w:t>
            </w:r>
          </w:p>
        </w:tc>
      </w:tr>
      <w:tr w:rsidR="00535FE1" w:rsidRPr="00F05605" w14:paraId="5F19DCDD" w14:textId="77777777" w:rsidTr="00535FE1">
        <w:trPr>
          <w:trHeight w:val="290"/>
        </w:trPr>
        <w:tc>
          <w:tcPr>
            <w:tcW w:w="500" w:type="pct"/>
            <w:shd w:val="clear" w:color="000000" w:fill="auto"/>
            <w:noWrap/>
            <w:vAlign w:val="bottom"/>
            <w:hideMark/>
          </w:tcPr>
          <w:p w14:paraId="4D51EC8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N_87 </w:t>
            </w:r>
          </w:p>
        </w:tc>
        <w:tc>
          <w:tcPr>
            <w:tcW w:w="500" w:type="pct"/>
            <w:shd w:val="clear" w:color="000000" w:fill="auto"/>
            <w:noWrap/>
            <w:vAlign w:val="center"/>
            <w:hideMark/>
          </w:tcPr>
          <w:p w14:paraId="5AEB81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112.538</w:t>
            </w:r>
          </w:p>
        </w:tc>
        <w:tc>
          <w:tcPr>
            <w:tcW w:w="500" w:type="pct"/>
            <w:shd w:val="clear" w:color="000000" w:fill="auto"/>
            <w:noWrap/>
            <w:vAlign w:val="center"/>
            <w:hideMark/>
          </w:tcPr>
          <w:p w14:paraId="17C3E98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2.125</w:t>
            </w:r>
          </w:p>
        </w:tc>
        <w:tc>
          <w:tcPr>
            <w:tcW w:w="500" w:type="pct"/>
            <w:shd w:val="clear" w:color="000000" w:fill="auto"/>
            <w:noWrap/>
            <w:vAlign w:val="center"/>
            <w:hideMark/>
          </w:tcPr>
          <w:p w14:paraId="51E1E2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2.312</w:t>
            </w:r>
          </w:p>
        </w:tc>
        <w:tc>
          <w:tcPr>
            <w:tcW w:w="500" w:type="pct"/>
            <w:shd w:val="clear" w:color="000000" w:fill="auto"/>
            <w:noWrap/>
            <w:vAlign w:val="center"/>
            <w:hideMark/>
          </w:tcPr>
          <w:p w14:paraId="61C5381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116.975</w:t>
            </w:r>
          </w:p>
        </w:tc>
        <w:tc>
          <w:tcPr>
            <w:tcW w:w="500" w:type="pct"/>
            <w:shd w:val="clear" w:color="000000" w:fill="auto"/>
            <w:noWrap/>
            <w:vAlign w:val="center"/>
            <w:hideMark/>
          </w:tcPr>
          <w:p w14:paraId="6604CD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4.045</w:t>
            </w:r>
          </w:p>
        </w:tc>
        <w:tc>
          <w:tcPr>
            <w:tcW w:w="500" w:type="pct"/>
            <w:shd w:val="clear" w:color="000000" w:fill="auto"/>
            <w:noWrap/>
            <w:vAlign w:val="center"/>
            <w:hideMark/>
          </w:tcPr>
          <w:p w14:paraId="6141F6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2.100</w:t>
            </w:r>
          </w:p>
        </w:tc>
        <w:tc>
          <w:tcPr>
            <w:tcW w:w="500" w:type="pct"/>
            <w:shd w:val="clear" w:color="000000" w:fill="auto"/>
            <w:noWrap/>
            <w:vAlign w:val="center"/>
            <w:hideMark/>
          </w:tcPr>
          <w:p w14:paraId="3AA8A9D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402</w:t>
            </w:r>
          </w:p>
        </w:tc>
        <w:tc>
          <w:tcPr>
            <w:tcW w:w="500" w:type="pct"/>
            <w:shd w:val="clear" w:color="000000" w:fill="auto"/>
            <w:noWrap/>
            <w:vAlign w:val="center"/>
            <w:hideMark/>
          </w:tcPr>
          <w:p w14:paraId="7387AA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106</w:t>
            </w:r>
          </w:p>
        </w:tc>
        <w:tc>
          <w:tcPr>
            <w:tcW w:w="500" w:type="pct"/>
            <w:shd w:val="clear" w:color="000000" w:fill="auto"/>
            <w:noWrap/>
            <w:vAlign w:val="center"/>
            <w:hideMark/>
          </w:tcPr>
          <w:p w14:paraId="36B1D3D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6.653</w:t>
            </w:r>
          </w:p>
        </w:tc>
      </w:tr>
      <w:tr w:rsidR="00535FE1" w:rsidRPr="00F05605" w14:paraId="7E1684F0" w14:textId="77777777" w:rsidTr="00535FE1">
        <w:trPr>
          <w:trHeight w:val="290"/>
        </w:trPr>
        <w:tc>
          <w:tcPr>
            <w:tcW w:w="500" w:type="pct"/>
            <w:shd w:val="clear" w:color="000000" w:fill="auto"/>
            <w:noWrap/>
            <w:vAlign w:val="bottom"/>
            <w:hideMark/>
          </w:tcPr>
          <w:p w14:paraId="7E3AF5B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N_88 </w:t>
            </w:r>
          </w:p>
        </w:tc>
        <w:tc>
          <w:tcPr>
            <w:tcW w:w="500" w:type="pct"/>
            <w:shd w:val="clear" w:color="000000" w:fill="auto"/>
            <w:noWrap/>
            <w:vAlign w:val="center"/>
            <w:hideMark/>
          </w:tcPr>
          <w:p w14:paraId="36F1F2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95.109</w:t>
            </w:r>
          </w:p>
        </w:tc>
        <w:tc>
          <w:tcPr>
            <w:tcW w:w="500" w:type="pct"/>
            <w:shd w:val="clear" w:color="000000" w:fill="auto"/>
            <w:noWrap/>
            <w:vAlign w:val="center"/>
            <w:hideMark/>
          </w:tcPr>
          <w:p w14:paraId="7B007E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28.255</w:t>
            </w:r>
          </w:p>
        </w:tc>
        <w:tc>
          <w:tcPr>
            <w:tcW w:w="500" w:type="pct"/>
            <w:shd w:val="clear" w:color="000000" w:fill="auto"/>
            <w:noWrap/>
            <w:vAlign w:val="center"/>
            <w:hideMark/>
          </w:tcPr>
          <w:p w14:paraId="5CFD2F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14.523</w:t>
            </w:r>
          </w:p>
        </w:tc>
        <w:tc>
          <w:tcPr>
            <w:tcW w:w="500" w:type="pct"/>
            <w:shd w:val="clear" w:color="000000" w:fill="auto"/>
            <w:noWrap/>
            <w:vAlign w:val="center"/>
            <w:hideMark/>
          </w:tcPr>
          <w:p w14:paraId="781D8A6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137.887</w:t>
            </w:r>
          </w:p>
        </w:tc>
        <w:tc>
          <w:tcPr>
            <w:tcW w:w="500" w:type="pct"/>
            <w:shd w:val="clear" w:color="000000" w:fill="auto"/>
            <w:noWrap/>
            <w:vAlign w:val="center"/>
            <w:hideMark/>
          </w:tcPr>
          <w:p w14:paraId="205461D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20.740</w:t>
            </w:r>
          </w:p>
        </w:tc>
        <w:tc>
          <w:tcPr>
            <w:tcW w:w="500" w:type="pct"/>
            <w:shd w:val="clear" w:color="000000" w:fill="auto"/>
            <w:noWrap/>
            <w:vAlign w:val="center"/>
            <w:hideMark/>
          </w:tcPr>
          <w:p w14:paraId="603A8B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27.638</w:t>
            </w:r>
          </w:p>
        </w:tc>
        <w:tc>
          <w:tcPr>
            <w:tcW w:w="500" w:type="pct"/>
            <w:shd w:val="clear" w:color="000000" w:fill="auto"/>
            <w:noWrap/>
            <w:vAlign w:val="center"/>
            <w:hideMark/>
          </w:tcPr>
          <w:p w14:paraId="40FA839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2.413</w:t>
            </w:r>
          </w:p>
        </w:tc>
        <w:tc>
          <w:tcPr>
            <w:tcW w:w="500" w:type="pct"/>
            <w:shd w:val="clear" w:color="000000" w:fill="auto"/>
            <w:noWrap/>
            <w:vAlign w:val="center"/>
            <w:hideMark/>
          </w:tcPr>
          <w:p w14:paraId="6597C2F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951</w:t>
            </w:r>
          </w:p>
        </w:tc>
        <w:tc>
          <w:tcPr>
            <w:tcW w:w="500" w:type="pct"/>
            <w:shd w:val="clear" w:color="000000" w:fill="auto"/>
            <w:noWrap/>
            <w:vAlign w:val="center"/>
            <w:hideMark/>
          </w:tcPr>
          <w:p w14:paraId="0A1FB95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51.742</w:t>
            </w:r>
          </w:p>
        </w:tc>
      </w:tr>
      <w:tr w:rsidR="00535FE1" w:rsidRPr="00F05605" w14:paraId="732F3E2E" w14:textId="77777777" w:rsidTr="00535FE1">
        <w:trPr>
          <w:trHeight w:val="290"/>
        </w:trPr>
        <w:tc>
          <w:tcPr>
            <w:tcW w:w="500" w:type="pct"/>
            <w:shd w:val="clear" w:color="000000" w:fill="auto"/>
            <w:noWrap/>
            <w:vAlign w:val="bottom"/>
            <w:hideMark/>
          </w:tcPr>
          <w:p w14:paraId="40F6E3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N_90 </w:t>
            </w:r>
          </w:p>
        </w:tc>
        <w:tc>
          <w:tcPr>
            <w:tcW w:w="500" w:type="pct"/>
            <w:shd w:val="clear" w:color="000000" w:fill="auto"/>
            <w:noWrap/>
            <w:vAlign w:val="center"/>
            <w:hideMark/>
          </w:tcPr>
          <w:p w14:paraId="5A8EDA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75.027</w:t>
            </w:r>
          </w:p>
        </w:tc>
        <w:tc>
          <w:tcPr>
            <w:tcW w:w="500" w:type="pct"/>
            <w:shd w:val="clear" w:color="000000" w:fill="auto"/>
            <w:noWrap/>
            <w:vAlign w:val="center"/>
            <w:hideMark/>
          </w:tcPr>
          <w:p w14:paraId="35562B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14.133</w:t>
            </w:r>
          </w:p>
        </w:tc>
        <w:tc>
          <w:tcPr>
            <w:tcW w:w="500" w:type="pct"/>
            <w:shd w:val="clear" w:color="000000" w:fill="auto"/>
            <w:noWrap/>
            <w:vAlign w:val="center"/>
            <w:hideMark/>
          </w:tcPr>
          <w:p w14:paraId="45C323D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7.264</w:t>
            </w:r>
          </w:p>
        </w:tc>
        <w:tc>
          <w:tcPr>
            <w:tcW w:w="500" w:type="pct"/>
            <w:shd w:val="clear" w:color="000000" w:fill="auto"/>
            <w:noWrap/>
            <w:vAlign w:val="center"/>
            <w:hideMark/>
          </w:tcPr>
          <w:p w14:paraId="6A435F7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96.425</w:t>
            </w:r>
          </w:p>
        </w:tc>
        <w:tc>
          <w:tcPr>
            <w:tcW w:w="500" w:type="pct"/>
            <w:shd w:val="clear" w:color="000000" w:fill="auto"/>
            <w:noWrap/>
            <w:vAlign w:val="center"/>
            <w:hideMark/>
          </w:tcPr>
          <w:p w14:paraId="35B299C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10.374</w:t>
            </w:r>
          </w:p>
        </w:tc>
        <w:tc>
          <w:tcPr>
            <w:tcW w:w="500" w:type="pct"/>
            <w:shd w:val="clear" w:color="000000" w:fill="auto"/>
            <w:noWrap/>
            <w:vAlign w:val="center"/>
            <w:hideMark/>
          </w:tcPr>
          <w:p w14:paraId="1FC1FB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13.825</w:t>
            </w:r>
          </w:p>
        </w:tc>
        <w:tc>
          <w:tcPr>
            <w:tcW w:w="500" w:type="pct"/>
            <w:shd w:val="clear" w:color="000000" w:fill="auto"/>
            <w:noWrap/>
            <w:vAlign w:val="center"/>
            <w:hideMark/>
          </w:tcPr>
          <w:p w14:paraId="6FCF9F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1.207</w:t>
            </w:r>
          </w:p>
        </w:tc>
        <w:tc>
          <w:tcPr>
            <w:tcW w:w="500" w:type="pct"/>
            <w:shd w:val="clear" w:color="000000" w:fill="auto"/>
            <w:noWrap/>
            <w:vAlign w:val="center"/>
            <w:hideMark/>
          </w:tcPr>
          <w:p w14:paraId="0B2DDE9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476</w:t>
            </w:r>
          </w:p>
        </w:tc>
        <w:tc>
          <w:tcPr>
            <w:tcW w:w="500" w:type="pct"/>
            <w:shd w:val="clear" w:color="000000" w:fill="auto"/>
            <w:noWrap/>
            <w:vAlign w:val="center"/>
            <w:hideMark/>
          </w:tcPr>
          <w:p w14:paraId="79C0C41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25.881</w:t>
            </w:r>
          </w:p>
        </w:tc>
      </w:tr>
      <w:tr w:rsidR="00535FE1" w:rsidRPr="00F05605" w14:paraId="01CAE947" w14:textId="77777777" w:rsidTr="00535FE1">
        <w:trPr>
          <w:trHeight w:val="290"/>
        </w:trPr>
        <w:tc>
          <w:tcPr>
            <w:tcW w:w="500" w:type="pct"/>
            <w:shd w:val="clear" w:color="000000" w:fill="auto"/>
            <w:noWrap/>
            <w:vAlign w:val="bottom"/>
            <w:hideMark/>
          </w:tcPr>
          <w:p w14:paraId="767161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N_91 </w:t>
            </w:r>
          </w:p>
        </w:tc>
        <w:tc>
          <w:tcPr>
            <w:tcW w:w="500" w:type="pct"/>
            <w:shd w:val="clear" w:color="000000" w:fill="auto"/>
            <w:noWrap/>
            <w:vAlign w:val="center"/>
            <w:hideMark/>
          </w:tcPr>
          <w:p w14:paraId="76C6744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2.721</w:t>
            </w:r>
          </w:p>
        </w:tc>
        <w:tc>
          <w:tcPr>
            <w:tcW w:w="500" w:type="pct"/>
            <w:shd w:val="clear" w:color="000000" w:fill="auto"/>
            <w:noWrap/>
            <w:vAlign w:val="center"/>
            <w:hideMark/>
          </w:tcPr>
          <w:p w14:paraId="36677DA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3.394</w:t>
            </w:r>
          </w:p>
        </w:tc>
        <w:tc>
          <w:tcPr>
            <w:tcW w:w="500" w:type="pct"/>
            <w:shd w:val="clear" w:color="000000" w:fill="auto"/>
            <w:noWrap/>
            <w:vAlign w:val="center"/>
            <w:hideMark/>
          </w:tcPr>
          <w:p w14:paraId="3B4CD3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1.745</w:t>
            </w:r>
          </w:p>
        </w:tc>
        <w:tc>
          <w:tcPr>
            <w:tcW w:w="500" w:type="pct"/>
            <w:shd w:val="clear" w:color="000000" w:fill="auto"/>
            <w:noWrap/>
            <w:vAlign w:val="center"/>
            <w:hideMark/>
          </w:tcPr>
          <w:p w14:paraId="0D61636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7.860</w:t>
            </w:r>
          </w:p>
        </w:tc>
        <w:tc>
          <w:tcPr>
            <w:tcW w:w="500" w:type="pct"/>
            <w:shd w:val="clear" w:color="000000" w:fill="auto"/>
            <w:noWrap/>
            <w:vAlign w:val="center"/>
            <w:hideMark/>
          </w:tcPr>
          <w:p w14:paraId="6C2FFC5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2.491</w:t>
            </w:r>
          </w:p>
        </w:tc>
        <w:tc>
          <w:tcPr>
            <w:tcW w:w="500" w:type="pct"/>
            <w:shd w:val="clear" w:color="000000" w:fill="auto"/>
            <w:noWrap/>
            <w:vAlign w:val="center"/>
            <w:hideMark/>
          </w:tcPr>
          <w:p w14:paraId="07EFF1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3.320</w:t>
            </w:r>
          </w:p>
        </w:tc>
        <w:tc>
          <w:tcPr>
            <w:tcW w:w="500" w:type="pct"/>
            <w:shd w:val="clear" w:color="000000" w:fill="auto"/>
            <w:noWrap/>
            <w:vAlign w:val="center"/>
            <w:hideMark/>
          </w:tcPr>
          <w:p w14:paraId="1AFEF44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290</w:t>
            </w:r>
          </w:p>
        </w:tc>
        <w:tc>
          <w:tcPr>
            <w:tcW w:w="500" w:type="pct"/>
            <w:shd w:val="clear" w:color="000000" w:fill="auto"/>
            <w:noWrap/>
            <w:vAlign w:val="center"/>
            <w:hideMark/>
          </w:tcPr>
          <w:p w14:paraId="41ED69D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114</w:t>
            </w:r>
          </w:p>
        </w:tc>
        <w:tc>
          <w:tcPr>
            <w:tcW w:w="500" w:type="pct"/>
            <w:shd w:val="clear" w:color="000000" w:fill="auto"/>
            <w:noWrap/>
            <w:vAlign w:val="center"/>
            <w:hideMark/>
          </w:tcPr>
          <w:p w14:paraId="4C01F2C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6.216</w:t>
            </w:r>
          </w:p>
        </w:tc>
      </w:tr>
      <w:tr w:rsidR="00535FE1" w:rsidRPr="00F05605" w14:paraId="5F87FF61" w14:textId="77777777" w:rsidTr="00535FE1">
        <w:trPr>
          <w:trHeight w:val="290"/>
        </w:trPr>
        <w:tc>
          <w:tcPr>
            <w:tcW w:w="500" w:type="pct"/>
            <w:shd w:val="clear" w:color="000000" w:fill="auto"/>
            <w:noWrap/>
            <w:vAlign w:val="bottom"/>
            <w:hideMark/>
          </w:tcPr>
          <w:p w14:paraId="6063F2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N_92 </w:t>
            </w:r>
          </w:p>
        </w:tc>
        <w:tc>
          <w:tcPr>
            <w:tcW w:w="500" w:type="pct"/>
            <w:shd w:val="clear" w:color="000000" w:fill="auto"/>
            <w:noWrap/>
            <w:vAlign w:val="center"/>
            <w:hideMark/>
          </w:tcPr>
          <w:p w14:paraId="755645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260.110</w:t>
            </w:r>
          </w:p>
        </w:tc>
        <w:tc>
          <w:tcPr>
            <w:tcW w:w="500" w:type="pct"/>
            <w:shd w:val="clear" w:color="000000" w:fill="auto"/>
            <w:noWrap/>
            <w:vAlign w:val="center"/>
            <w:hideMark/>
          </w:tcPr>
          <w:p w14:paraId="09C10D7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47.694</w:t>
            </w:r>
          </w:p>
        </w:tc>
        <w:tc>
          <w:tcPr>
            <w:tcW w:w="500" w:type="pct"/>
            <w:shd w:val="clear" w:color="000000" w:fill="auto"/>
            <w:noWrap/>
            <w:vAlign w:val="center"/>
            <w:hideMark/>
          </w:tcPr>
          <w:p w14:paraId="4E2F2E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24.514</w:t>
            </w:r>
          </w:p>
        </w:tc>
        <w:tc>
          <w:tcPr>
            <w:tcW w:w="500" w:type="pct"/>
            <w:shd w:val="clear" w:color="000000" w:fill="auto"/>
            <w:noWrap/>
            <w:vAlign w:val="center"/>
            <w:hideMark/>
          </w:tcPr>
          <w:p w14:paraId="0316F5C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332.318</w:t>
            </w:r>
          </w:p>
        </w:tc>
        <w:tc>
          <w:tcPr>
            <w:tcW w:w="500" w:type="pct"/>
            <w:shd w:val="clear" w:color="000000" w:fill="auto"/>
            <w:noWrap/>
            <w:vAlign w:val="center"/>
            <w:hideMark/>
          </w:tcPr>
          <w:p w14:paraId="22DEDB7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35.008</w:t>
            </w:r>
          </w:p>
        </w:tc>
        <w:tc>
          <w:tcPr>
            <w:tcW w:w="500" w:type="pct"/>
            <w:shd w:val="clear" w:color="000000" w:fill="auto"/>
            <w:noWrap/>
            <w:vAlign w:val="center"/>
            <w:hideMark/>
          </w:tcPr>
          <w:p w14:paraId="5A96ECE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46.653</w:t>
            </w:r>
          </w:p>
        </w:tc>
        <w:tc>
          <w:tcPr>
            <w:tcW w:w="500" w:type="pct"/>
            <w:shd w:val="clear" w:color="000000" w:fill="auto"/>
            <w:noWrap/>
            <w:vAlign w:val="center"/>
            <w:hideMark/>
          </w:tcPr>
          <w:p w14:paraId="6B0A537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4.073</w:t>
            </w:r>
          </w:p>
        </w:tc>
        <w:tc>
          <w:tcPr>
            <w:tcW w:w="500" w:type="pct"/>
            <w:shd w:val="clear" w:color="000000" w:fill="auto"/>
            <w:noWrap/>
            <w:vAlign w:val="center"/>
            <w:hideMark/>
          </w:tcPr>
          <w:p w14:paraId="06320E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1.606</w:t>
            </w:r>
          </w:p>
        </w:tc>
        <w:tc>
          <w:tcPr>
            <w:tcW w:w="500" w:type="pct"/>
            <w:shd w:val="clear" w:color="000000" w:fill="auto"/>
            <w:noWrap/>
            <w:vAlign w:val="center"/>
            <w:hideMark/>
          </w:tcPr>
          <w:p w14:paraId="4958678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87.339</w:t>
            </w:r>
          </w:p>
        </w:tc>
      </w:tr>
      <w:tr w:rsidR="00535FE1" w:rsidRPr="00F05605" w14:paraId="728A8DB2" w14:textId="77777777" w:rsidTr="00535FE1">
        <w:trPr>
          <w:trHeight w:val="290"/>
        </w:trPr>
        <w:tc>
          <w:tcPr>
            <w:tcW w:w="500" w:type="pct"/>
            <w:shd w:val="clear" w:color="000000" w:fill="auto"/>
            <w:noWrap/>
            <w:vAlign w:val="bottom"/>
            <w:hideMark/>
          </w:tcPr>
          <w:p w14:paraId="7F5D109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N_94 </w:t>
            </w:r>
          </w:p>
        </w:tc>
        <w:tc>
          <w:tcPr>
            <w:tcW w:w="500" w:type="pct"/>
            <w:shd w:val="clear" w:color="000000" w:fill="auto"/>
            <w:noWrap/>
            <w:vAlign w:val="center"/>
            <w:hideMark/>
          </w:tcPr>
          <w:p w14:paraId="30516CD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148.663</w:t>
            </w:r>
          </w:p>
        </w:tc>
        <w:tc>
          <w:tcPr>
            <w:tcW w:w="500" w:type="pct"/>
            <w:shd w:val="clear" w:color="000000" w:fill="auto"/>
            <w:noWrap/>
            <w:vAlign w:val="center"/>
            <w:hideMark/>
          </w:tcPr>
          <w:p w14:paraId="3EC8FF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20.505</w:t>
            </w:r>
          </w:p>
        </w:tc>
        <w:tc>
          <w:tcPr>
            <w:tcW w:w="500" w:type="pct"/>
            <w:shd w:val="clear" w:color="000000" w:fill="auto"/>
            <w:noWrap/>
            <w:vAlign w:val="center"/>
            <w:hideMark/>
          </w:tcPr>
          <w:p w14:paraId="3FFB961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8.804</w:t>
            </w:r>
          </w:p>
        </w:tc>
        <w:tc>
          <w:tcPr>
            <w:tcW w:w="500" w:type="pct"/>
            <w:shd w:val="clear" w:color="000000" w:fill="auto"/>
            <w:noWrap/>
            <w:vAlign w:val="center"/>
            <w:hideMark/>
          </w:tcPr>
          <w:p w14:paraId="31BAEC7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177.972</w:t>
            </w:r>
          </w:p>
        </w:tc>
        <w:tc>
          <w:tcPr>
            <w:tcW w:w="500" w:type="pct"/>
            <w:shd w:val="clear" w:color="000000" w:fill="auto"/>
            <w:noWrap/>
            <w:vAlign w:val="center"/>
            <w:hideMark/>
          </w:tcPr>
          <w:p w14:paraId="6B0E7C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29.990</w:t>
            </w:r>
          </w:p>
        </w:tc>
        <w:tc>
          <w:tcPr>
            <w:tcW w:w="500" w:type="pct"/>
            <w:shd w:val="clear" w:color="000000" w:fill="auto"/>
            <w:noWrap/>
            <w:vAlign w:val="center"/>
            <w:hideMark/>
          </w:tcPr>
          <w:p w14:paraId="25D7A49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19.996</w:t>
            </w:r>
          </w:p>
        </w:tc>
        <w:tc>
          <w:tcPr>
            <w:tcW w:w="500" w:type="pct"/>
            <w:shd w:val="clear" w:color="000000" w:fill="auto"/>
            <w:noWrap/>
            <w:vAlign w:val="center"/>
            <w:hideMark/>
          </w:tcPr>
          <w:p w14:paraId="5CD0F02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1.101</w:t>
            </w:r>
          </w:p>
        </w:tc>
        <w:tc>
          <w:tcPr>
            <w:tcW w:w="500" w:type="pct"/>
            <w:shd w:val="clear" w:color="000000" w:fill="auto"/>
            <w:noWrap/>
            <w:vAlign w:val="center"/>
            <w:hideMark/>
          </w:tcPr>
          <w:p w14:paraId="569A82E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595</w:t>
            </w:r>
          </w:p>
        </w:tc>
        <w:tc>
          <w:tcPr>
            <w:tcW w:w="500" w:type="pct"/>
            <w:shd w:val="clear" w:color="000000" w:fill="auto"/>
            <w:noWrap/>
            <w:vAlign w:val="center"/>
            <w:hideMark/>
          </w:tcPr>
          <w:p w14:paraId="009BC2B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51.683</w:t>
            </w:r>
          </w:p>
        </w:tc>
      </w:tr>
      <w:tr w:rsidR="00535FE1" w:rsidRPr="00F05605" w14:paraId="16124D87" w14:textId="77777777" w:rsidTr="00535FE1">
        <w:trPr>
          <w:trHeight w:val="290"/>
        </w:trPr>
        <w:tc>
          <w:tcPr>
            <w:tcW w:w="500" w:type="pct"/>
            <w:shd w:val="clear" w:color="000000" w:fill="auto"/>
            <w:noWrap/>
            <w:vAlign w:val="bottom"/>
            <w:hideMark/>
          </w:tcPr>
          <w:p w14:paraId="486AD8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N_95 </w:t>
            </w:r>
          </w:p>
        </w:tc>
        <w:tc>
          <w:tcPr>
            <w:tcW w:w="500" w:type="pct"/>
            <w:shd w:val="clear" w:color="000000" w:fill="auto"/>
            <w:noWrap/>
            <w:vAlign w:val="center"/>
            <w:hideMark/>
          </w:tcPr>
          <w:p w14:paraId="4612E9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75.037</w:t>
            </w:r>
          </w:p>
        </w:tc>
        <w:tc>
          <w:tcPr>
            <w:tcW w:w="500" w:type="pct"/>
            <w:shd w:val="clear" w:color="000000" w:fill="auto"/>
            <w:noWrap/>
            <w:vAlign w:val="center"/>
            <w:hideMark/>
          </w:tcPr>
          <w:p w14:paraId="5E8854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14.707</w:t>
            </w:r>
          </w:p>
        </w:tc>
        <w:tc>
          <w:tcPr>
            <w:tcW w:w="500" w:type="pct"/>
            <w:shd w:val="clear" w:color="000000" w:fill="auto"/>
            <w:noWrap/>
            <w:vAlign w:val="center"/>
            <w:hideMark/>
          </w:tcPr>
          <w:p w14:paraId="2F2F631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7.559</w:t>
            </w:r>
          </w:p>
        </w:tc>
        <w:tc>
          <w:tcPr>
            <w:tcW w:w="500" w:type="pct"/>
            <w:shd w:val="clear" w:color="000000" w:fill="auto"/>
            <w:noWrap/>
            <w:vAlign w:val="center"/>
            <w:hideMark/>
          </w:tcPr>
          <w:p w14:paraId="47FA26E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97.303</w:t>
            </w:r>
          </w:p>
        </w:tc>
        <w:tc>
          <w:tcPr>
            <w:tcW w:w="500" w:type="pct"/>
            <w:shd w:val="clear" w:color="000000" w:fill="auto"/>
            <w:noWrap/>
            <w:vAlign w:val="center"/>
            <w:hideMark/>
          </w:tcPr>
          <w:p w14:paraId="62B33D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10.795</w:t>
            </w:r>
          </w:p>
        </w:tc>
        <w:tc>
          <w:tcPr>
            <w:tcW w:w="500" w:type="pct"/>
            <w:shd w:val="clear" w:color="000000" w:fill="auto"/>
            <w:noWrap/>
            <w:vAlign w:val="center"/>
            <w:hideMark/>
          </w:tcPr>
          <w:p w14:paraId="115742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14.386</w:t>
            </w:r>
          </w:p>
        </w:tc>
        <w:tc>
          <w:tcPr>
            <w:tcW w:w="500" w:type="pct"/>
            <w:shd w:val="clear" w:color="000000" w:fill="auto"/>
            <w:noWrap/>
            <w:vAlign w:val="center"/>
            <w:hideMark/>
          </w:tcPr>
          <w:p w14:paraId="5BACB3C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1.256</w:t>
            </w:r>
          </w:p>
        </w:tc>
        <w:tc>
          <w:tcPr>
            <w:tcW w:w="500" w:type="pct"/>
            <w:shd w:val="clear" w:color="000000" w:fill="auto"/>
            <w:noWrap/>
            <w:vAlign w:val="center"/>
            <w:hideMark/>
          </w:tcPr>
          <w:p w14:paraId="0B79F2E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495</w:t>
            </w:r>
          </w:p>
        </w:tc>
        <w:tc>
          <w:tcPr>
            <w:tcW w:w="500" w:type="pct"/>
            <w:shd w:val="clear" w:color="000000" w:fill="auto"/>
            <w:noWrap/>
            <w:vAlign w:val="center"/>
            <w:hideMark/>
          </w:tcPr>
          <w:p w14:paraId="606822F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26.932</w:t>
            </w:r>
          </w:p>
        </w:tc>
      </w:tr>
      <w:tr w:rsidR="00535FE1" w:rsidRPr="00F05605" w14:paraId="48452651" w14:textId="77777777" w:rsidTr="00535FE1">
        <w:trPr>
          <w:trHeight w:val="290"/>
        </w:trPr>
        <w:tc>
          <w:tcPr>
            <w:tcW w:w="500" w:type="pct"/>
            <w:shd w:val="clear" w:color="000000" w:fill="auto"/>
            <w:noWrap/>
            <w:vAlign w:val="bottom"/>
            <w:hideMark/>
          </w:tcPr>
          <w:p w14:paraId="5734E7D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N_96 </w:t>
            </w:r>
          </w:p>
        </w:tc>
        <w:tc>
          <w:tcPr>
            <w:tcW w:w="500" w:type="pct"/>
            <w:shd w:val="clear" w:color="000000" w:fill="auto"/>
            <w:noWrap/>
            <w:vAlign w:val="center"/>
            <w:hideMark/>
          </w:tcPr>
          <w:p w14:paraId="23AE2A7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222.934</w:t>
            </w:r>
          </w:p>
        </w:tc>
        <w:tc>
          <w:tcPr>
            <w:tcW w:w="500" w:type="pct"/>
            <w:shd w:val="clear" w:color="000000" w:fill="auto"/>
            <w:noWrap/>
            <w:vAlign w:val="center"/>
            <w:hideMark/>
          </w:tcPr>
          <w:p w14:paraId="6BA02C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17.931</w:t>
            </w:r>
          </w:p>
        </w:tc>
        <w:tc>
          <w:tcPr>
            <w:tcW w:w="500" w:type="pct"/>
            <w:shd w:val="clear" w:color="000000" w:fill="auto"/>
            <w:noWrap/>
            <w:vAlign w:val="center"/>
            <w:hideMark/>
          </w:tcPr>
          <w:p w14:paraId="7AE5EA0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9.216</w:t>
            </w:r>
          </w:p>
        </w:tc>
        <w:tc>
          <w:tcPr>
            <w:tcW w:w="500" w:type="pct"/>
            <w:shd w:val="clear" w:color="000000" w:fill="auto"/>
            <w:noWrap/>
            <w:vAlign w:val="center"/>
            <w:hideMark/>
          </w:tcPr>
          <w:p w14:paraId="614F32C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250.081</w:t>
            </w:r>
          </w:p>
        </w:tc>
        <w:tc>
          <w:tcPr>
            <w:tcW w:w="500" w:type="pct"/>
            <w:shd w:val="clear" w:color="000000" w:fill="auto"/>
            <w:noWrap/>
            <w:vAlign w:val="center"/>
            <w:hideMark/>
          </w:tcPr>
          <w:p w14:paraId="365B02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13.161</w:t>
            </w:r>
          </w:p>
        </w:tc>
        <w:tc>
          <w:tcPr>
            <w:tcW w:w="500" w:type="pct"/>
            <w:shd w:val="clear" w:color="000000" w:fill="auto"/>
            <w:noWrap/>
            <w:vAlign w:val="center"/>
            <w:hideMark/>
          </w:tcPr>
          <w:p w14:paraId="5C8894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17.539</w:t>
            </w:r>
          </w:p>
        </w:tc>
        <w:tc>
          <w:tcPr>
            <w:tcW w:w="500" w:type="pct"/>
            <w:shd w:val="clear" w:color="000000" w:fill="auto"/>
            <w:noWrap/>
            <w:vAlign w:val="center"/>
            <w:hideMark/>
          </w:tcPr>
          <w:p w14:paraId="7EBE53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1.531</w:t>
            </w:r>
          </w:p>
        </w:tc>
        <w:tc>
          <w:tcPr>
            <w:tcW w:w="500" w:type="pct"/>
            <w:shd w:val="clear" w:color="000000" w:fill="auto"/>
            <w:noWrap/>
            <w:vAlign w:val="center"/>
            <w:hideMark/>
          </w:tcPr>
          <w:p w14:paraId="66A57E7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604</w:t>
            </w:r>
          </w:p>
        </w:tc>
        <w:tc>
          <w:tcPr>
            <w:tcW w:w="500" w:type="pct"/>
            <w:shd w:val="clear" w:color="000000" w:fill="auto"/>
            <w:noWrap/>
            <w:vAlign w:val="center"/>
            <w:hideMark/>
          </w:tcPr>
          <w:p w14:paraId="75F161E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32.835</w:t>
            </w:r>
          </w:p>
        </w:tc>
      </w:tr>
      <w:tr w:rsidR="00535FE1" w:rsidRPr="00F05605" w14:paraId="672B0186" w14:textId="77777777" w:rsidTr="00535FE1">
        <w:trPr>
          <w:trHeight w:val="290"/>
        </w:trPr>
        <w:tc>
          <w:tcPr>
            <w:tcW w:w="500" w:type="pct"/>
            <w:shd w:val="clear" w:color="000000" w:fill="auto"/>
            <w:noWrap/>
            <w:vAlign w:val="bottom"/>
            <w:hideMark/>
          </w:tcPr>
          <w:p w14:paraId="1FDBDE2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N_98 </w:t>
            </w:r>
          </w:p>
        </w:tc>
        <w:tc>
          <w:tcPr>
            <w:tcW w:w="500" w:type="pct"/>
            <w:shd w:val="clear" w:color="000000" w:fill="auto"/>
            <w:noWrap/>
            <w:vAlign w:val="center"/>
            <w:hideMark/>
          </w:tcPr>
          <w:p w14:paraId="50E620C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150.829</w:t>
            </w:r>
          </w:p>
        </w:tc>
        <w:tc>
          <w:tcPr>
            <w:tcW w:w="500" w:type="pct"/>
            <w:shd w:val="clear" w:color="000000" w:fill="auto"/>
            <w:noWrap/>
            <w:vAlign w:val="center"/>
            <w:hideMark/>
          </w:tcPr>
          <w:p w14:paraId="278495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39.866</w:t>
            </w:r>
          </w:p>
        </w:tc>
        <w:tc>
          <w:tcPr>
            <w:tcW w:w="500" w:type="pct"/>
            <w:shd w:val="clear" w:color="000000" w:fill="auto"/>
            <w:noWrap/>
            <w:vAlign w:val="center"/>
            <w:hideMark/>
          </w:tcPr>
          <w:p w14:paraId="2470470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43.374</w:t>
            </w:r>
          </w:p>
        </w:tc>
        <w:tc>
          <w:tcPr>
            <w:tcW w:w="500" w:type="pct"/>
            <w:shd w:val="clear" w:color="000000" w:fill="auto"/>
            <w:noWrap/>
            <w:vAlign w:val="center"/>
            <w:hideMark/>
          </w:tcPr>
          <w:p w14:paraId="02619E3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234.069</w:t>
            </w:r>
          </w:p>
        </w:tc>
        <w:tc>
          <w:tcPr>
            <w:tcW w:w="500" w:type="pct"/>
            <w:shd w:val="clear" w:color="000000" w:fill="auto"/>
            <w:noWrap/>
            <w:vAlign w:val="center"/>
            <w:hideMark/>
          </w:tcPr>
          <w:p w14:paraId="75FEEF6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75.885</w:t>
            </w:r>
          </w:p>
        </w:tc>
        <w:tc>
          <w:tcPr>
            <w:tcW w:w="500" w:type="pct"/>
            <w:shd w:val="clear" w:color="000000" w:fill="auto"/>
            <w:noWrap/>
            <w:vAlign w:val="center"/>
            <w:hideMark/>
          </w:tcPr>
          <w:p w14:paraId="503248D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39.398</w:t>
            </w:r>
          </w:p>
        </w:tc>
        <w:tc>
          <w:tcPr>
            <w:tcW w:w="500" w:type="pct"/>
            <w:shd w:val="clear" w:color="000000" w:fill="auto"/>
            <w:noWrap/>
            <w:vAlign w:val="center"/>
            <w:hideMark/>
          </w:tcPr>
          <w:p w14:paraId="3420259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7.550</w:t>
            </w:r>
          </w:p>
        </w:tc>
        <w:tc>
          <w:tcPr>
            <w:tcW w:w="500" w:type="pct"/>
            <w:shd w:val="clear" w:color="000000" w:fill="auto"/>
            <w:noWrap/>
            <w:vAlign w:val="center"/>
            <w:hideMark/>
          </w:tcPr>
          <w:p w14:paraId="504FA7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1.982</w:t>
            </w:r>
          </w:p>
        </w:tc>
        <w:tc>
          <w:tcPr>
            <w:tcW w:w="500" w:type="pct"/>
            <w:shd w:val="clear" w:color="000000" w:fill="auto"/>
            <w:noWrap/>
            <w:vAlign w:val="center"/>
            <w:hideMark/>
          </w:tcPr>
          <w:p w14:paraId="1ADB391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124.816</w:t>
            </w:r>
          </w:p>
        </w:tc>
      </w:tr>
      <w:tr w:rsidR="00535FE1" w:rsidRPr="00F05605" w14:paraId="317A1F55" w14:textId="77777777" w:rsidTr="00535FE1">
        <w:trPr>
          <w:trHeight w:val="290"/>
        </w:trPr>
        <w:tc>
          <w:tcPr>
            <w:tcW w:w="500" w:type="pct"/>
            <w:shd w:val="clear" w:color="000000" w:fill="auto"/>
            <w:noWrap/>
            <w:vAlign w:val="bottom"/>
            <w:hideMark/>
          </w:tcPr>
          <w:p w14:paraId="77E652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N_99 </w:t>
            </w:r>
          </w:p>
        </w:tc>
        <w:tc>
          <w:tcPr>
            <w:tcW w:w="500" w:type="pct"/>
            <w:shd w:val="clear" w:color="000000" w:fill="auto"/>
            <w:noWrap/>
            <w:vAlign w:val="center"/>
            <w:hideMark/>
          </w:tcPr>
          <w:p w14:paraId="59F473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87.105</w:t>
            </w:r>
          </w:p>
        </w:tc>
        <w:tc>
          <w:tcPr>
            <w:tcW w:w="500" w:type="pct"/>
            <w:shd w:val="clear" w:color="000000" w:fill="auto"/>
            <w:noWrap/>
            <w:vAlign w:val="center"/>
            <w:hideMark/>
          </w:tcPr>
          <w:p w14:paraId="11F0176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17.649</w:t>
            </w:r>
          </w:p>
        </w:tc>
        <w:tc>
          <w:tcPr>
            <w:tcW w:w="500" w:type="pct"/>
            <w:shd w:val="clear" w:color="000000" w:fill="auto"/>
            <w:noWrap/>
            <w:vAlign w:val="center"/>
            <w:hideMark/>
          </w:tcPr>
          <w:p w14:paraId="42BE2F9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19.202</w:t>
            </w:r>
          </w:p>
        </w:tc>
        <w:tc>
          <w:tcPr>
            <w:tcW w:w="500" w:type="pct"/>
            <w:shd w:val="clear" w:color="000000" w:fill="auto"/>
            <w:noWrap/>
            <w:vAlign w:val="center"/>
            <w:hideMark/>
          </w:tcPr>
          <w:p w14:paraId="1534B30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123.956</w:t>
            </w:r>
          </w:p>
        </w:tc>
        <w:tc>
          <w:tcPr>
            <w:tcW w:w="500" w:type="pct"/>
            <w:shd w:val="clear" w:color="000000" w:fill="auto"/>
            <w:noWrap/>
            <w:vAlign w:val="center"/>
            <w:hideMark/>
          </w:tcPr>
          <w:p w14:paraId="21C436E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33.595</w:t>
            </w:r>
          </w:p>
        </w:tc>
        <w:tc>
          <w:tcPr>
            <w:tcW w:w="500" w:type="pct"/>
            <w:shd w:val="clear" w:color="000000" w:fill="auto"/>
            <w:noWrap/>
            <w:vAlign w:val="center"/>
            <w:hideMark/>
          </w:tcPr>
          <w:p w14:paraId="7F7C35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17.442</w:t>
            </w:r>
          </w:p>
        </w:tc>
        <w:tc>
          <w:tcPr>
            <w:tcW w:w="500" w:type="pct"/>
            <w:shd w:val="clear" w:color="000000" w:fill="auto"/>
            <w:noWrap/>
            <w:vAlign w:val="center"/>
            <w:hideMark/>
          </w:tcPr>
          <w:p w14:paraId="5B11150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3.343</w:t>
            </w:r>
          </w:p>
        </w:tc>
        <w:tc>
          <w:tcPr>
            <w:tcW w:w="500" w:type="pct"/>
            <w:shd w:val="clear" w:color="000000" w:fill="auto"/>
            <w:noWrap/>
            <w:vAlign w:val="center"/>
            <w:hideMark/>
          </w:tcPr>
          <w:p w14:paraId="396190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878</w:t>
            </w:r>
          </w:p>
        </w:tc>
        <w:tc>
          <w:tcPr>
            <w:tcW w:w="500" w:type="pct"/>
            <w:shd w:val="clear" w:color="000000" w:fill="auto"/>
            <w:noWrap/>
            <w:vAlign w:val="center"/>
            <w:hideMark/>
          </w:tcPr>
          <w:p w14:paraId="6F01C1F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55.257</w:t>
            </w:r>
          </w:p>
        </w:tc>
      </w:tr>
      <w:tr w:rsidR="00535FE1" w:rsidRPr="00F05605" w14:paraId="1F344568" w14:textId="77777777" w:rsidTr="00535FE1">
        <w:trPr>
          <w:trHeight w:val="290"/>
        </w:trPr>
        <w:tc>
          <w:tcPr>
            <w:tcW w:w="500" w:type="pct"/>
            <w:shd w:val="clear" w:color="000000" w:fill="auto"/>
            <w:noWrap/>
            <w:vAlign w:val="bottom"/>
            <w:hideMark/>
          </w:tcPr>
          <w:p w14:paraId="3510BF3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N_100 </w:t>
            </w:r>
          </w:p>
        </w:tc>
        <w:tc>
          <w:tcPr>
            <w:tcW w:w="500" w:type="pct"/>
            <w:shd w:val="clear" w:color="000000" w:fill="auto"/>
            <w:noWrap/>
            <w:vAlign w:val="center"/>
            <w:hideMark/>
          </w:tcPr>
          <w:p w14:paraId="5E83A74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13.668</w:t>
            </w:r>
          </w:p>
        </w:tc>
        <w:tc>
          <w:tcPr>
            <w:tcW w:w="500" w:type="pct"/>
            <w:shd w:val="clear" w:color="000000" w:fill="auto"/>
            <w:noWrap/>
            <w:vAlign w:val="center"/>
            <w:hideMark/>
          </w:tcPr>
          <w:p w14:paraId="7BB5E9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w:t>
            </w:r>
          </w:p>
        </w:tc>
        <w:tc>
          <w:tcPr>
            <w:tcW w:w="500" w:type="pct"/>
            <w:shd w:val="clear" w:color="000000" w:fill="auto"/>
            <w:noWrap/>
            <w:vAlign w:val="center"/>
            <w:hideMark/>
          </w:tcPr>
          <w:p w14:paraId="0CBA546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179</w:t>
            </w:r>
          </w:p>
        </w:tc>
        <w:tc>
          <w:tcPr>
            <w:tcW w:w="500" w:type="pct"/>
            <w:shd w:val="clear" w:color="000000" w:fill="auto"/>
            <w:noWrap/>
            <w:vAlign w:val="center"/>
            <w:hideMark/>
          </w:tcPr>
          <w:p w14:paraId="6345457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14.010</w:t>
            </w:r>
          </w:p>
        </w:tc>
        <w:tc>
          <w:tcPr>
            <w:tcW w:w="500" w:type="pct"/>
            <w:shd w:val="clear" w:color="000000" w:fill="auto"/>
            <w:noWrap/>
            <w:vAlign w:val="center"/>
            <w:hideMark/>
          </w:tcPr>
          <w:p w14:paraId="7385DF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312</w:t>
            </w:r>
          </w:p>
        </w:tc>
        <w:tc>
          <w:tcPr>
            <w:tcW w:w="500" w:type="pct"/>
            <w:shd w:val="clear" w:color="000000" w:fill="auto"/>
            <w:noWrap/>
            <w:vAlign w:val="center"/>
            <w:hideMark/>
          </w:tcPr>
          <w:p w14:paraId="71D0E85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162</w:t>
            </w:r>
          </w:p>
        </w:tc>
        <w:tc>
          <w:tcPr>
            <w:tcW w:w="500" w:type="pct"/>
            <w:shd w:val="clear" w:color="000000" w:fill="auto"/>
            <w:noWrap/>
            <w:vAlign w:val="center"/>
            <w:hideMark/>
          </w:tcPr>
          <w:p w14:paraId="766D53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w:t>
            </w:r>
          </w:p>
        </w:tc>
        <w:tc>
          <w:tcPr>
            <w:tcW w:w="500" w:type="pct"/>
            <w:shd w:val="clear" w:color="000000" w:fill="auto"/>
            <w:noWrap/>
            <w:vAlign w:val="center"/>
            <w:hideMark/>
          </w:tcPr>
          <w:p w14:paraId="5B1DBB6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w:t>
            </w:r>
          </w:p>
        </w:tc>
        <w:tc>
          <w:tcPr>
            <w:tcW w:w="500" w:type="pct"/>
            <w:shd w:val="clear" w:color="000000" w:fill="auto"/>
            <w:noWrap/>
            <w:vAlign w:val="center"/>
            <w:hideMark/>
          </w:tcPr>
          <w:p w14:paraId="1EAAF2E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514</w:t>
            </w:r>
          </w:p>
        </w:tc>
      </w:tr>
      <w:tr w:rsidR="00535FE1" w:rsidRPr="00F05605" w14:paraId="3EAA035B" w14:textId="77777777" w:rsidTr="00535FE1">
        <w:trPr>
          <w:trHeight w:val="290"/>
        </w:trPr>
        <w:tc>
          <w:tcPr>
            <w:tcW w:w="500" w:type="pct"/>
            <w:shd w:val="clear" w:color="000000" w:fill="auto"/>
            <w:noWrap/>
            <w:vAlign w:val="bottom"/>
            <w:hideMark/>
          </w:tcPr>
          <w:p w14:paraId="33576B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N_101 </w:t>
            </w:r>
          </w:p>
        </w:tc>
        <w:tc>
          <w:tcPr>
            <w:tcW w:w="500" w:type="pct"/>
            <w:shd w:val="clear" w:color="000000" w:fill="auto"/>
            <w:noWrap/>
            <w:vAlign w:val="center"/>
            <w:hideMark/>
          </w:tcPr>
          <w:p w14:paraId="3BD4C9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88.842</w:t>
            </w:r>
          </w:p>
        </w:tc>
        <w:tc>
          <w:tcPr>
            <w:tcW w:w="500" w:type="pct"/>
            <w:shd w:val="clear" w:color="000000" w:fill="auto"/>
            <w:noWrap/>
            <w:vAlign w:val="center"/>
            <w:hideMark/>
          </w:tcPr>
          <w:p w14:paraId="6D34C2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14.304</w:t>
            </w:r>
          </w:p>
        </w:tc>
        <w:tc>
          <w:tcPr>
            <w:tcW w:w="500" w:type="pct"/>
            <w:shd w:val="clear" w:color="000000" w:fill="auto"/>
            <w:noWrap/>
            <w:vAlign w:val="center"/>
            <w:hideMark/>
          </w:tcPr>
          <w:p w14:paraId="1C257EB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15.563</w:t>
            </w:r>
          </w:p>
        </w:tc>
        <w:tc>
          <w:tcPr>
            <w:tcW w:w="500" w:type="pct"/>
            <w:shd w:val="clear" w:color="000000" w:fill="auto"/>
            <w:noWrap/>
            <w:vAlign w:val="center"/>
            <w:hideMark/>
          </w:tcPr>
          <w:p w14:paraId="657C17A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118.710</w:t>
            </w:r>
          </w:p>
        </w:tc>
        <w:tc>
          <w:tcPr>
            <w:tcW w:w="500" w:type="pct"/>
            <w:shd w:val="clear" w:color="000000" w:fill="auto"/>
            <w:noWrap/>
            <w:vAlign w:val="center"/>
            <w:hideMark/>
          </w:tcPr>
          <w:p w14:paraId="64A4AA0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27.228</w:t>
            </w:r>
          </w:p>
        </w:tc>
        <w:tc>
          <w:tcPr>
            <w:tcW w:w="500" w:type="pct"/>
            <w:shd w:val="clear" w:color="000000" w:fill="auto"/>
            <w:noWrap/>
            <w:vAlign w:val="center"/>
            <w:hideMark/>
          </w:tcPr>
          <w:p w14:paraId="1C1B9D2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14.136</w:t>
            </w:r>
          </w:p>
        </w:tc>
        <w:tc>
          <w:tcPr>
            <w:tcW w:w="500" w:type="pct"/>
            <w:shd w:val="clear" w:color="000000" w:fill="auto"/>
            <w:noWrap/>
            <w:vAlign w:val="center"/>
            <w:hideMark/>
          </w:tcPr>
          <w:p w14:paraId="6A685CA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2.709</w:t>
            </w:r>
          </w:p>
        </w:tc>
        <w:tc>
          <w:tcPr>
            <w:tcW w:w="500" w:type="pct"/>
            <w:shd w:val="clear" w:color="000000" w:fill="auto"/>
            <w:noWrap/>
            <w:vAlign w:val="center"/>
            <w:hideMark/>
          </w:tcPr>
          <w:p w14:paraId="40B8103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711</w:t>
            </w:r>
          </w:p>
        </w:tc>
        <w:tc>
          <w:tcPr>
            <w:tcW w:w="500" w:type="pct"/>
            <w:shd w:val="clear" w:color="000000" w:fill="auto"/>
            <w:noWrap/>
            <w:vAlign w:val="center"/>
            <w:hideMark/>
          </w:tcPr>
          <w:p w14:paraId="7053171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44.785</w:t>
            </w:r>
          </w:p>
        </w:tc>
      </w:tr>
      <w:tr w:rsidR="00535FE1" w:rsidRPr="00F05605" w14:paraId="12C97108" w14:textId="77777777" w:rsidTr="00535FE1">
        <w:trPr>
          <w:trHeight w:val="290"/>
        </w:trPr>
        <w:tc>
          <w:tcPr>
            <w:tcW w:w="500" w:type="pct"/>
            <w:shd w:val="clear" w:color="000000" w:fill="auto"/>
            <w:noWrap/>
            <w:vAlign w:val="bottom"/>
            <w:hideMark/>
          </w:tcPr>
          <w:p w14:paraId="1B4F9BD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N_102 </w:t>
            </w:r>
          </w:p>
        </w:tc>
        <w:tc>
          <w:tcPr>
            <w:tcW w:w="500" w:type="pct"/>
            <w:shd w:val="clear" w:color="000000" w:fill="auto"/>
            <w:noWrap/>
            <w:vAlign w:val="center"/>
            <w:hideMark/>
          </w:tcPr>
          <w:p w14:paraId="581A628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569.936</w:t>
            </w:r>
          </w:p>
        </w:tc>
        <w:tc>
          <w:tcPr>
            <w:tcW w:w="500" w:type="pct"/>
            <w:shd w:val="clear" w:color="000000" w:fill="auto"/>
            <w:noWrap/>
            <w:vAlign w:val="center"/>
            <w:hideMark/>
          </w:tcPr>
          <w:p w14:paraId="074252E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61.283</w:t>
            </w:r>
          </w:p>
        </w:tc>
        <w:tc>
          <w:tcPr>
            <w:tcW w:w="500" w:type="pct"/>
            <w:shd w:val="clear" w:color="000000" w:fill="auto"/>
            <w:noWrap/>
            <w:vAlign w:val="center"/>
            <w:hideMark/>
          </w:tcPr>
          <w:p w14:paraId="1672049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26.314</w:t>
            </w:r>
          </w:p>
        </w:tc>
        <w:tc>
          <w:tcPr>
            <w:tcW w:w="500" w:type="pct"/>
            <w:shd w:val="clear" w:color="000000" w:fill="auto"/>
            <w:noWrap/>
            <w:vAlign w:val="center"/>
            <w:hideMark/>
          </w:tcPr>
          <w:p w14:paraId="2F26C49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657.534</w:t>
            </w:r>
          </w:p>
        </w:tc>
        <w:tc>
          <w:tcPr>
            <w:tcW w:w="500" w:type="pct"/>
            <w:shd w:val="clear" w:color="000000" w:fill="auto"/>
            <w:noWrap/>
            <w:vAlign w:val="center"/>
            <w:hideMark/>
          </w:tcPr>
          <w:p w14:paraId="7D507D0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89.633</w:t>
            </w:r>
          </w:p>
        </w:tc>
        <w:tc>
          <w:tcPr>
            <w:tcW w:w="500" w:type="pct"/>
            <w:shd w:val="clear" w:color="000000" w:fill="auto"/>
            <w:noWrap/>
            <w:vAlign w:val="center"/>
            <w:hideMark/>
          </w:tcPr>
          <w:p w14:paraId="13D8EA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59.765</w:t>
            </w:r>
          </w:p>
        </w:tc>
        <w:tc>
          <w:tcPr>
            <w:tcW w:w="500" w:type="pct"/>
            <w:shd w:val="clear" w:color="000000" w:fill="auto"/>
            <w:noWrap/>
            <w:vAlign w:val="center"/>
            <w:hideMark/>
          </w:tcPr>
          <w:p w14:paraId="0398E3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3.292</w:t>
            </w:r>
          </w:p>
        </w:tc>
        <w:tc>
          <w:tcPr>
            <w:tcW w:w="500" w:type="pct"/>
            <w:shd w:val="clear" w:color="000000" w:fill="auto"/>
            <w:noWrap/>
            <w:vAlign w:val="center"/>
            <w:hideMark/>
          </w:tcPr>
          <w:p w14:paraId="1B50DE8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1.777</w:t>
            </w:r>
          </w:p>
        </w:tc>
        <w:tc>
          <w:tcPr>
            <w:tcW w:w="500" w:type="pct"/>
            <w:shd w:val="clear" w:color="000000" w:fill="auto"/>
            <w:noWrap/>
            <w:vAlign w:val="center"/>
            <w:hideMark/>
          </w:tcPr>
          <w:p w14:paraId="0875304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154.467</w:t>
            </w:r>
          </w:p>
        </w:tc>
      </w:tr>
      <w:tr w:rsidR="00535FE1" w:rsidRPr="00F05605" w14:paraId="17C41326" w14:textId="77777777" w:rsidTr="00535FE1">
        <w:trPr>
          <w:trHeight w:val="290"/>
        </w:trPr>
        <w:tc>
          <w:tcPr>
            <w:tcW w:w="500" w:type="pct"/>
            <w:shd w:val="clear" w:color="000000" w:fill="auto"/>
            <w:noWrap/>
            <w:vAlign w:val="bottom"/>
            <w:hideMark/>
          </w:tcPr>
          <w:p w14:paraId="5501E89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N_103 </w:t>
            </w:r>
          </w:p>
        </w:tc>
        <w:tc>
          <w:tcPr>
            <w:tcW w:w="500" w:type="pct"/>
            <w:shd w:val="clear" w:color="000000" w:fill="auto"/>
            <w:noWrap/>
            <w:vAlign w:val="center"/>
            <w:hideMark/>
          </w:tcPr>
          <w:p w14:paraId="4544DAE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271.328</w:t>
            </w:r>
          </w:p>
        </w:tc>
        <w:tc>
          <w:tcPr>
            <w:tcW w:w="500" w:type="pct"/>
            <w:shd w:val="clear" w:color="000000" w:fill="auto"/>
            <w:noWrap/>
            <w:vAlign w:val="center"/>
            <w:hideMark/>
          </w:tcPr>
          <w:p w14:paraId="7D8E6E8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102.855</w:t>
            </w:r>
          </w:p>
        </w:tc>
        <w:tc>
          <w:tcPr>
            <w:tcW w:w="500" w:type="pct"/>
            <w:shd w:val="clear" w:color="000000" w:fill="auto"/>
            <w:noWrap/>
            <w:vAlign w:val="center"/>
            <w:hideMark/>
          </w:tcPr>
          <w:p w14:paraId="5C346F5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44.164</w:t>
            </w:r>
          </w:p>
        </w:tc>
        <w:tc>
          <w:tcPr>
            <w:tcW w:w="500" w:type="pct"/>
            <w:shd w:val="clear" w:color="000000" w:fill="auto"/>
            <w:noWrap/>
            <w:vAlign w:val="center"/>
            <w:hideMark/>
          </w:tcPr>
          <w:p w14:paraId="629F4A9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418.347</w:t>
            </w:r>
          </w:p>
        </w:tc>
        <w:tc>
          <w:tcPr>
            <w:tcW w:w="500" w:type="pct"/>
            <w:shd w:val="clear" w:color="000000" w:fill="auto"/>
            <w:noWrap/>
            <w:vAlign w:val="center"/>
            <w:hideMark/>
          </w:tcPr>
          <w:p w14:paraId="13FC9C3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150.436</w:t>
            </w:r>
          </w:p>
        </w:tc>
        <w:tc>
          <w:tcPr>
            <w:tcW w:w="500" w:type="pct"/>
            <w:shd w:val="clear" w:color="000000" w:fill="auto"/>
            <w:noWrap/>
            <w:vAlign w:val="center"/>
            <w:hideMark/>
          </w:tcPr>
          <w:p w14:paraId="5D01569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100.306</w:t>
            </w:r>
          </w:p>
        </w:tc>
        <w:tc>
          <w:tcPr>
            <w:tcW w:w="500" w:type="pct"/>
            <w:shd w:val="clear" w:color="000000" w:fill="auto"/>
            <w:noWrap/>
            <w:vAlign w:val="center"/>
            <w:hideMark/>
          </w:tcPr>
          <w:p w14:paraId="17631D8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5.525</w:t>
            </w:r>
          </w:p>
        </w:tc>
        <w:tc>
          <w:tcPr>
            <w:tcW w:w="500" w:type="pct"/>
            <w:shd w:val="clear" w:color="000000" w:fill="auto"/>
            <w:noWrap/>
            <w:vAlign w:val="center"/>
            <w:hideMark/>
          </w:tcPr>
          <w:p w14:paraId="5070422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2.983</w:t>
            </w:r>
          </w:p>
        </w:tc>
        <w:tc>
          <w:tcPr>
            <w:tcW w:w="500" w:type="pct"/>
            <w:shd w:val="clear" w:color="000000" w:fill="auto"/>
            <w:noWrap/>
            <w:vAlign w:val="center"/>
            <w:hideMark/>
          </w:tcPr>
          <w:p w14:paraId="7DA7571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259.250</w:t>
            </w:r>
          </w:p>
        </w:tc>
      </w:tr>
      <w:tr w:rsidR="00535FE1" w:rsidRPr="00F05605" w14:paraId="64E24689" w14:textId="77777777" w:rsidTr="00535FE1">
        <w:trPr>
          <w:trHeight w:val="290"/>
        </w:trPr>
        <w:tc>
          <w:tcPr>
            <w:tcW w:w="500" w:type="pct"/>
            <w:shd w:val="clear" w:color="000000" w:fill="auto"/>
            <w:noWrap/>
            <w:vAlign w:val="bottom"/>
            <w:hideMark/>
          </w:tcPr>
          <w:p w14:paraId="581F68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N_104 </w:t>
            </w:r>
          </w:p>
        </w:tc>
        <w:tc>
          <w:tcPr>
            <w:tcW w:w="500" w:type="pct"/>
            <w:shd w:val="clear" w:color="000000" w:fill="auto"/>
            <w:noWrap/>
            <w:vAlign w:val="center"/>
            <w:hideMark/>
          </w:tcPr>
          <w:p w14:paraId="480846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298.646</w:t>
            </w:r>
          </w:p>
        </w:tc>
        <w:tc>
          <w:tcPr>
            <w:tcW w:w="500" w:type="pct"/>
            <w:shd w:val="clear" w:color="000000" w:fill="auto"/>
            <w:noWrap/>
            <w:vAlign w:val="center"/>
            <w:hideMark/>
          </w:tcPr>
          <w:p w14:paraId="00829BA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57.767</w:t>
            </w:r>
          </w:p>
        </w:tc>
        <w:tc>
          <w:tcPr>
            <w:tcW w:w="500" w:type="pct"/>
            <w:shd w:val="clear" w:color="000000" w:fill="auto"/>
            <w:noWrap/>
            <w:vAlign w:val="center"/>
            <w:hideMark/>
          </w:tcPr>
          <w:p w14:paraId="2D99A6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24.804</w:t>
            </w:r>
          </w:p>
        </w:tc>
        <w:tc>
          <w:tcPr>
            <w:tcW w:w="500" w:type="pct"/>
            <w:shd w:val="clear" w:color="000000" w:fill="auto"/>
            <w:noWrap/>
            <w:vAlign w:val="center"/>
            <w:hideMark/>
          </w:tcPr>
          <w:p w14:paraId="7A93EC6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381.216</w:t>
            </w:r>
          </w:p>
        </w:tc>
        <w:tc>
          <w:tcPr>
            <w:tcW w:w="500" w:type="pct"/>
            <w:shd w:val="clear" w:color="000000" w:fill="auto"/>
            <w:noWrap/>
            <w:vAlign w:val="center"/>
            <w:hideMark/>
          </w:tcPr>
          <w:p w14:paraId="17E255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84.489</w:t>
            </w:r>
          </w:p>
        </w:tc>
        <w:tc>
          <w:tcPr>
            <w:tcW w:w="500" w:type="pct"/>
            <w:shd w:val="clear" w:color="000000" w:fill="auto"/>
            <w:noWrap/>
            <w:vAlign w:val="center"/>
            <w:hideMark/>
          </w:tcPr>
          <w:p w14:paraId="60F3F2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56.335</w:t>
            </w:r>
          </w:p>
        </w:tc>
        <w:tc>
          <w:tcPr>
            <w:tcW w:w="500" w:type="pct"/>
            <w:shd w:val="clear" w:color="000000" w:fill="auto"/>
            <w:noWrap/>
            <w:vAlign w:val="center"/>
            <w:hideMark/>
          </w:tcPr>
          <w:p w14:paraId="09A99E1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3.103</w:t>
            </w:r>
          </w:p>
        </w:tc>
        <w:tc>
          <w:tcPr>
            <w:tcW w:w="500" w:type="pct"/>
            <w:shd w:val="clear" w:color="000000" w:fill="auto"/>
            <w:noWrap/>
            <w:vAlign w:val="center"/>
            <w:hideMark/>
          </w:tcPr>
          <w:p w14:paraId="4B22B08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1.675</w:t>
            </w:r>
          </w:p>
        </w:tc>
        <w:tc>
          <w:tcPr>
            <w:tcW w:w="500" w:type="pct"/>
            <w:shd w:val="clear" w:color="000000" w:fill="auto"/>
            <w:noWrap/>
            <w:vAlign w:val="center"/>
            <w:hideMark/>
          </w:tcPr>
          <w:p w14:paraId="0CDBBCA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145.603</w:t>
            </w:r>
          </w:p>
        </w:tc>
      </w:tr>
      <w:tr w:rsidR="00535FE1" w:rsidRPr="00F05605" w14:paraId="5AC1267E" w14:textId="77777777" w:rsidTr="00535FE1">
        <w:trPr>
          <w:trHeight w:val="290"/>
        </w:trPr>
        <w:tc>
          <w:tcPr>
            <w:tcW w:w="500" w:type="pct"/>
            <w:shd w:val="clear" w:color="000000" w:fill="auto"/>
            <w:noWrap/>
            <w:vAlign w:val="bottom"/>
            <w:hideMark/>
          </w:tcPr>
          <w:p w14:paraId="57B8E21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N_105 </w:t>
            </w:r>
          </w:p>
        </w:tc>
        <w:tc>
          <w:tcPr>
            <w:tcW w:w="500" w:type="pct"/>
            <w:shd w:val="clear" w:color="000000" w:fill="auto"/>
            <w:noWrap/>
            <w:vAlign w:val="center"/>
            <w:hideMark/>
          </w:tcPr>
          <w:p w14:paraId="6AC7656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428.906</w:t>
            </w:r>
          </w:p>
        </w:tc>
        <w:tc>
          <w:tcPr>
            <w:tcW w:w="500" w:type="pct"/>
            <w:shd w:val="clear" w:color="000000" w:fill="auto"/>
            <w:noWrap/>
            <w:vAlign w:val="center"/>
            <w:hideMark/>
          </w:tcPr>
          <w:p w14:paraId="7E89E55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78.519</w:t>
            </w:r>
          </w:p>
        </w:tc>
        <w:tc>
          <w:tcPr>
            <w:tcW w:w="500" w:type="pct"/>
            <w:shd w:val="clear" w:color="000000" w:fill="auto"/>
            <w:noWrap/>
            <w:vAlign w:val="center"/>
            <w:hideMark/>
          </w:tcPr>
          <w:p w14:paraId="0B308BB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33.715</w:t>
            </w:r>
          </w:p>
        </w:tc>
        <w:tc>
          <w:tcPr>
            <w:tcW w:w="500" w:type="pct"/>
            <w:shd w:val="clear" w:color="000000" w:fill="auto"/>
            <w:noWrap/>
            <w:vAlign w:val="center"/>
            <w:hideMark/>
          </w:tcPr>
          <w:p w14:paraId="606D5D4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541.140</w:t>
            </w:r>
          </w:p>
        </w:tc>
        <w:tc>
          <w:tcPr>
            <w:tcW w:w="500" w:type="pct"/>
            <w:shd w:val="clear" w:color="000000" w:fill="auto"/>
            <w:noWrap/>
            <w:vAlign w:val="center"/>
            <w:hideMark/>
          </w:tcPr>
          <w:p w14:paraId="5EA026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114.842</w:t>
            </w:r>
          </w:p>
        </w:tc>
        <w:tc>
          <w:tcPr>
            <w:tcW w:w="500" w:type="pct"/>
            <w:shd w:val="clear" w:color="000000" w:fill="auto"/>
            <w:noWrap/>
            <w:vAlign w:val="center"/>
            <w:hideMark/>
          </w:tcPr>
          <w:p w14:paraId="40E5DE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76.573</w:t>
            </w:r>
          </w:p>
        </w:tc>
        <w:tc>
          <w:tcPr>
            <w:tcW w:w="500" w:type="pct"/>
            <w:shd w:val="clear" w:color="000000" w:fill="auto"/>
            <w:noWrap/>
            <w:vAlign w:val="center"/>
            <w:hideMark/>
          </w:tcPr>
          <w:p w14:paraId="4D9681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4.218</w:t>
            </w:r>
          </w:p>
        </w:tc>
        <w:tc>
          <w:tcPr>
            <w:tcW w:w="500" w:type="pct"/>
            <w:shd w:val="clear" w:color="000000" w:fill="auto"/>
            <w:noWrap/>
            <w:vAlign w:val="center"/>
            <w:hideMark/>
          </w:tcPr>
          <w:p w14:paraId="21EF84F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2.277</w:t>
            </w:r>
          </w:p>
        </w:tc>
        <w:tc>
          <w:tcPr>
            <w:tcW w:w="500" w:type="pct"/>
            <w:shd w:val="clear" w:color="000000" w:fill="auto"/>
            <w:noWrap/>
            <w:vAlign w:val="center"/>
            <w:hideMark/>
          </w:tcPr>
          <w:p w14:paraId="7CCCE02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197.910</w:t>
            </w:r>
          </w:p>
        </w:tc>
      </w:tr>
      <w:tr w:rsidR="00535FE1" w:rsidRPr="00F05605" w14:paraId="30276C04" w14:textId="77777777" w:rsidTr="00535FE1">
        <w:trPr>
          <w:trHeight w:val="290"/>
        </w:trPr>
        <w:tc>
          <w:tcPr>
            <w:tcW w:w="500" w:type="pct"/>
            <w:shd w:val="clear" w:color="000000" w:fill="auto"/>
            <w:noWrap/>
            <w:vAlign w:val="bottom"/>
            <w:hideMark/>
          </w:tcPr>
          <w:p w14:paraId="3EEE8B4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N_106 </w:t>
            </w:r>
          </w:p>
        </w:tc>
        <w:tc>
          <w:tcPr>
            <w:tcW w:w="500" w:type="pct"/>
            <w:shd w:val="clear" w:color="000000" w:fill="auto"/>
            <w:noWrap/>
            <w:vAlign w:val="center"/>
            <w:hideMark/>
          </w:tcPr>
          <w:p w14:paraId="60615A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59.680</w:t>
            </w:r>
          </w:p>
        </w:tc>
        <w:tc>
          <w:tcPr>
            <w:tcW w:w="500" w:type="pct"/>
            <w:shd w:val="clear" w:color="000000" w:fill="auto"/>
            <w:noWrap/>
            <w:vAlign w:val="center"/>
            <w:hideMark/>
          </w:tcPr>
          <w:p w14:paraId="11E79BB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30.577</w:t>
            </w:r>
          </w:p>
        </w:tc>
        <w:tc>
          <w:tcPr>
            <w:tcW w:w="500" w:type="pct"/>
            <w:shd w:val="clear" w:color="000000" w:fill="auto"/>
            <w:noWrap/>
            <w:vAlign w:val="center"/>
            <w:hideMark/>
          </w:tcPr>
          <w:p w14:paraId="7D4E782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33.268</w:t>
            </w:r>
          </w:p>
        </w:tc>
        <w:tc>
          <w:tcPr>
            <w:tcW w:w="500" w:type="pct"/>
            <w:shd w:val="clear" w:color="000000" w:fill="auto"/>
            <w:noWrap/>
            <w:vAlign w:val="center"/>
            <w:hideMark/>
          </w:tcPr>
          <w:p w14:paraId="466354F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123.525</w:t>
            </w:r>
          </w:p>
        </w:tc>
        <w:tc>
          <w:tcPr>
            <w:tcW w:w="500" w:type="pct"/>
            <w:shd w:val="clear" w:color="000000" w:fill="auto"/>
            <w:noWrap/>
            <w:vAlign w:val="center"/>
            <w:hideMark/>
          </w:tcPr>
          <w:p w14:paraId="6BC067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58.204</w:t>
            </w:r>
          </w:p>
        </w:tc>
        <w:tc>
          <w:tcPr>
            <w:tcW w:w="500" w:type="pct"/>
            <w:shd w:val="clear" w:color="000000" w:fill="auto"/>
            <w:noWrap/>
            <w:vAlign w:val="center"/>
            <w:hideMark/>
          </w:tcPr>
          <w:p w14:paraId="4F4A6BD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30.218</w:t>
            </w:r>
          </w:p>
        </w:tc>
        <w:tc>
          <w:tcPr>
            <w:tcW w:w="500" w:type="pct"/>
            <w:shd w:val="clear" w:color="000000" w:fill="auto"/>
            <w:noWrap/>
            <w:vAlign w:val="center"/>
            <w:hideMark/>
          </w:tcPr>
          <w:p w14:paraId="751830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5.791</w:t>
            </w:r>
          </w:p>
        </w:tc>
        <w:tc>
          <w:tcPr>
            <w:tcW w:w="500" w:type="pct"/>
            <w:shd w:val="clear" w:color="000000" w:fill="auto"/>
            <w:noWrap/>
            <w:vAlign w:val="center"/>
            <w:hideMark/>
          </w:tcPr>
          <w:p w14:paraId="3C08D7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1.520</w:t>
            </w:r>
          </w:p>
        </w:tc>
        <w:tc>
          <w:tcPr>
            <w:tcW w:w="500" w:type="pct"/>
            <w:shd w:val="clear" w:color="000000" w:fill="auto"/>
            <w:noWrap/>
            <w:vAlign w:val="center"/>
            <w:hideMark/>
          </w:tcPr>
          <w:p w14:paraId="3A50285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95.734</w:t>
            </w:r>
          </w:p>
        </w:tc>
      </w:tr>
      <w:tr w:rsidR="00535FE1" w:rsidRPr="00F05605" w14:paraId="65F88548" w14:textId="77777777" w:rsidTr="00535FE1">
        <w:trPr>
          <w:trHeight w:val="290"/>
        </w:trPr>
        <w:tc>
          <w:tcPr>
            <w:tcW w:w="500" w:type="pct"/>
            <w:shd w:val="clear" w:color="000000" w:fill="auto"/>
            <w:noWrap/>
            <w:vAlign w:val="bottom"/>
            <w:hideMark/>
          </w:tcPr>
          <w:p w14:paraId="73679EF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N_107 </w:t>
            </w:r>
          </w:p>
        </w:tc>
        <w:tc>
          <w:tcPr>
            <w:tcW w:w="500" w:type="pct"/>
            <w:shd w:val="clear" w:color="000000" w:fill="auto"/>
            <w:noWrap/>
            <w:vAlign w:val="center"/>
            <w:hideMark/>
          </w:tcPr>
          <w:p w14:paraId="6949FE1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113.418</w:t>
            </w:r>
          </w:p>
        </w:tc>
        <w:tc>
          <w:tcPr>
            <w:tcW w:w="500" w:type="pct"/>
            <w:shd w:val="clear" w:color="000000" w:fill="auto"/>
            <w:noWrap/>
            <w:vAlign w:val="center"/>
            <w:hideMark/>
          </w:tcPr>
          <w:p w14:paraId="56A6619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44.264</w:t>
            </w:r>
          </w:p>
        </w:tc>
        <w:tc>
          <w:tcPr>
            <w:tcW w:w="500" w:type="pct"/>
            <w:shd w:val="clear" w:color="000000" w:fill="auto"/>
            <w:noWrap/>
            <w:vAlign w:val="center"/>
            <w:hideMark/>
          </w:tcPr>
          <w:p w14:paraId="47FAF3D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22.750</w:t>
            </w:r>
          </w:p>
        </w:tc>
        <w:tc>
          <w:tcPr>
            <w:tcW w:w="500" w:type="pct"/>
            <w:shd w:val="clear" w:color="000000" w:fill="auto"/>
            <w:noWrap/>
            <w:vAlign w:val="center"/>
            <w:hideMark/>
          </w:tcPr>
          <w:p w14:paraId="016A317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180.432</w:t>
            </w:r>
          </w:p>
        </w:tc>
        <w:tc>
          <w:tcPr>
            <w:tcW w:w="500" w:type="pct"/>
            <w:shd w:val="clear" w:color="000000" w:fill="auto"/>
            <w:noWrap/>
            <w:vAlign w:val="center"/>
            <w:hideMark/>
          </w:tcPr>
          <w:p w14:paraId="61F957D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32.490</w:t>
            </w:r>
          </w:p>
        </w:tc>
        <w:tc>
          <w:tcPr>
            <w:tcW w:w="500" w:type="pct"/>
            <w:shd w:val="clear" w:color="000000" w:fill="auto"/>
            <w:noWrap/>
            <w:vAlign w:val="center"/>
            <w:hideMark/>
          </w:tcPr>
          <w:p w14:paraId="35AB74E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43.297</w:t>
            </w:r>
          </w:p>
        </w:tc>
        <w:tc>
          <w:tcPr>
            <w:tcW w:w="500" w:type="pct"/>
            <w:shd w:val="clear" w:color="000000" w:fill="auto"/>
            <w:noWrap/>
            <w:vAlign w:val="center"/>
            <w:hideMark/>
          </w:tcPr>
          <w:p w14:paraId="0DB07DC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3.780</w:t>
            </w:r>
          </w:p>
        </w:tc>
        <w:tc>
          <w:tcPr>
            <w:tcW w:w="500" w:type="pct"/>
            <w:shd w:val="clear" w:color="000000" w:fill="auto"/>
            <w:noWrap/>
            <w:vAlign w:val="center"/>
            <w:hideMark/>
          </w:tcPr>
          <w:p w14:paraId="46D666E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1.490</w:t>
            </w:r>
          </w:p>
        </w:tc>
        <w:tc>
          <w:tcPr>
            <w:tcW w:w="500" w:type="pct"/>
            <w:shd w:val="clear" w:color="000000" w:fill="auto"/>
            <w:noWrap/>
            <w:vAlign w:val="center"/>
            <w:hideMark/>
          </w:tcPr>
          <w:p w14:paraId="2A359DE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81.057</w:t>
            </w:r>
          </w:p>
        </w:tc>
      </w:tr>
      <w:tr w:rsidR="00535FE1" w:rsidRPr="00F05605" w14:paraId="42FD6988" w14:textId="77777777" w:rsidTr="00535FE1">
        <w:trPr>
          <w:trHeight w:val="290"/>
        </w:trPr>
        <w:tc>
          <w:tcPr>
            <w:tcW w:w="500" w:type="pct"/>
            <w:shd w:val="clear" w:color="000000" w:fill="auto"/>
            <w:noWrap/>
            <w:vAlign w:val="bottom"/>
            <w:hideMark/>
          </w:tcPr>
          <w:p w14:paraId="0A1E027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N_109 </w:t>
            </w:r>
          </w:p>
        </w:tc>
        <w:tc>
          <w:tcPr>
            <w:tcW w:w="500" w:type="pct"/>
            <w:shd w:val="clear" w:color="000000" w:fill="auto"/>
            <w:noWrap/>
            <w:vAlign w:val="center"/>
            <w:hideMark/>
          </w:tcPr>
          <w:p w14:paraId="3C52150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42.140</w:t>
            </w:r>
          </w:p>
        </w:tc>
        <w:tc>
          <w:tcPr>
            <w:tcW w:w="500" w:type="pct"/>
            <w:shd w:val="clear" w:color="000000" w:fill="auto"/>
            <w:noWrap/>
            <w:vAlign w:val="center"/>
            <w:hideMark/>
          </w:tcPr>
          <w:p w14:paraId="33FDA0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25.045</w:t>
            </w:r>
          </w:p>
        </w:tc>
        <w:tc>
          <w:tcPr>
            <w:tcW w:w="500" w:type="pct"/>
            <w:shd w:val="clear" w:color="000000" w:fill="auto"/>
            <w:noWrap/>
            <w:vAlign w:val="center"/>
            <w:hideMark/>
          </w:tcPr>
          <w:p w14:paraId="23FFA1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12.873</w:t>
            </w:r>
          </w:p>
        </w:tc>
        <w:tc>
          <w:tcPr>
            <w:tcW w:w="500" w:type="pct"/>
            <w:shd w:val="clear" w:color="000000" w:fill="auto"/>
            <w:noWrap/>
            <w:vAlign w:val="center"/>
            <w:hideMark/>
          </w:tcPr>
          <w:p w14:paraId="20D35A4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80.058</w:t>
            </w:r>
          </w:p>
        </w:tc>
        <w:tc>
          <w:tcPr>
            <w:tcW w:w="500" w:type="pct"/>
            <w:shd w:val="clear" w:color="000000" w:fill="auto"/>
            <w:noWrap/>
            <w:vAlign w:val="center"/>
            <w:hideMark/>
          </w:tcPr>
          <w:p w14:paraId="673C143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18.383</w:t>
            </w:r>
          </w:p>
        </w:tc>
        <w:tc>
          <w:tcPr>
            <w:tcW w:w="500" w:type="pct"/>
            <w:shd w:val="clear" w:color="000000" w:fill="auto"/>
            <w:noWrap/>
            <w:vAlign w:val="center"/>
            <w:hideMark/>
          </w:tcPr>
          <w:p w14:paraId="06E140F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24.499</w:t>
            </w:r>
          </w:p>
        </w:tc>
        <w:tc>
          <w:tcPr>
            <w:tcW w:w="500" w:type="pct"/>
            <w:shd w:val="clear" w:color="000000" w:fill="auto"/>
            <w:noWrap/>
            <w:vAlign w:val="center"/>
            <w:hideMark/>
          </w:tcPr>
          <w:p w14:paraId="0A858D7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2.139</w:t>
            </w:r>
          </w:p>
        </w:tc>
        <w:tc>
          <w:tcPr>
            <w:tcW w:w="500" w:type="pct"/>
            <w:shd w:val="clear" w:color="000000" w:fill="auto"/>
            <w:noWrap/>
            <w:vAlign w:val="center"/>
            <w:hideMark/>
          </w:tcPr>
          <w:p w14:paraId="409194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843</w:t>
            </w:r>
          </w:p>
        </w:tc>
        <w:tc>
          <w:tcPr>
            <w:tcW w:w="500" w:type="pct"/>
            <w:shd w:val="clear" w:color="000000" w:fill="auto"/>
            <w:noWrap/>
            <w:vAlign w:val="center"/>
            <w:hideMark/>
          </w:tcPr>
          <w:p w14:paraId="2BF722C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45.864</w:t>
            </w:r>
          </w:p>
        </w:tc>
      </w:tr>
      <w:tr w:rsidR="00535FE1" w:rsidRPr="00F05605" w14:paraId="643604B9" w14:textId="77777777" w:rsidTr="00535FE1">
        <w:trPr>
          <w:trHeight w:val="290"/>
        </w:trPr>
        <w:tc>
          <w:tcPr>
            <w:tcW w:w="500" w:type="pct"/>
            <w:shd w:val="clear" w:color="000000" w:fill="auto"/>
            <w:noWrap/>
            <w:vAlign w:val="bottom"/>
            <w:hideMark/>
          </w:tcPr>
          <w:p w14:paraId="0EC6665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N_110 </w:t>
            </w:r>
          </w:p>
        </w:tc>
        <w:tc>
          <w:tcPr>
            <w:tcW w:w="500" w:type="pct"/>
            <w:shd w:val="clear" w:color="000000" w:fill="auto"/>
            <w:noWrap/>
            <w:vAlign w:val="center"/>
            <w:hideMark/>
          </w:tcPr>
          <w:p w14:paraId="6C4FF8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164.186</w:t>
            </w:r>
          </w:p>
        </w:tc>
        <w:tc>
          <w:tcPr>
            <w:tcW w:w="500" w:type="pct"/>
            <w:shd w:val="clear" w:color="000000" w:fill="auto"/>
            <w:noWrap/>
            <w:vAlign w:val="center"/>
            <w:hideMark/>
          </w:tcPr>
          <w:p w14:paraId="52ED227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94.756</w:t>
            </w:r>
          </w:p>
        </w:tc>
        <w:tc>
          <w:tcPr>
            <w:tcW w:w="500" w:type="pct"/>
            <w:shd w:val="clear" w:color="000000" w:fill="auto"/>
            <w:noWrap/>
            <w:vAlign w:val="center"/>
            <w:hideMark/>
          </w:tcPr>
          <w:p w14:paraId="6E50B56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48.703</w:t>
            </w:r>
          </w:p>
        </w:tc>
        <w:tc>
          <w:tcPr>
            <w:tcW w:w="500" w:type="pct"/>
            <w:shd w:val="clear" w:color="000000" w:fill="auto"/>
            <w:noWrap/>
            <w:vAlign w:val="center"/>
            <w:hideMark/>
          </w:tcPr>
          <w:p w14:paraId="294C1FC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307.645</w:t>
            </w:r>
          </w:p>
        </w:tc>
        <w:tc>
          <w:tcPr>
            <w:tcW w:w="500" w:type="pct"/>
            <w:shd w:val="clear" w:color="000000" w:fill="auto"/>
            <w:noWrap/>
            <w:vAlign w:val="center"/>
            <w:hideMark/>
          </w:tcPr>
          <w:p w14:paraId="686B52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69.552</w:t>
            </w:r>
          </w:p>
        </w:tc>
        <w:tc>
          <w:tcPr>
            <w:tcW w:w="500" w:type="pct"/>
            <w:shd w:val="clear" w:color="000000" w:fill="auto"/>
            <w:noWrap/>
            <w:vAlign w:val="center"/>
            <w:hideMark/>
          </w:tcPr>
          <w:p w14:paraId="784FCB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92.688</w:t>
            </w:r>
          </w:p>
        </w:tc>
        <w:tc>
          <w:tcPr>
            <w:tcW w:w="500" w:type="pct"/>
            <w:shd w:val="clear" w:color="000000" w:fill="auto"/>
            <w:noWrap/>
            <w:vAlign w:val="center"/>
            <w:hideMark/>
          </w:tcPr>
          <w:p w14:paraId="282DBCD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8.091</w:t>
            </w:r>
          </w:p>
        </w:tc>
        <w:tc>
          <w:tcPr>
            <w:tcW w:w="500" w:type="pct"/>
            <w:shd w:val="clear" w:color="000000" w:fill="auto"/>
            <w:noWrap/>
            <w:vAlign w:val="center"/>
            <w:hideMark/>
          </w:tcPr>
          <w:p w14:paraId="7DB34FF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3.190</w:t>
            </w:r>
          </w:p>
        </w:tc>
        <w:tc>
          <w:tcPr>
            <w:tcW w:w="500" w:type="pct"/>
            <w:shd w:val="clear" w:color="000000" w:fill="auto"/>
            <w:noWrap/>
            <w:vAlign w:val="center"/>
            <w:hideMark/>
          </w:tcPr>
          <w:p w14:paraId="630F7CD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173.520</w:t>
            </w:r>
          </w:p>
        </w:tc>
      </w:tr>
      <w:tr w:rsidR="00535FE1" w:rsidRPr="00F05605" w14:paraId="6C9E30F1" w14:textId="77777777" w:rsidTr="00535FE1">
        <w:trPr>
          <w:trHeight w:val="290"/>
        </w:trPr>
        <w:tc>
          <w:tcPr>
            <w:tcW w:w="500" w:type="pct"/>
            <w:shd w:val="clear" w:color="000000" w:fill="auto"/>
            <w:noWrap/>
            <w:vAlign w:val="bottom"/>
            <w:hideMark/>
          </w:tcPr>
          <w:p w14:paraId="0760104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N_111 </w:t>
            </w:r>
          </w:p>
        </w:tc>
        <w:tc>
          <w:tcPr>
            <w:tcW w:w="500" w:type="pct"/>
            <w:shd w:val="clear" w:color="000000" w:fill="auto"/>
            <w:noWrap/>
            <w:vAlign w:val="center"/>
            <w:hideMark/>
          </w:tcPr>
          <w:p w14:paraId="0B5CB9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49.663</w:t>
            </w:r>
          </w:p>
        </w:tc>
        <w:tc>
          <w:tcPr>
            <w:tcW w:w="500" w:type="pct"/>
            <w:shd w:val="clear" w:color="000000" w:fill="auto"/>
            <w:noWrap/>
            <w:vAlign w:val="center"/>
            <w:hideMark/>
          </w:tcPr>
          <w:p w14:paraId="7F36D1D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49.917</w:t>
            </w:r>
          </w:p>
        </w:tc>
        <w:tc>
          <w:tcPr>
            <w:tcW w:w="500" w:type="pct"/>
            <w:shd w:val="clear" w:color="000000" w:fill="auto"/>
            <w:noWrap/>
            <w:vAlign w:val="center"/>
            <w:hideMark/>
          </w:tcPr>
          <w:p w14:paraId="751D47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25.656</w:t>
            </w:r>
          </w:p>
        </w:tc>
        <w:tc>
          <w:tcPr>
            <w:tcW w:w="500" w:type="pct"/>
            <w:shd w:val="clear" w:color="000000" w:fill="auto"/>
            <w:noWrap/>
            <w:vAlign w:val="center"/>
            <w:hideMark/>
          </w:tcPr>
          <w:p w14:paraId="7F575DF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125.237</w:t>
            </w:r>
          </w:p>
        </w:tc>
        <w:tc>
          <w:tcPr>
            <w:tcW w:w="500" w:type="pct"/>
            <w:shd w:val="clear" w:color="000000" w:fill="auto"/>
            <w:noWrap/>
            <w:vAlign w:val="center"/>
            <w:hideMark/>
          </w:tcPr>
          <w:p w14:paraId="55BC50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36.640</w:t>
            </w:r>
          </w:p>
        </w:tc>
        <w:tc>
          <w:tcPr>
            <w:tcW w:w="500" w:type="pct"/>
            <w:shd w:val="clear" w:color="000000" w:fill="auto"/>
            <w:noWrap/>
            <w:vAlign w:val="center"/>
            <w:hideMark/>
          </w:tcPr>
          <w:p w14:paraId="346B154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48.828</w:t>
            </w:r>
          </w:p>
        </w:tc>
        <w:tc>
          <w:tcPr>
            <w:tcW w:w="500" w:type="pct"/>
            <w:shd w:val="clear" w:color="000000" w:fill="auto"/>
            <w:noWrap/>
            <w:vAlign w:val="center"/>
            <w:hideMark/>
          </w:tcPr>
          <w:p w14:paraId="0B1B24E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4.262</w:t>
            </w:r>
          </w:p>
        </w:tc>
        <w:tc>
          <w:tcPr>
            <w:tcW w:w="500" w:type="pct"/>
            <w:shd w:val="clear" w:color="000000" w:fill="auto"/>
            <w:noWrap/>
            <w:vAlign w:val="center"/>
            <w:hideMark/>
          </w:tcPr>
          <w:p w14:paraId="2B634D9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1.680</w:t>
            </w:r>
          </w:p>
        </w:tc>
        <w:tc>
          <w:tcPr>
            <w:tcW w:w="500" w:type="pct"/>
            <w:shd w:val="clear" w:color="000000" w:fill="auto"/>
            <w:noWrap/>
            <w:vAlign w:val="center"/>
            <w:hideMark/>
          </w:tcPr>
          <w:p w14:paraId="1BA38E7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91.410</w:t>
            </w:r>
          </w:p>
        </w:tc>
      </w:tr>
      <w:tr w:rsidR="00535FE1" w:rsidRPr="00F05605" w14:paraId="78D790A9" w14:textId="77777777" w:rsidTr="00535FE1">
        <w:trPr>
          <w:trHeight w:val="290"/>
        </w:trPr>
        <w:tc>
          <w:tcPr>
            <w:tcW w:w="500" w:type="pct"/>
            <w:shd w:val="clear" w:color="000000" w:fill="auto"/>
            <w:noWrap/>
            <w:vAlign w:val="bottom"/>
            <w:hideMark/>
          </w:tcPr>
          <w:p w14:paraId="0BC87E1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N_112 </w:t>
            </w:r>
          </w:p>
        </w:tc>
        <w:tc>
          <w:tcPr>
            <w:tcW w:w="500" w:type="pct"/>
            <w:shd w:val="clear" w:color="000000" w:fill="auto"/>
            <w:noWrap/>
            <w:vAlign w:val="center"/>
            <w:hideMark/>
          </w:tcPr>
          <w:p w14:paraId="259A31F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21.945</w:t>
            </w:r>
          </w:p>
        </w:tc>
        <w:tc>
          <w:tcPr>
            <w:tcW w:w="500" w:type="pct"/>
            <w:shd w:val="clear" w:color="000000" w:fill="auto"/>
            <w:noWrap/>
            <w:vAlign w:val="center"/>
            <w:hideMark/>
          </w:tcPr>
          <w:p w14:paraId="277BA30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18.268</w:t>
            </w:r>
          </w:p>
        </w:tc>
        <w:tc>
          <w:tcPr>
            <w:tcW w:w="500" w:type="pct"/>
            <w:shd w:val="clear" w:color="000000" w:fill="auto"/>
            <w:noWrap/>
            <w:vAlign w:val="center"/>
            <w:hideMark/>
          </w:tcPr>
          <w:p w14:paraId="4D2921C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7.844</w:t>
            </w:r>
          </w:p>
        </w:tc>
        <w:tc>
          <w:tcPr>
            <w:tcW w:w="500" w:type="pct"/>
            <w:shd w:val="clear" w:color="000000" w:fill="auto"/>
            <w:noWrap/>
            <w:vAlign w:val="center"/>
            <w:hideMark/>
          </w:tcPr>
          <w:p w14:paraId="3E017C8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48.058</w:t>
            </w:r>
          </w:p>
        </w:tc>
        <w:tc>
          <w:tcPr>
            <w:tcW w:w="500" w:type="pct"/>
            <w:shd w:val="clear" w:color="000000" w:fill="auto"/>
            <w:noWrap/>
            <w:vAlign w:val="center"/>
            <w:hideMark/>
          </w:tcPr>
          <w:p w14:paraId="5A13FBF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26.719</w:t>
            </w:r>
          </w:p>
        </w:tc>
        <w:tc>
          <w:tcPr>
            <w:tcW w:w="500" w:type="pct"/>
            <w:shd w:val="clear" w:color="000000" w:fill="auto"/>
            <w:noWrap/>
            <w:vAlign w:val="center"/>
            <w:hideMark/>
          </w:tcPr>
          <w:p w14:paraId="4BB655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17.816</w:t>
            </w:r>
          </w:p>
        </w:tc>
        <w:tc>
          <w:tcPr>
            <w:tcW w:w="500" w:type="pct"/>
            <w:shd w:val="clear" w:color="000000" w:fill="auto"/>
            <w:noWrap/>
            <w:vAlign w:val="center"/>
            <w:hideMark/>
          </w:tcPr>
          <w:p w14:paraId="2CFFB09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981</w:t>
            </w:r>
          </w:p>
        </w:tc>
        <w:tc>
          <w:tcPr>
            <w:tcW w:w="500" w:type="pct"/>
            <w:shd w:val="clear" w:color="000000" w:fill="auto"/>
            <w:noWrap/>
            <w:vAlign w:val="center"/>
            <w:hideMark/>
          </w:tcPr>
          <w:p w14:paraId="682780E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530</w:t>
            </w:r>
          </w:p>
        </w:tc>
        <w:tc>
          <w:tcPr>
            <w:tcW w:w="500" w:type="pct"/>
            <w:shd w:val="clear" w:color="000000" w:fill="auto"/>
            <w:noWrap/>
            <w:vAlign w:val="center"/>
            <w:hideMark/>
          </w:tcPr>
          <w:p w14:paraId="4E89002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46.046</w:t>
            </w:r>
          </w:p>
        </w:tc>
      </w:tr>
      <w:tr w:rsidR="00535FE1" w:rsidRPr="00F05605" w14:paraId="5CAD7BEC" w14:textId="77777777" w:rsidTr="00535FE1">
        <w:trPr>
          <w:trHeight w:val="290"/>
        </w:trPr>
        <w:tc>
          <w:tcPr>
            <w:tcW w:w="500" w:type="pct"/>
            <w:shd w:val="clear" w:color="000000" w:fill="auto"/>
            <w:noWrap/>
            <w:vAlign w:val="bottom"/>
            <w:hideMark/>
          </w:tcPr>
          <w:p w14:paraId="00D5A1F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N_113 </w:t>
            </w:r>
          </w:p>
        </w:tc>
        <w:tc>
          <w:tcPr>
            <w:tcW w:w="500" w:type="pct"/>
            <w:shd w:val="clear" w:color="000000" w:fill="auto"/>
            <w:noWrap/>
            <w:vAlign w:val="center"/>
            <w:hideMark/>
          </w:tcPr>
          <w:p w14:paraId="1EB2B9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468.533</w:t>
            </w:r>
          </w:p>
        </w:tc>
        <w:tc>
          <w:tcPr>
            <w:tcW w:w="500" w:type="pct"/>
            <w:shd w:val="clear" w:color="000000" w:fill="auto"/>
            <w:noWrap/>
            <w:vAlign w:val="center"/>
            <w:hideMark/>
          </w:tcPr>
          <w:p w14:paraId="4976BB4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225.860</w:t>
            </w:r>
          </w:p>
        </w:tc>
        <w:tc>
          <w:tcPr>
            <w:tcW w:w="500" w:type="pct"/>
            <w:shd w:val="clear" w:color="000000" w:fill="auto"/>
            <w:noWrap/>
            <w:vAlign w:val="center"/>
            <w:hideMark/>
          </w:tcPr>
          <w:p w14:paraId="6AFB868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285.178</w:t>
            </w:r>
          </w:p>
        </w:tc>
        <w:tc>
          <w:tcPr>
            <w:tcW w:w="500" w:type="pct"/>
            <w:shd w:val="clear" w:color="000000" w:fill="auto"/>
            <w:noWrap/>
            <w:vAlign w:val="center"/>
            <w:hideMark/>
          </w:tcPr>
          <w:p w14:paraId="4E6477E1"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979.571</w:t>
            </w:r>
          </w:p>
        </w:tc>
        <w:tc>
          <w:tcPr>
            <w:tcW w:w="500" w:type="pct"/>
            <w:shd w:val="clear" w:color="000000" w:fill="auto"/>
            <w:noWrap/>
            <w:vAlign w:val="center"/>
            <w:hideMark/>
          </w:tcPr>
          <w:p w14:paraId="7F57CB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292.034</w:t>
            </w:r>
          </w:p>
        </w:tc>
        <w:tc>
          <w:tcPr>
            <w:tcW w:w="500" w:type="pct"/>
            <w:shd w:val="clear" w:color="000000" w:fill="auto"/>
            <w:noWrap/>
            <w:vAlign w:val="center"/>
            <w:hideMark/>
          </w:tcPr>
          <w:p w14:paraId="66221D8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224.281</w:t>
            </w:r>
          </w:p>
        </w:tc>
        <w:tc>
          <w:tcPr>
            <w:tcW w:w="500" w:type="pct"/>
            <w:shd w:val="clear" w:color="000000" w:fill="auto"/>
            <w:noWrap/>
            <w:vAlign w:val="center"/>
            <w:hideMark/>
          </w:tcPr>
          <w:p w14:paraId="45D2D2F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54.808</w:t>
            </w:r>
          </w:p>
        </w:tc>
        <w:tc>
          <w:tcPr>
            <w:tcW w:w="500" w:type="pct"/>
            <w:shd w:val="clear" w:color="000000" w:fill="auto"/>
            <w:noWrap/>
            <w:vAlign w:val="center"/>
            <w:hideMark/>
          </w:tcPr>
          <w:p w14:paraId="43F496F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12.913</w:t>
            </w:r>
          </w:p>
        </w:tc>
        <w:tc>
          <w:tcPr>
            <w:tcW w:w="500" w:type="pct"/>
            <w:shd w:val="clear" w:color="000000" w:fill="auto"/>
            <w:noWrap/>
            <w:vAlign w:val="center"/>
            <w:hideMark/>
          </w:tcPr>
          <w:p w14:paraId="19513D6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584.036</w:t>
            </w:r>
          </w:p>
        </w:tc>
      </w:tr>
      <w:tr w:rsidR="00535FE1" w:rsidRPr="00F05605" w14:paraId="7217A3C3" w14:textId="77777777" w:rsidTr="00535FE1">
        <w:trPr>
          <w:trHeight w:val="290"/>
        </w:trPr>
        <w:tc>
          <w:tcPr>
            <w:tcW w:w="500" w:type="pct"/>
            <w:shd w:val="clear" w:color="000000" w:fill="auto"/>
            <w:noWrap/>
            <w:vAlign w:val="bottom"/>
            <w:hideMark/>
          </w:tcPr>
          <w:p w14:paraId="0677EEF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N_115 </w:t>
            </w:r>
          </w:p>
        </w:tc>
        <w:tc>
          <w:tcPr>
            <w:tcW w:w="500" w:type="pct"/>
            <w:shd w:val="clear" w:color="000000" w:fill="auto"/>
            <w:noWrap/>
            <w:vAlign w:val="center"/>
            <w:hideMark/>
          </w:tcPr>
          <w:p w14:paraId="4217589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68.234</w:t>
            </w:r>
          </w:p>
        </w:tc>
        <w:tc>
          <w:tcPr>
            <w:tcW w:w="500" w:type="pct"/>
            <w:shd w:val="clear" w:color="000000" w:fill="auto"/>
            <w:noWrap/>
            <w:vAlign w:val="center"/>
            <w:hideMark/>
          </w:tcPr>
          <w:p w14:paraId="14AE71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11.724</w:t>
            </w:r>
          </w:p>
        </w:tc>
        <w:tc>
          <w:tcPr>
            <w:tcW w:w="500" w:type="pct"/>
            <w:shd w:val="clear" w:color="000000" w:fill="auto"/>
            <w:noWrap/>
            <w:vAlign w:val="center"/>
            <w:hideMark/>
          </w:tcPr>
          <w:p w14:paraId="0333AB2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12.756</w:t>
            </w:r>
          </w:p>
        </w:tc>
        <w:tc>
          <w:tcPr>
            <w:tcW w:w="500" w:type="pct"/>
            <w:shd w:val="clear" w:color="000000" w:fill="auto"/>
            <w:noWrap/>
            <w:vAlign w:val="center"/>
            <w:hideMark/>
          </w:tcPr>
          <w:p w14:paraId="703AEB0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92.714</w:t>
            </w:r>
          </w:p>
        </w:tc>
        <w:tc>
          <w:tcPr>
            <w:tcW w:w="500" w:type="pct"/>
            <w:shd w:val="clear" w:color="000000" w:fill="auto"/>
            <w:noWrap/>
            <w:vAlign w:val="center"/>
            <w:hideMark/>
          </w:tcPr>
          <w:p w14:paraId="1F57A49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22.317</w:t>
            </w:r>
          </w:p>
        </w:tc>
        <w:tc>
          <w:tcPr>
            <w:tcW w:w="500" w:type="pct"/>
            <w:shd w:val="clear" w:color="000000" w:fill="auto"/>
            <w:noWrap/>
            <w:vAlign w:val="center"/>
            <w:hideMark/>
          </w:tcPr>
          <w:p w14:paraId="005324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11.586</w:t>
            </w:r>
          </w:p>
        </w:tc>
        <w:tc>
          <w:tcPr>
            <w:tcW w:w="500" w:type="pct"/>
            <w:shd w:val="clear" w:color="000000" w:fill="auto"/>
            <w:noWrap/>
            <w:vAlign w:val="center"/>
            <w:hideMark/>
          </w:tcPr>
          <w:p w14:paraId="10BE740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2.220</w:t>
            </w:r>
          </w:p>
        </w:tc>
        <w:tc>
          <w:tcPr>
            <w:tcW w:w="500" w:type="pct"/>
            <w:shd w:val="clear" w:color="000000" w:fill="auto"/>
            <w:noWrap/>
            <w:vAlign w:val="center"/>
            <w:hideMark/>
          </w:tcPr>
          <w:p w14:paraId="7575BE8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583</w:t>
            </w:r>
          </w:p>
        </w:tc>
        <w:tc>
          <w:tcPr>
            <w:tcW w:w="500" w:type="pct"/>
            <w:shd w:val="clear" w:color="000000" w:fill="auto"/>
            <w:noWrap/>
            <w:vAlign w:val="center"/>
            <w:hideMark/>
          </w:tcPr>
          <w:p w14:paraId="411C348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36.707</w:t>
            </w:r>
          </w:p>
        </w:tc>
      </w:tr>
      <w:tr w:rsidR="00535FE1" w:rsidRPr="00F05605" w14:paraId="0E83328D" w14:textId="77777777" w:rsidTr="00535FE1">
        <w:trPr>
          <w:trHeight w:val="290"/>
        </w:trPr>
        <w:tc>
          <w:tcPr>
            <w:tcW w:w="500" w:type="pct"/>
            <w:shd w:val="clear" w:color="000000" w:fill="auto"/>
            <w:noWrap/>
            <w:vAlign w:val="bottom"/>
            <w:hideMark/>
          </w:tcPr>
          <w:p w14:paraId="0FF25A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N_116 </w:t>
            </w:r>
          </w:p>
        </w:tc>
        <w:tc>
          <w:tcPr>
            <w:tcW w:w="500" w:type="pct"/>
            <w:shd w:val="clear" w:color="000000" w:fill="auto"/>
            <w:noWrap/>
            <w:vAlign w:val="center"/>
            <w:hideMark/>
          </w:tcPr>
          <w:p w14:paraId="5F8DEC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59.102</w:t>
            </w:r>
          </w:p>
        </w:tc>
        <w:tc>
          <w:tcPr>
            <w:tcW w:w="500" w:type="pct"/>
            <w:shd w:val="clear" w:color="000000" w:fill="auto"/>
            <w:noWrap/>
            <w:vAlign w:val="center"/>
            <w:hideMark/>
          </w:tcPr>
          <w:p w14:paraId="62BD81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10.833</w:t>
            </w:r>
          </w:p>
        </w:tc>
        <w:tc>
          <w:tcPr>
            <w:tcW w:w="500" w:type="pct"/>
            <w:shd w:val="clear" w:color="000000" w:fill="auto"/>
            <w:noWrap/>
            <w:vAlign w:val="center"/>
            <w:hideMark/>
          </w:tcPr>
          <w:p w14:paraId="1B1A8D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4.651</w:t>
            </w:r>
          </w:p>
        </w:tc>
        <w:tc>
          <w:tcPr>
            <w:tcW w:w="500" w:type="pct"/>
            <w:shd w:val="clear" w:color="000000" w:fill="auto"/>
            <w:noWrap/>
            <w:vAlign w:val="center"/>
            <w:hideMark/>
          </w:tcPr>
          <w:p w14:paraId="64BF10E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74.586</w:t>
            </w:r>
          </w:p>
        </w:tc>
        <w:tc>
          <w:tcPr>
            <w:tcW w:w="500" w:type="pct"/>
            <w:shd w:val="clear" w:color="000000" w:fill="auto"/>
            <w:noWrap/>
            <w:vAlign w:val="center"/>
            <w:hideMark/>
          </w:tcPr>
          <w:p w14:paraId="10F8F59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15.844</w:t>
            </w:r>
          </w:p>
        </w:tc>
        <w:tc>
          <w:tcPr>
            <w:tcW w:w="500" w:type="pct"/>
            <w:shd w:val="clear" w:color="000000" w:fill="auto"/>
            <w:noWrap/>
            <w:vAlign w:val="center"/>
            <w:hideMark/>
          </w:tcPr>
          <w:p w14:paraId="39F2831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10.564</w:t>
            </w:r>
          </w:p>
        </w:tc>
        <w:tc>
          <w:tcPr>
            <w:tcW w:w="500" w:type="pct"/>
            <w:shd w:val="clear" w:color="000000" w:fill="auto"/>
            <w:noWrap/>
            <w:vAlign w:val="center"/>
            <w:hideMark/>
          </w:tcPr>
          <w:p w14:paraId="279CC08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582</w:t>
            </w:r>
          </w:p>
        </w:tc>
        <w:tc>
          <w:tcPr>
            <w:tcW w:w="500" w:type="pct"/>
            <w:shd w:val="clear" w:color="000000" w:fill="auto"/>
            <w:noWrap/>
            <w:vAlign w:val="center"/>
            <w:hideMark/>
          </w:tcPr>
          <w:p w14:paraId="439308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314</w:t>
            </w:r>
          </w:p>
        </w:tc>
        <w:tc>
          <w:tcPr>
            <w:tcW w:w="500" w:type="pct"/>
            <w:shd w:val="clear" w:color="000000" w:fill="auto"/>
            <w:noWrap/>
            <w:vAlign w:val="center"/>
            <w:hideMark/>
          </w:tcPr>
          <w:p w14:paraId="7AC5BA2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27.304</w:t>
            </w:r>
          </w:p>
        </w:tc>
      </w:tr>
      <w:tr w:rsidR="00535FE1" w:rsidRPr="00F05605" w14:paraId="48C75FA2" w14:textId="77777777" w:rsidTr="00535FE1">
        <w:trPr>
          <w:trHeight w:val="290"/>
        </w:trPr>
        <w:tc>
          <w:tcPr>
            <w:tcW w:w="500" w:type="pct"/>
            <w:shd w:val="clear" w:color="000000" w:fill="auto"/>
            <w:noWrap/>
            <w:vAlign w:val="bottom"/>
            <w:hideMark/>
          </w:tcPr>
          <w:p w14:paraId="5A3710A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N_117 </w:t>
            </w:r>
          </w:p>
        </w:tc>
        <w:tc>
          <w:tcPr>
            <w:tcW w:w="500" w:type="pct"/>
            <w:shd w:val="clear" w:color="000000" w:fill="auto"/>
            <w:noWrap/>
            <w:vAlign w:val="center"/>
            <w:hideMark/>
          </w:tcPr>
          <w:p w14:paraId="0D87CBA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91.394</w:t>
            </w:r>
          </w:p>
        </w:tc>
        <w:tc>
          <w:tcPr>
            <w:tcW w:w="500" w:type="pct"/>
            <w:shd w:val="clear" w:color="000000" w:fill="auto"/>
            <w:noWrap/>
            <w:vAlign w:val="center"/>
            <w:hideMark/>
          </w:tcPr>
          <w:p w14:paraId="2D9CF42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18.078</w:t>
            </w:r>
          </w:p>
        </w:tc>
        <w:tc>
          <w:tcPr>
            <w:tcW w:w="500" w:type="pct"/>
            <w:shd w:val="clear" w:color="000000" w:fill="auto"/>
            <w:noWrap/>
            <w:vAlign w:val="center"/>
            <w:hideMark/>
          </w:tcPr>
          <w:p w14:paraId="79503DC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7.762</w:t>
            </w:r>
          </w:p>
        </w:tc>
        <w:tc>
          <w:tcPr>
            <w:tcW w:w="500" w:type="pct"/>
            <w:shd w:val="clear" w:color="000000" w:fill="auto"/>
            <w:noWrap/>
            <w:vAlign w:val="center"/>
            <w:hideMark/>
          </w:tcPr>
          <w:p w14:paraId="165E2C6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117.235</w:t>
            </w:r>
          </w:p>
        </w:tc>
        <w:tc>
          <w:tcPr>
            <w:tcW w:w="500" w:type="pct"/>
            <w:shd w:val="clear" w:color="000000" w:fill="auto"/>
            <w:noWrap/>
            <w:vAlign w:val="center"/>
            <w:hideMark/>
          </w:tcPr>
          <w:p w14:paraId="35D9EE5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26.441</w:t>
            </w:r>
          </w:p>
        </w:tc>
        <w:tc>
          <w:tcPr>
            <w:tcW w:w="500" w:type="pct"/>
            <w:shd w:val="clear" w:color="000000" w:fill="auto"/>
            <w:noWrap/>
            <w:vAlign w:val="center"/>
            <w:hideMark/>
          </w:tcPr>
          <w:p w14:paraId="04995CA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17.630</w:t>
            </w:r>
          </w:p>
        </w:tc>
        <w:tc>
          <w:tcPr>
            <w:tcW w:w="500" w:type="pct"/>
            <w:shd w:val="clear" w:color="000000" w:fill="auto"/>
            <w:noWrap/>
            <w:vAlign w:val="center"/>
            <w:hideMark/>
          </w:tcPr>
          <w:p w14:paraId="0A84D68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971</w:t>
            </w:r>
          </w:p>
        </w:tc>
        <w:tc>
          <w:tcPr>
            <w:tcW w:w="500" w:type="pct"/>
            <w:shd w:val="clear" w:color="000000" w:fill="auto"/>
            <w:noWrap/>
            <w:vAlign w:val="center"/>
            <w:hideMark/>
          </w:tcPr>
          <w:p w14:paraId="2526BAA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524</w:t>
            </w:r>
          </w:p>
        </w:tc>
        <w:tc>
          <w:tcPr>
            <w:tcW w:w="500" w:type="pct"/>
            <w:shd w:val="clear" w:color="000000" w:fill="auto"/>
            <w:noWrap/>
            <w:vAlign w:val="center"/>
            <w:hideMark/>
          </w:tcPr>
          <w:p w14:paraId="59D4838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45.566</w:t>
            </w:r>
          </w:p>
        </w:tc>
      </w:tr>
      <w:tr w:rsidR="00535FE1" w:rsidRPr="00F05605" w14:paraId="2AFA6959" w14:textId="77777777" w:rsidTr="00535FE1">
        <w:trPr>
          <w:trHeight w:val="290"/>
        </w:trPr>
        <w:tc>
          <w:tcPr>
            <w:tcW w:w="500" w:type="pct"/>
            <w:shd w:val="clear" w:color="000000" w:fill="auto"/>
            <w:noWrap/>
            <w:vAlign w:val="bottom"/>
            <w:hideMark/>
          </w:tcPr>
          <w:p w14:paraId="23ACB88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N_118 </w:t>
            </w:r>
          </w:p>
        </w:tc>
        <w:tc>
          <w:tcPr>
            <w:tcW w:w="500" w:type="pct"/>
            <w:shd w:val="clear" w:color="000000" w:fill="auto"/>
            <w:noWrap/>
            <w:vAlign w:val="center"/>
            <w:hideMark/>
          </w:tcPr>
          <w:p w14:paraId="342FAB0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154.865</w:t>
            </w:r>
          </w:p>
        </w:tc>
        <w:tc>
          <w:tcPr>
            <w:tcW w:w="500" w:type="pct"/>
            <w:shd w:val="clear" w:color="000000" w:fill="auto"/>
            <w:noWrap/>
            <w:vAlign w:val="center"/>
            <w:hideMark/>
          </w:tcPr>
          <w:p w14:paraId="23C0BD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122.659</w:t>
            </w:r>
          </w:p>
        </w:tc>
        <w:tc>
          <w:tcPr>
            <w:tcW w:w="500" w:type="pct"/>
            <w:shd w:val="clear" w:color="000000" w:fill="auto"/>
            <w:noWrap/>
            <w:vAlign w:val="center"/>
            <w:hideMark/>
          </w:tcPr>
          <w:p w14:paraId="3430CE6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63.044</w:t>
            </w:r>
          </w:p>
        </w:tc>
        <w:tc>
          <w:tcPr>
            <w:tcW w:w="500" w:type="pct"/>
            <w:shd w:val="clear" w:color="000000" w:fill="auto"/>
            <w:noWrap/>
            <w:vAlign w:val="center"/>
            <w:hideMark/>
          </w:tcPr>
          <w:p w14:paraId="4F6C09C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340.568</w:t>
            </w:r>
          </w:p>
        </w:tc>
        <w:tc>
          <w:tcPr>
            <w:tcW w:w="500" w:type="pct"/>
            <w:shd w:val="clear" w:color="000000" w:fill="auto"/>
            <w:noWrap/>
            <w:vAlign w:val="center"/>
            <w:hideMark/>
          </w:tcPr>
          <w:p w14:paraId="7EC023D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90.033</w:t>
            </w:r>
          </w:p>
        </w:tc>
        <w:tc>
          <w:tcPr>
            <w:tcW w:w="500" w:type="pct"/>
            <w:shd w:val="clear" w:color="000000" w:fill="auto"/>
            <w:noWrap/>
            <w:vAlign w:val="center"/>
            <w:hideMark/>
          </w:tcPr>
          <w:p w14:paraId="2C2C7F7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119.981</w:t>
            </w:r>
          </w:p>
        </w:tc>
        <w:tc>
          <w:tcPr>
            <w:tcW w:w="500" w:type="pct"/>
            <w:shd w:val="clear" w:color="000000" w:fill="auto"/>
            <w:noWrap/>
            <w:vAlign w:val="center"/>
            <w:hideMark/>
          </w:tcPr>
          <w:p w14:paraId="422302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10.474</w:t>
            </w:r>
          </w:p>
        </w:tc>
        <w:tc>
          <w:tcPr>
            <w:tcW w:w="500" w:type="pct"/>
            <w:shd w:val="clear" w:color="000000" w:fill="auto"/>
            <w:noWrap/>
            <w:vAlign w:val="center"/>
            <w:hideMark/>
          </w:tcPr>
          <w:p w14:paraId="54287A6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4.129</w:t>
            </w:r>
          </w:p>
        </w:tc>
        <w:tc>
          <w:tcPr>
            <w:tcW w:w="500" w:type="pct"/>
            <w:shd w:val="clear" w:color="000000" w:fill="auto"/>
            <w:noWrap/>
            <w:vAlign w:val="center"/>
            <w:hideMark/>
          </w:tcPr>
          <w:p w14:paraId="2FECD02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224.617</w:t>
            </w:r>
          </w:p>
        </w:tc>
      </w:tr>
      <w:tr w:rsidR="00535FE1" w:rsidRPr="00F05605" w14:paraId="78AEF361" w14:textId="77777777" w:rsidTr="00535FE1">
        <w:trPr>
          <w:trHeight w:val="290"/>
        </w:trPr>
        <w:tc>
          <w:tcPr>
            <w:tcW w:w="500" w:type="pct"/>
            <w:shd w:val="clear" w:color="000000" w:fill="auto"/>
            <w:noWrap/>
            <w:vAlign w:val="bottom"/>
            <w:hideMark/>
          </w:tcPr>
          <w:p w14:paraId="63A834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N_119 </w:t>
            </w:r>
          </w:p>
        </w:tc>
        <w:tc>
          <w:tcPr>
            <w:tcW w:w="500" w:type="pct"/>
            <w:shd w:val="clear" w:color="000000" w:fill="auto"/>
            <w:noWrap/>
            <w:vAlign w:val="center"/>
            <w:hideMark/>
          </w:tcPr>
          <w:p w14:paraId="46F303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64.152</w:t>
            </w:r>
          </w:p>
        </w:tc>
        <w:tc>
          <w:tcPr>
            <w:tcW w:w="500" w:type="pct"/>
            <w:shd w:val="clear" w:color="000000" w:fill="auto"/>
            <w:noWrap/>
            <w:vAlign w:val="center"/>
            <w:hideMark/>
          </w:tcPr>
          <w:p w14:paraId="73C890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19.470</w:t>
            </w:r>
          </w:p>
        </w:tc>
        <w:tc>
          <w:tcPr>
            <w:tcW w:w="500" w:type="pct"/>
            <w:shd w:val="clear" w:color="000000" w:fill="auto"/>
            <w:noWrap/>
            <w:vAlign w:val="center"/>
            <w:hideMark/>
          </w:tcPr>
          <w:p w14:paraId="704CAD0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10.007</w:t>
            </w:r>
          </w:p>
        </w:tc>
        <w:tc>
          <w:tcPr>
            <w:tcW w:w="500" w:type="pct"/>
            <w:shd w:val="clear" w:color="000000" w:fill="auto"/>
            <w:noWrap/>
            <w:vAlign w:val="center"/>
            <w:hideMark/>
          </w:tcPr>
          <w:p w14:paraId="4897BEB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93.629</w:t>
            </w:r>
          </w:p>
        </w:tc>
        <w:tc>
          <w:tcPr>
            <w:tcW w:w="500" w:type="pct"/>
            <w:shd w:val="clear" w:color="000000" w:fill="auto"/>
            <w:noWrap/>
            <w:vAlign w:val="center"/>
            <w:hideMark/>
          </w:tcPr>
          <w:p w14:paraId="007D2B9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14.291</w:t>
            </w:r>
          </w:p>
        </w:tc>
        <w:tc>
          <w:tcPr>
            <w:tcW w:w="500" w:type="pct"/>
            <w:shd w:val="clear" w:color="000000" w:fill="auto"/>
            <w:noWrap/>
            <w:vAlign w:val="center"/>
            <w:hideMark/>
          </w:tcPr>
          <w:p w14:paraId="5CFEB61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19.045</w:t>
            </w:r>
          </w:p>
        </w:tc>
        <w:tc>
          <w:tcPr>
            <w:tcW w:w="500" w:type="pct"/>
            <w:shd w:val="clear" w:color="000000" w:fill="auto"/>
            <w:noWrap/>
            <w:vAlign w:val="center"/>
            <w:hideMark/>
          </w:tcPr>
          <w:p w14:paraId="329BA56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1.663</w:t>
            </w:r>
          </w:p>
        </w:tc>
        <w:tc>
          <w:tcPr>
            <w:tcW w:w="500" w:type="pct"/>
            <w:shd w:val="clear" w:color="000000" w:fill="auto"/>
            <w:noWrap/>
            <w:vAlign w:val="center"/>
            <w:hideMark/>
          </w:tcPr>
          <w:p w14:paraId="182670E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655</w:t>
            </w:r>
          </w:p>
        </w:tc>
        <w:tc>
          <w:tcPr>
            <w:tcW w:w="500" w:type="pct"/>
            <w:shd w:val="clear" w:color="000000" w:fill="auto"/>
            <w:noWrap/>
            <w:vAlign w:val="center"/>
            <w:hideMark/>
          </w:tcPr>
          <w:p w14:paraId="15C66F7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35.654</w:t>
            </w:r>
          </w:p>
        </w:tc>
      </w:tr>
      <w:tr w:rsidR="00535FE1" w:rsidRPr="00F05605" w14:paraId="43796CDF" w14:textId="77777777" w:rsidTr="00535FE1">
        <w:trPr>
          <w:trHeight w:val="290"/>
        </w:trPr>
        <w:tc>
          <w:tcPr>
            <w:tcW w:w="500" w:type="pct"/>
            <w:shd w:val="clear" w:color="000000" w:fill="auto"/>
            <w:noWrap/>
            <w:vAlign w:val="bottom"/>
            <w:hideMark/>
          </w:tcPr>
          <w:p w14:paraId="6ABBD78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N_120 </w:t>
            </w:r>
          </w:p>
        </w:tc>
        <w:tc>
          <w:tcPr>
            <w:tcW w:w="500" w:type="pct"/>
            <w:shd w:val="clear" w:color="000000" w:fill="auto"/>
            <w:noWrap/>
            <w:vAlign w:val="center"/>
            <w:hideMark/>
          </w:tcPr>
          <w:p w14:paraId="4349649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215.032</w:t>
            </w:r>
          </w:p>
        </w:tc>
        <w:tc>
          <w:tcPr>
            <w:tcW w:w="500" w:type="pct"/>
            <w:shd w:val="clear" w:color="000000" w:fill="auto"/>
            <w:noWrap/>
            <w:vAlign w:val="center"/>
            <w:hideMark/>
          </w:tcPr>
          <w:p w14:paraId="71A4AD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41.906</w:t>
            </w:r>
          </w:p>
        </w:tc>
        <w:tc>
          <w:tcPr>
            <w:tcW w:w="500" w:type="pct"/>
            <w:shd w:val="clear" w:color="000000" w:fill="auto"/>
            <w:noWrap/>
            <w:vAlign w:val="center"/>
            <w:hideMark/>
          </w:tcPr>
          <w:p w14:paraId="55B22CD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45.593</w:t>
            </w:r>
          </w:p>
        </w:tc>
        <w:tc>
          <w:tcPr>
            <w:tcW w:w="500" w:type="pct"/>
            <w:shd w:val="clear" w:color="000000" w:fill="auto"/>
            <w:noWrap/>
            <w:vAlign w:val="center"/>
            <w:hideMark/>
          </w:tcPr>
          <w:p w14:paraId="2F6F7E7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302.531</w:t>
            </w:r>
          </w:p>
        </w:tc>
        <w:tc>
          <w:tcPr>
            <w:tcW w:w="500" w:type="pct"/>
            <w:shd w:val="clear" w:color="000000" w:fill="auto"/>
            <w:noWrap/>
            <w:vAlign w:val="center"/>
            <w:hideMark/>
          </w:tcPr>
          <w:p w14:paraId="63544C5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79.768</w:t>
            </w:r>
          </w:p>
        </w:tc>
        <w:tc>
          <w:tcPr>
            <w:tcW w:w="500" w:type="pct"/>
            <w:shd w:val="clear" w:color="000000" w:fill="auto"/>
            <w:noWrap/>
            <w:vAlign w:val="center"/>
            <w:hideMark/>
          </w:tcPr>
          <w:p w14:paraId="340171A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41.414</w:t>
            </w:r>
          </w:p>
        </w:tc>
        <w:tc>
          <w:tcPr>
            <w:tcW w:w="500" w:type="pct"/>
            <w:shd w:val="clear" w:color="000000" w:fill="auto"/>
            <w:noWrap/>
            <w:vAlign w:val="center"/>
            <w:hideMark/>
          </w:tcPr>
          <w:p w14:paraId="367221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7.937</w:t>
            </w:r>
          </w:p>
        </w:tc>
        <w:tc>
          <w:tcPr>
            <w:tcW w:w="500" w:type="pct"/>
            <w:shd w:val="clear" w:color="000000" w:fill="auto"/>
            <w:noWrap/>
            <w:vAlign w:val="center"/>
            <w:hideMark/>
          </w:tcPr>
          <w:p w14:paraId="538AAB8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2.084</w:t>
            </w:r>
          </w:p>
        </w:tc>
        <w:tc>
          <w:tcPr>
            <w:tcW w:w="500" w:type="pct"/>
            <w:shd w:val="clear" w:color="000000" w:fill="auto"/>
            <w:noWrap/>
            <w:vAlign w:val="center"/>
            <w:hideMark/>
          </w:tcPr>
          <w:p w14:paraId="09E22385"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131.202</w:t>
            </w:r>
          </w:p>
        </w:tc>
      </w:tr>
      <w:tr w:rsidR="00535FE1" w:rsidRPr="00F05605" w14:paraId="7BCAB190" w14:textId="77777777" w:rsidTr="00535FE1">
        <w:trPr>
          <w:trHeight w:val="290"/>
        </w:trPr>
        <w:tc>
          <w:tcPr>
            <w:tcW w:w="500" w:type="pct"/>
            <w:shd w:val="clear" w:color="000000" w:fill="auto"/>
            <w:noWrap/>
            <w:vAlign w:val="bottom"/>
            <w:hideMark/>
          </w:tcPr>
          <w:p w14:paraId="245292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N_121 </w:t>
            </w:r>
          </w:p>
        </w:tc>
        <w:tc>
          <w:tcPr>
            <w:tcW w:w="500" w:type="pct"/>
            <w:shd w:val="clear" w:color="000000" w:fill="auto"/>
            <w:noWrap/>
            <w:vAlign w:val="center"/>
            <w:hideMark/>
          </w:tcPr>
          <w:p w14:paraId="0ED4FDF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161.688</w:t>
            </w:r>
          </w:p>
        </w:tc>
        <w:tc>
          <w:tcPr>
            <w:tcW w:w="500" w:type="pct"/>
            <w:shd w:val="clear" w:color="000000" w:fill="auto"/>
            <w:noWrap/>
            <w:vAlign w:val="center"/>
            <w:hideMark/>
          </w:tcPr>
          <w:p w14:paraId="1C1F85E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39.412</w:t>
            </w:r>
          </w:p>
        </w:tc>
        <w:tc>
          <w:tcPr>
            <w:tcW w:w="500" w:type="pct"/>
            <w:shd w:val="clear" w:color="000000" w:fill="auto"/>
            <w:noWrap/>
            <w:vAlign w:val="center"/>
            <w:hideMark/>
          </w:tcPr>
          <w:p w14:paraId="0060F05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42.880</w:t>
            </w:r>
          </w:p>
        </w:tc>
        <w:tc>
          <w:tcPr>
            <w:tcW w:w="500" w:type="pct"/>
            <w:shd w:val="clear" w:color="000000" w:fill="auto"/>
            <w:noWrap/>
            <w:vAlign w:val="center"/>
            <w:hideMark/>
          </w:tcPr>
          <w:p w14:paraId="21F047D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243.979</w:t>
            </w:r>
          </w:p>
        </w:tc>
        <w:tc>
          <w:tcPr>
            <w:tcW w:w="500" w:type="pct"/>
            <w:shd w:val="clear" w:color="000000" w:fill="auto"/>
            <w:noWrap/>
            <w:vAlign w:val="center"/>
            <w:hideMark/>
          </w:tcPr>
          <w:p w14:paraId="1A01CD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75.020</w:t>
            </w:r>
          </w:p>
        </w:tc>
        <w:tc>
          <w:tcPr>
            <w:tcW w:w="500" w:type="pct"/>
            <w:shd w:val="clear" w:color="000000" w:fill="auto"/>
            <w:noWrap/>
            <w:vAlign w:val="center"/>
            <w:hideMark/>
          </w:tcPr>
          <w:p w14:paraId="523430D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38.949</w:t>
            </w:r>
          </w:p>
        </w:tc>
        <w:tc>
          <w:tcPr>
            <w:tcW w:w="500" w:type="pct"/>
            <w:shd w:val="clear" w:color="000000" w:fill="auto"/>
            <w:noWrap/>
            <w:vAlign w:val="center"/>
            <w:hideMark/>
          </w:tcPr>
          <w:p w14:paraId="37425D1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7.464</w:t>
            </w:r>
          </w:p>
        </w:tc>
        <w:tc>
          <w:tcPr>
            <w:tcW w:w="500" w:type="pct"/>
            <w:shd w:val="clear" w:color="000000" w:fill="auto"/>
            <w:noWrap/>
            <w:vAlign w:val="center"/>
            <w:hideMark/>
          </w:tcPr>
          <w:p w14:paraId="07F9B23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1.960</w:t>
            </w:r>
          </w:p>
        </w:tc>
        <w:tc>
          <w:tcPr>
            <w:tcW w:w="500" w:type="pct"/>
            <w:shd w:val="clear" w:color="000000" w:fill="auto"/>
            <w:noWrap/>
            <w:vAlign w:val="center"/>
            <w:hideMark/>
          </w:tcPr>
          <w:p w14:paraId="1136BBA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123.393</w:t>
            </w:r>
          </w:p>
        </w:tc>
      </w:tr>
      <w:tr w:rsidR="00535FE1" w:rsidRPr="00F05605" w14:paraId="0549EB08" w14:textId="77777777" w:rsidTr="00535FE1">
        <w:trPr>
          <w:trHeight w:val="290"/>
        </w:trPr>
        <w:tc>
          <w:tcPr>
            <w:tcW w:w="500" w:type="pct"/>
            <w:shd w:val="clear" w:color="000000" w:fill="auto"/>
            <w:noWrap/>
            <w:vAlign w:val="bottom"/>
            <w:hideMark/>
          </w:tcPr>
          <w:p w14:paraId="2A0AD9B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N_123 </w:t>
            </w:r>
          </w:p>
        </w:tc>
        <w:tc>
          <w:tcPr>
            <w:tcW w:w="500" w:type="pct"/>
            <w:shd w:val="clear" w:color="000000" w:fill="auto"/>
            <w:noWrap/>
            <w:vAlign w:val="center"/>
            <w:hideMark/>
          </w:tcPr>
          <w:p w14:paraId="7D4F642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124.654</w:t>
            </w:r>
          </w:p>
        </w:tc>
        <w:tc>
          <w:tcPr>
            <w:tcW w:w="500" w:type="pct"/>
            <w:shd w:val="clear" w:color="000000" w:fill="auto"/>
            <w:noWrap/>
            <w:vAlign w:val="center"/>
            <w:hideMark/>
          </w:tcPr>
          <w:p w14:paraId="69C1ECC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34.619</w:t>
            </w:r>
          </w:p>
        </w:tc>
        <w:tc>
          <w:tcPr>
            <w:tcW w:w="500" w:type="pct"/>
            <w:shd w:val="clear" w:color="000000" w:fill="auto"/>
            <w:noWrap/>
            <w:vAlign w:val="center"/>
            <w:hideMark/>
          </w:tcPr>
          <w:p w14:paraId="4FA498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37.665</w:t>
            </w:r>
          </w:p>
        </w:tc>
        <w:tc>
          <w:tcPr>
            <w:tcW w:w="500" w:type="pct"/>
            <w:shd w:val="clear" w:color="000000" w:fill="auto"/>
            <w:noWrap/>
            <w:vAlign w:val="center"/>
            <w:hideMark/>
          </w:tcPr>
          <w:p w14:paraId="786D1907"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196.938</w:t>
            </w:r>
          </w:p>
        </w:tc>
        <w:tc>
          <w:tcPr>
            <w:tcW w:w="500" w:type="pct"/>
            <w:shd w:val="clear" w:color="000000" w:fill="auto"/>
            <w:noWrap/>
            <w:vAlign w:val="center"/>
            <w:hideMark/>
          </w:tcPr>
          <w:p w14:paraId="0C6629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65.898</w:t>
            </w:r>
          </w:p>
        </w:tc>
        <w:tc>
          <w:tcPr>
            <w:tcW w:w="500" w:type="pct"/>
            <w:shd w:val="clear" w:color="000000" w:fill="auto"/>
            <w:noWrap/>
            <w:vAlign w:val="center"/>
            <w:hideMark/>
          </w:tcPr>
          <w:p w14:paraId="4643217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34.213</w:t>
            </w:r>
          </w:p>
        </w:tc>
        <w:tc>
          <w:tcPr>
            <w:tcW w:w="500" w:type="pct"/>
            <w:shd w:val="clear" w:color="000000" w:fill="auto"/>
            <w:noWrap/>
            <w:vAlign w:val="center"/>
            <w:hideMark/>
          </w:tcPr>
          <w:p w14:paraId="186777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6.557</w:t>
            </w:r>
          </w:p>
        </w:tc>
        <w:tc>
          <w:tcPr>
            <w:tcW w:w="500" w:type="pct"/>
            <w:shd w:val="clear" w:color="000000" w:fill="auto"/>
            <w:noWrap/>
            <w:vAlign w:val="center"/>
            <w:hideMark/>
          </w:tcPr>
          <w:p w14:paraId="54733A1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1.721</w:t>
            </w:r>
          </w:p>
        </w:tc>
        <w:tc>
          <w:tcPr>
            <w:tcW w:w="500" w:type="pct"/>
            <w:shd w:val="clear" w:color="000000" w:fill="auto"/>
            <w:noWrap/>
            <w:vAlign w:val="center"/>
            <w:hideMark/>
          </w:tcPr>
          <w:p w14:paraId="638876F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108.389</w:t>
            </w:r>
          </w:p>
        </w:tc>
      </w:tr>
      <w:tr w:rsidR="00535FE1" w:rsidRPr="00F05605" w14:paraId="3EBCC52B" w14:textId="77777777" w:rsidTr="00535FE1">
        <w:trPr>
          <w:trHeight w:val="290"/>
        </w:trPr>
        <w:tc>
          <w:tcPr>
            <w:tcW w:w="500" w:type="pct"/>
            <w:shd w:val="clear" w:color="000000" w:fill="auto"/>
            <w:noWrap/>
            <w:vAlign w:val="bottom"/>
            <w:hideMark/>
          </w:tcPr>
          <w:p w14:paraId="7FCA55F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N_124 </w:t>
            </w:r>
          </w:p>
        </w:tc>
        <w:tc>
          <w:tcPr>
            <w:tcW w:w="500" w:type="pct"/>
            <w:shd w:val="clear" w:color="000000" w:fill="auto"/>
            <w:noWrap/>
            <w:vAlign w:val="center"/>
            <w:hideMark/>
          </w:tcPr>
          <w:p w14:paraId="104FD5B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44.566</w:t>
            </w:r>
          </w:p>
        </w:tc>
        <w:tc>
          <w:tcPr>
            <w:tcW w:w="500" w:type="pct"/>
            <w:shd w:val="clear" w:color="000000" w:fill="auto"/>
            <w:noWrap/>
            <w:vAlign w:val="center"/>
            <w:hideMark/>
          </w:tcPr>
          <w:p w14:paraId="61C5CAB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15.389</w:t>
            </w:r>
          </w:p>
        </w:tc>
        <w:tc>
          <w:tcPr>
            <w:tcW w:w="500" w:type="pct"/>
            <w:shd w:val="clear" w:color="000000" w:fill="auto"/>
            <w:noWrap/>
            <w:vAlign w:val="center"/>
            <w:hideMark/>
          </w:tcPr>
          <w:p w14:paraId="7BFF433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16.743</w:t>
            </w:r>
          </w:p>
        </w:tc>
        <w:tc>
          <w:tcPr>
            <w:tcW w:w="500" w:type="pct"/>
            <w:shd w:val="clear" w:color="000000" w:fill="auto"/>
            <w:noWrap/>
            <w:vAlign w:val="center"/>
            <w:hideMark/>
          </w:tcPr>
          <w:p w14:paraId="0AC1B82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76.698</w:t>
            </w:r>
          </w:p>
        </w:tc>
        <w:tc>
          <w:tcPr>
            <w:tcW w:w="500" w:type="pct"/>
            <w:shd w:val="clear" w:color="000000" w:fill="auto"/>
            <w:noWrap/>
            <w:vAlign w:val="center"/>
            <w:hideMark/>
          </w:tcPr>
          <w:p w14:paraId="44C23B5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29.293</w:t>
            </w:r>
          </w:p>
        </w:tc>
        <w:tc>
          <w:tcPr>
            <w:tcW w:w="500" w:type="pct"/>
            <w:shd w:val="clear" w:color="000000" w:fill="auto"/>
            <w:noWrap/>
            <w:vAlign w:val="center"/>
            <w:hideMark/>
          </w:tcPr>
          <w:p w14:paraId="6A6B08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15.208</w:t>
            </w:r>
          </w:p>
        </w:tc>
        <w:tc>
          <w:tcPr>
            <w:tcW w:w="500" w:type="pct"/>
            <w:shd w:val="clear" w:color="000000" w:fill="auto"/>
            <w:noWrap/>
            <w:vAlign w:val="center"/>
            <w:hideMark/>
          </w:tcPr>
          <w:p w14:paraId="2726114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2.915</w:t>
            </w:r>
          </w:p>
        </w:tc>
        <w:tc>
          <w:tcPr>
            <w:tcW w:w="500" w:type="pct"/>
            <w:shd w:val="clear" w:color="000000" w:fill="auto"/>
            <w:noWrap/>
            <w:vAlign w:val="center"/>
            <w:hideMark/>
          </w:tcPr>
          <w:p w14:paraId="7A7088B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765</w:t>
            </w:r>
          </w:p>
        </w:tc>
        <w:tc>
          <w:tcPr>
            <w:tcW w:w="500" w:type="pct"/>
            <w:shd w:val="clear" w:color="000000" w:fill="auto"/>
            <w:noWrap/>
            <w:vAlign w:val="center"/>
            <w:hideMark/>
          </w:tcPr>
          <w:p w14:paraId="4A3A6EE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48.181</w:t>
            </w:r>
          </w:p>
        </w:tc>
      </w:tr>
      <w:tr w:rsidR="00535FE1" w:rsidRPr="00F05605" w14:paraId="4B06A855" w14:textId="77777777" w:rsidTr="00535FE1">
        <w:trPr>
          <w:trHeight w:val="290"/>
        </w:trPr>
        <w:tc>
          <w:tcPr>
            <w:tcW w:w="500" w:type="pct"/>
            <w:shd w:val="clear" w:color="000000" w:fill="auto"/>
            <w:noWrap/>
            <w:vAlign w:val="bottom"/>
            <w:hideMark/>
          </w:tcPr>
          <w:p w14:paraId="6AE4E02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N_125 </w:t>
            </w:r>
          </w:p>
        </w:tc>
        <w:tc>
          <w:tcPr>
            <w:tcW w:w="500" w:type="pct"/>
            <w:shd w:val="clear" w:color="000000" w:fill="auto"/>
            <w:noWrap/>
            <w:vAlign w:val="center"/>
            <w:hideMark/>
          </w:tcPr>
          <w:p w14:paraId="697746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228.736</w:t>
            </w:r>
          </w:p>
        </w:tc>
        <w:tc>
          <w:tcPr>
            <w:tcW w:w="500" w:type="pct"/>
            <w:shd w:val="clear" w:color="000000" w:fill="auto"/>
            <w:noWrap/>
            <w:vAlign w:val="center"/>
            <w:hideMark/>
          </w:tcPr>
          <w:p w14:paraId="1FCD083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29.979</w:t>
            </w:r>
          </w:p>
        </w:tc>
        <w:tc>
          <w:tcPr>
            <w:tcW w:w="500" w:type="pct"/>
            <w:shd w:val="clear" w:color="000000" w:fill="auto"/>
            <w:noWrap/>
            <w:vAlign w:val="center"/>
            <w:hideMark/>
          </w:tcPr>
          <w:p w14:paraId="17C1F3B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12.873</w:t>
            </w:r>
          </w:p>
        </w:tc>
        <w:tc>
          <w:tcPr>
            <w:tcW w:w="500" w:type="pct"/>
            <w:shd w:val="clear" w:color="000000" w:fill="auto"/>
            <w:noWrap/>
            <w:vAlign w:val="center"/>
            <w:hideMark/>
          </w:tcPr>
          <w:p w14:paraId="06AF680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271.587</w:t>
            </w:r>
          </w:p>
        </w:tc>
        <w:tc>
          <w:tcPr>
            <w:tcW w:w="500" w:type="pct"/>
            <w:shd w:val="clear" w:color="000000" w:fill="auto"/>
            <w:noWrap/>
            <w:vAlign w:val="center"/>
            <w:hideMark/>
          </w:tcPr>
          <w:p w14:paraId="1235D4D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43.848</w:t>
            </w:r>
          </w:p>
        </w:tc>
        <w:tc>
          <w:tcPr>
            <w:tcW w:w="500" w:type="pct"/>
            <w:shd w:val="clear" w:color="000000" w:fill="auto"/>
            <w:noWrap/>
            <w:vAlign w:val="center"/>
            <w:hideMark/>
          </w:tcPr>
          <w:p w14:paraId="36340EB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29.236</w:t>
            </w:r>
          </w:p>
        </w:tc>
        <w:tc>
          <w:tcPr>
            <w:tcW w:w="500" w:type="pct"/>
            <w:shd w:val="clear" w:color="000000" w:fill="auto"/>
            <w:noWrap/>
            <w:vAlign w:val="center"/>
            <w:hideMark/>
          </w:tcPr>
          <w:p w14:paraId="062509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1.610</w:t>
            </w:r>
          </w:p>
        </w:tc>
        <w:tc>
          <w:tcPr>
            <w:tcW w:w="500" w:type="pct"/>
            <w:shd w:val="clear" w:color="000000" w:fill="auto"/>
            <w:noWrap/>
            <w:vAlign w:val="center"/>
            <w:hideMark/>
          </w:tcPr>
          <w:p w14:paraId="55DFB6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869</w:t>
            </w:r>
          </w:p>
        </w:tc>
        <w:tc>
          <w:tcPr>
            <w:tcW w:w="500" w:type="pct"/>
            <w:shd w:val="clear" w:color="000000" w:fill="auto"/>
            <w:noWrap/>
            <w:vAlign w:val="center"/>
            <w:hideMark/>
          </w:tcPr>
          <w:p w14:paraId="0277DA8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75.564</w:t>
            </w:r>
          </w:p>
        </w:tc>
      </w:tr>
      <w:tr w:rsidR="00535FE1" w:rsidRPr="00F05605" w14:paraId="76C1778C" w14:textId="77777777" w:rsidTr="00535FE1">
        <w:trPr>
          <w:trHeight w:val="290"/>
        </w:trPr>
        <w:tc>
          <w:tcPr>
            <w:tcW w:w="500" w:type="pct"/>
            <w:shd w:val="clear" w:color="000000" w:fill="auto"/>
            <w:noWrap/>
            <w:vAlign w:val="bottom"/>
            <w:hideMark/>
          </w:tcPr>
          <w:p w14:paraId="5974AF6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N_126 </w:t>
            </w:r>
          </w:p>
        </w:tc>
        <w:tc>
          <w:tcPr>
            <w:tcW w:w="500" w:type="pct"/>
            <w:shd w:val="clear" w:color="000000" w:fill="auto"/>
            <w:noWrap/>
            <w:vAlign w:val="center"/>
            <w:hideMark/>
          </w:tcPr>
          <w:p w14:paraId="6C7AE4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53.925</w:t>
            </w:r>
          </w:p>
        </w:tc>
        <w:tc>
          <w:tcPr>
            <w:tcW w:w="500" w:type="pct"/>
            <w:shd w:val="clear" w:color="000000" w:fill="auto"/>
            <w:noWrap/>
            <w:vAlign w:val="center"/>
            <w:hideMark/>
          </w:tcPr>
          <w:p w14:paraId="41A3B94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21.685</w:t>
            </w:r>
          </w:p>
        </w:tc>
        <w:tc>
          <w:tcPr>
            <w:tcW w:w="500" w:type="pct"/>
            <w:shd w:val="clear" w:color="000000" w:fill="auto"/>
            <w:noWrap/>
            <w:vAlign w:val="center"/>
            <w:hideMark/>
          </w:tcPr>
          <w:p w14:paraId="4106EEE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9.311</w:t>
            </w:r>
          </w:p>
        </w:tc>
        <w:tc>
          <w:tcPr>
            <w:tcW w:w="500" w:type="pct"/>
            <w:shd w:val="clear" w:color="000000" w:fill="auto"/>
            <w:noWrap/>
            <w:vAlign w:val="center"/>
            <w:hideMark/>
          </w:tcPr>
          <w:p w14:paraId="4208945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84.921</w:t>
            </w:r>
          </w:p>
        </w:tc>
        <w:tc>
          <w:tcPr>
            <w:tcW w:w="500" w:type="pct"/>
            <w:shd w:val="clear" w:color="000000" w:fill="auto"/>
            <w:noWrap/>
            <w:vAlign w:val="center"/>
            <w:hideMark/>
          </w:tcPr>
          <w:p w14:paraId="5E2EFDA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31.716</w:t>
            </w:r>
          </w:p>
        </w:tc>
        <w:tc>
          <w:tcPr>
            <w:tcW w:w="500" w:type="pct"/>
            <w:shd w:val="clear" w:color="000000" w:fill="auto"/>
            <w:noWrap/>
            <w:vAlign w:val="center"/>
            <w:hideMark/>
          </w:tcPr>
          <w:p w14:paraId="4BC5F72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21.148</w:t>
            </w:r>
          </w:p>
        </w:tc>
        <w:tc>
          <w:tcPr>
            <w:tcW w:w="500" w:type="pct"/>
            <w:shd w:val="clear" w:color="000000" w:fill="auto"/>
            <w:noWrap/>
            <w:vAlign w:val="center"/>
            <w:hideMark/>
          </w:tcPr>
          <w:p w14:paraId="04A6E32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1.165</w:t>
            </w:r>
          </w:p>
        </w:tc>
        <w:tc>
          <w:tcPr>
            <w:tcW w:w="500" w:type="pct"/>
            <w:shd w:val="clear" w:color="000000" w:fill="auto"/>
            <w:noWrap/>
            <w:vAlign w:val="center"/>
            <w:hideMark/>
          </w:tcPr>
          <w:p w14:paraId="1164A55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629</w:t>
            </w:r>
          </w:p>
        </w:tc>
        <w:tc>
          <w:tcPr>
            <w:tcW w:w="500" w:type="pct"/>
            <w:shd w:val="clear" w:color="000000" w:fill="auto"/>
            <w:noWrap/>
            <w:vAlign w:val="center"/>
            <w:hideMark/>
          </w:tcPr>
          <w:p w14:paraId="5D28869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54.658</w:t>
            </w:r>
          </w:p>
        </w:tc>
      </w:tr>
      <w:tr w:rsidR="00535FE1" w:rsidRPr="00F05605" w14:paraId="05A14C3A" w14:textId="77777777" w:rsidTr="00535FE1">
        <w:trPr>
          <w:trHeight w:val="290"/>
        </w:trPr>
        <w:tc>
          <w:tcPr>
            <w:tcW w:w="500" w:type="pct"/>
            <w:shd w:val="clear" w:color="000000" w:fill="auto"/>
            <w:noWrap/>
            <w:vAlign w:val="bottom"/>
            <w:hideMark/>
          </w:tcPr>
          <w:p w14:paraId="771424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N_127 </w:t>
            </w:r>
          </w:p>
        </w:tc>
        <w:tc>
          <w:tcPr>
            <w:tcW w:w="500" w:type="pct"/>
            <w:shd w:val="clear" w:color="000000" w:fill="auto"/>
            <w:noWrap/>
            <w:vAlign w:val="center"/>
            <w:hideMark/>
          </w:tcPr>
          <w:p w14:paraId="5AC4741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37.344</w:t>
            </w:r>
          </w:p>
        </w:tc>
        <w:tc>
          <w:tcPr>
            <w:tcW w:w="500" w:type="pct"/>
            <w:shd w:val="clear" w:color="000000" w:fill="auto"/>
            <w:noWrap/>
            <w:vAlign w:val="center"/>
            <w:hideMark/>
          </w:tcPr>
          <w:p w14:paraId="3DA6113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26.223</w:t>
            </w:r>
          </w:p>
        </w:tc>
        <w:tc>
          <w:tcPr>
            <w:tcW w:w="500" w:type="pct"/>
            <w:shd w:val="clear" w:color="000000" w:fill="auto"/>
            <w:noWrap/>
            <w:vAlign w:val="center"/>
            <w:hideMark/>
          </w:tcPr>
          <w:p w14:paraId="26EE23D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11.260</w:t>
            </w:r>
          </w:p>
        </w:tc>
        <w:tc>
          <w:tcPr>
            <w:tcW w:w="500" w:type="pct"/>
            <w:shd w:val="clear" w:color="000000" w:fill="auto"/>
            <w:noWrap/>
            <w:vAlign w:val="center"/>
            <w:hideMark/>
          </w:tcPr>
          <w:p w14:paraId="18E110C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74.826</w:t>
            </w:r>
          </w:p>
        </w:tc>
        <w:tc>
          <w:tcPr>
            <w:tcW w:w="500" w:type="pct"/>
            <w:shd w:val="clear" w:color="000000" w:fill="auto"/>
            <w:noWrap/>
            <w:vAlign w:val="center"/>
            <w:hideMark/>
          </w:tcPr>
          <w:p w14:paraId="0D4D3B7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38.353</w:t>
            </w:r>
          </w:p>
        </w:tc>
        <w:tc>
          <w:tcPr>
            <w:tcW w:w="500" w:type="pct"/>
            <w:shd w:val="clear" w:color="000000" w:fill="auto"/>
            <w:noWrap/>
            <w:vAlign w:val="center"/>
            <w:hideMark/>
          </w:tcPr>
          <w:p w14:paraId="66EF45A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25.573</w:t>
            </w:r>
          </w:p>
        </w:tc>
        <w:tc>
          <w:tcPr>
            <w:tcW w:w="500" w:type="pct"/>
            <w:shd w:val="clear" w:color="000000" w:fill="auto"/>
            <w:noWrap/>
            <w:vAlign w:val="center"/>
            <w:hideMark/>
          </w:tcPr>
          <w:p w14:paraId="044F25E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1.409</w:t>
            </w:r>
          </w:p>
        </w:tc>
        <w:tc>
          <w:tcPr>
            <w:tcW w:w="500" w:type="pct"/>
            <w:shd w:val="clear" w:color="000000" w:fill="auto"/>
            <w:noWrap/>
            <w:vAlign w:val="center"/>
            <w:hideMark/>
          </w:tcPr>
          <w:p w14:paraId="6B6ED9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761</w:t>
            </w:r>
          </w:p>
        </w:tc>
        <w:tc>
          <w:tcPr>
            <w:tcW w:w="500" w:type="pct"/>
            <w:shd w:val="clear" w:color="000000" w:fill="auto"/>
            <w:noWrap/>
            <w:vAlign w:val="center"/>
            <w:hideMark/>
          </w:tcPr>
          <w:p w14:paraId="16924D0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66.096</w:t>
            </w:r>
          </w:p>
        </w:tc>
      </w:tr>
      <w:tr w:rsidR="00535FE1" w:rsidRPr="00F05605" w14:paraId="1FCB6767" w14:textId="77777777" w:rsidTr="00535FE1">
        <w:trPr>
          <w:trHeight w:val="290"/>
        </w:trPr>
        <w:tc>
          <w:tcPr>
            <w:tcW w:w="500" w:type="pct"/>
            <w:shd w:val="clear" w:color="000000" w:fill="auto"/>
            <w:noWrap/>
            <w:vAlign w:val="bottom"/>
            <w:hideMark/>
          </w:tcPr>
          <w:p w14:paraId="17F602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N_128 </w:t>
            </w:r>
          </w:p>
        </w:tc>
        <w:tc>
          <w:tcPr>
            <w:tcW w:w="500" w:type="pct"/>
            <w:shd w:val="clear" w:color="000000" w:fill="auto"/>
            <w:noWrap/>
            <w:vAlign w:val="center"/>
            <w:hideMark/>
          </w:tcPr>
          <w:p w14:paraId="53C1E98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32.600</w:t>
            </w:r>
          </w:p>
        </w:tc>
        <w:tc>
          <w:tcPr>
            <w:tcW w:w="500" w:type="pct"/>
            <w:shd w:val="clear" w:color="000000" w:fill="auto"/>
            <w:noWrap/>
            <w:vAlign w:val="center"/>
            <w:hideMark/>
          </w:tcPr>
          <w:p w14:paraId="5129DA4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23.023</w:t>
            </w:r>
          </w:p>
        </w:tc>
        <w:tc>
          <w:tcPr>
            <w:tcW w:w="500" w:type="pct"/>
            <w:shd w:val="clear" w:color="000000" w:fill="auto"/>
            <w:noWrap/>
            <w:vAlign w:val="center"/>
            <w:hideMark/>
          </w:tcPr>
          <w:p w14:paraId="4DA7D2F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9.886</w:t>
            </w:r>
          </w:p>
        </w:tc>
        <w:tc>
          <w:tcPr>
            <w:tcW w:w="500" w:type="pct"/>
            <w:shd w:val="clear" w:color="000000" w:fill="auto"/>
            <w:noWrap/>
            <w:vAlign w:val="center"/>
            <w:hideMark/>
          </w:tcPr>
          <w:p w14:paraId="3A566E7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65.509</w:t>
            </w:r>
          </w:p>
        </w:tc>
        <w:tc>
          <w:tcPr>
            <w:tcW w:w="500" w:type="pct"/>
            <w:shd w:val="clear" w:color="000000" w:fill="auto"/>
            <w:noWrap/>
            <w:vAlign w:val="center"/>
            <w:hideMark/>
          </w:tcPr>
          <w:p w14:paraId="20D9497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33.674</w:t>
            </w:r>
          </w:p>
        </w:tc>
        <w:tc>
          <w:tcPr>
            <w:tcW w:w="500" w:type="pct"/>
            <w:shd w:val="clear" w:color="000000" w:fill="auto"/>
            <w:noWrap/>
            <w:vAlign w:val="center"/>
            <w:hideMark/>
          </w:tcPr>
          <w:p w14:paraId="4AE4197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22.453</w:t>
            </w:r>
          </w:p>
        </w:tc>
        <w:tc>
          <w:tcPr>
            <w:tcW w:w="500" w:type="pct"/>
            <w:shd w:val="clear" w:color="000000" w:fill="auto"/>
            <w:noWrap/>
            <w:vAlign w:val="center"/>
            <w:hideMark/>
          </w:tcPr>
          <w:p w14:paraId="2BB1F62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1.237</w:t>
            </w:r>
          </w:p>
        </w:tc>
        <w:tc>
          <w:tcPr>
            <w:tcW w:w="500" w:type="pct"/>
            <w:shd w:val="clear" w:color="000000" w:fill="auto"/>
            <w:noWrap/>
            <w:vAlign w:val="center"/>
            <w:hideMark/>
          </w:tcPr>
          <w:p w14:paraId="653BE1D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668</w:t>
            </w:r>
          </w:p>
        </w:tc>
        <w:tc>
          <w:tcPr>
            <w:tcW w:w="500" w:type="pct"/>
            <w:shd w:val="clear" w:color="000000" w:fill="auto"/>
            <w:noWrap/>
            <w:vAlign w:val="center"/>
            <w:hideMark/>
          </w:tcPr>
          <w:p w14:paraId="455317F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58.031</w:t>
            </w:r>
          </w:p>
        </w:tc>
      </w:tr>
      <w:tr w:rsidR="00535FE1" w:rsidRPr="00F05605" w14:paraId="33F77DBF" w14:textId="77777777" w:rsidTr="00535FE1">
        <w:trPr>
          <w:trHeight w:val="290"/>
        </w:trPr>
        <w:tc>
          <w:tcPr>
            <w:tcW w:w="500" w:type="pct"/>
            <w:shd w:val="clear" w:color="000000" w:fill="auto"/>
            <w:noWrap/>
            <w:vAlign w:val="bottom"/>
            <w:hideMark/>
          </w:tcPr>
          <w:p w14:paraId="594A99E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N_129 </w:t>
            </w:r>
          </w:p>
        </w:tc>
        <w:tc>
          <w:tcPr>
            <w:tcW w:w="500" w:type="pct"/>
            <w:shd w:val="clear" w:color="000000" w:fill="auto"/>
            <w:noWrap/>
            <w:vAlign w:val="center"/>
            <w:hideMark/>
          </w:tcPr>
          <w:p w14:paraId="1DFE472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157.594</w:t>
            </w:r>
          </w:p>
        </w:tc>
        <w:tc>
          <w:tcPr>
            <w:tcW w:w="500" w:type="pct"/>
            <w:shd w:val="clear" w:color="000000" w:fill="auto"/>
            <w:noWrap/>
            <w:vAlign w:val="center"/>
            <w:hideMark/>
          </w:tcPr>
          <w:p w14:paraId="3EFD352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73.954</w:t>
            </w:r>
          </w:p>
        </w:tc>
        <w:tc>
          <w:tcPr>
            <w:tcW w:w="500" w:type="pct"/>
            <w:shd w:val="clear" w:color="000000" w:fill="auto"/>
            <w:noWrap/>
            <w:vAlign w:val="center"/>
            <w:hideMark/>
          </w:tcPr>
          <w:p w14:paraId="12EE098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38.011</w:t>
            </w:r>
          </w:p>
        </w:tc>
        <w:tc>
          <w:tcPr>
            <w:tcW w:w="500" w:type="pct"/>
            <w:shd w:val="clear" w:color="000000" w:fill="auto"/>
            <w:noWrap/>
            <w:vAlign w:val="center"/>
            <w:hideMark/>
          </w:tcPr>
          <w:p w14:paraId="50EFE4B2"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269.559</w:t>
            </w:r>
          </w:p>
        </w:tc>
        <w:tc>
          <w:tcPr>
            <w:tcW w:w="500" w:type="pct"/>
            <w:shd w:val="clear" w:color="000000" w:fill="auto"/>
            <w:noWrap/>
            <w:vAlign w:val="center"/>
            <w:hideMark/>
          </w:tcPr>
          <w:p w14:paraId="1E254F0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54.283</w:t>
            </w:r>
          </w:p>
        </w:tc>
        <w:tc>
          <w:tcPr>
            <w:tcW w:w="500" w:type="pct"/>
            <w:shd w:val="clear" w:color="000000" w:fill="auto"/>
            <w:noWrap/>
            <w:vAlign w:val="center"/>
            <w:hideMark/>
          </w:tcPr>
          <w:p w14:paraId="18560C5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72.340</w:t>
            </w:r>
          </w:p>
        </w:tc>
        <w:tc>
          <w:tcPr>
            <w:tcW w:w="500" w:type="pct"/>
            <w:shd w:val="clear" w:color="000000" w:fill="auto"/>
            <w:noWrap/>
            <w:vAlign w:val="center"/>
            <w:hideMark/>
          </w:tcPr>
          <w:p w14:paraId="38238F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6.315</w:t>
            </w:r>
          </w:p>
        </w:tc>
        <w:tc>
          <w:tcPr>
            <w:tcW w:w="500" w:type="pct"/>
            <w:shd w:val="clear" w:color="000000" w:fill="auto"/>
            <w:noWrap/>
            <w:vAlign w:val="center"/>
            <w:hideMark/>
          </w:tcPr>
          <w:p w14:paraId="4753D91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2.490</w:t>
            </w:r>
          </w:p>
        </w:tc>
        <w:tc>
          <w:tcPr>
            <w:tcW w:w="500" w:type="pct"/>
            <w:shd w:val="clear" w:color="000000" w:fill="auto"/>
            <w:noWrap/>
            <w:vAlign w:val="center"/>
            <w:hideMark/>
          </w:tcPr>
          <w:p w14:paraId="76BC618E"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135.427</w:t>
            </w:r>
          </w:p>
        </w:tc>
      </w:tr>
      <w:tr w:rsidR="00535FE1" w:rsidRPr="00F05605" w14:paraId="471E3F99" w14:textId="77777777" w:rsidTr="00535FE1">
        <w:trPr>
          <w:trHeight w:val="290"/>
        </w:trPr>
        <w:tc>
          <w:tcPr>
            <w:tcW w:w="500" w:type="pct"/>
            <w:shd w:val="clear" w:color="000000" w:fill="auto"/>
            <w:noWrap/>
            <w:vAlign w:val="bottom"/>
            <w:hideMark/>
          </w:tcPr>
          <w:p w14:paraId="389FD74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N_130 </w:t>
            </w:r>
          </w:p>
        </w:tc>
        <w:tc>
          <w:tcPr>
            <w:tcW w:w="500" w:type="pct"/>
            <w:shd w:val="clear" w:color="000000" w:fill="auto"/>
            <w:noWrap/>
            <w:vAlign w:val="center"/>
            <w:hideMark/>
          </w:tcPr>
          <w:p w14:paraId="6712EF9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81.119</w:t>
            </w:r>
          </w:p>
        </w:tc>
        <w:tc>
          <w:tcPr>
            <w:tcW w:w="500" w:type="pct"/>
            <w:shd w:val="clear" w:color="000000" w:fill="auto"/>
            <w:noWrap/>
            <w:vAlign w:val="center"/>
            <w:hideMark/>
          </w:tcPr>
          <w:p w14:paraId="5C7F9A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12.192</w:t>
            </w:r>
          </w:p>
        </w:tc>
        <w:tc>
          <w:tcPr>
            <w:tcW w:w="500" w:type="pct"/>
            <w:shd w:val="clear" w:color="000000" w:fill="auto"/>
            <w:noWrap/>
            <w:vAlign w:val="center"/>
            <w:hideMark/>
          </w:tcPr>
          <w:p w14:paraId="2652392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5.235</w:t>
            </w:r>
          </w:p>
        </w:tc>
        <w:tc>
          <w:tcPr>
            <w:tcW w:w="500" w:type="pct"/>
            <w:shd w:val="clear" w:color="000000" w:fill="auto"/>
            <w:noWrap/>
            <w:vAlign w:val="center"/>
            <w:hideMark/>
          </w:tcPr>
          <w:p w14:paraId="3B66822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98.546</w:t>
            </w:r>
          </w:p>
        </w:tc>
        <w:tc>
          <w:tcPr>
            <w:tcW w:w="500" w:type="pct"/>
            <w:shd w:val="clear" w:color="000000" w:fill="auto"/>
            <w:noWrap/>
            <w:vAlign w:val="center"/>
            <w:hideMark/>
          </w:tcPr>
          <w:p w14:paraId="669CD45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17.833</w:t>
            </w:r>
          </w:p>
        </w:tc>
        <w:tc>
          <w:tcPr>
            <w:tcW w:w="500" w:type="pct"/>
            <w:shd w:val="clear" w:color="000000" w:fill="auto"/>
            <w:noWrap/>
            <w:vAlign w:val="center"/>
            <w:hideMark/>
          </w:tcPr>
          <w:p w14:paraId="298BA95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11.890</w:t>
            </w:r>
          </w:p>
        </w:tc>
        <w:tc>
          <w:tcPr>
            <w:tcW w:w="500" w:type="pct"/>
            <w:shd w:val="clear" w:color="000000" w:fill="auto"/>
            <w:noWrap/>
            <w:vAlign w:val="center"/>
            <w:hideMark/>
          </w:tcPr>
          <w:p w14:paraId="6DED036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655</w:t>
            </w:r>
          </w:p>
        </w:tc>
        <w:tc>
          <w:tcPr>
            <w:tcW w:w="500" w:type="pct"/>
            <w:shd w:val="clear" w:color="000000" w:fill="auto"/>
            <w:noWrap/>
            <w:vAlign w:val="center"/>
            <w:hideMark/>
          </w:tcPr>
          <w:p w14:paraId="38A7EC6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354</w:t>
            </w:r>
          </w:p>
        </w:tc>
        <w:tc>
          <w:tcPr>
            <w:tcW w:w="500" w:type="pct"/>
            <w:shd w:val="clear" w:color="000000" w:fill="auto"/>
            <w:noWrap/>
            <w:vAlign w:val="center"/>
            <w:hideMark/>
          </w:tcPr>
          <w:p w14:paraId="1D259DA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30.732</w:t>
            </w:r>
          </w:p>
        </w:tc>
      </w:tr>
      <w:tr w:rsidR="00535FE1" w:rsidRPr="00F05605" w14:paraId="0E418B82" w14:textId="77777777" w:rsidTr="00535FE1">
        <w:trPr>
          <w:trHeight w:val="290"/>
        </w:trPr>
        <w:tc>
          <w:tcPr>
            <w:tcW w:w="500" w:type="pct"/>
            <w:shd w:val="clear" w:color="000000" w:fill="auto"/>
            <w:noWrap/>
            <w:vAlign w:val="bottom"/>
            <w:hideMark/>
          </w:tcPr>
          <w:p w14:paraId="6E7ABD4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N_131 </w:t>
            </w:r>
          </w:p>
        </w:tc>
        <w:tc>
          <w:tcPr>
            <w:tcW w:w="500" w:type="pct"/>
            <w:shd w:val="clear" w:color="000000" w:fill="auto"/>
            <w:noWrap/>
            <w:vAlign w:val="center"/>
            <w:hideMark/>
          </w:tcPr>
          <w:p w14:paraId="75BD225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297.482</w:t>
            </w:r>
          </w:p>
        </w:tc>
        <w:tc>
          <w:tcPr>
            <w:tcW w:w="500" w:type="pct"/>
            <w:shd w:val="clear" w:color="000000" w:fill="auto"/>
            <w:noWrap/>
            <w:vAlign w:val="center"/>
            <w:hideMark/>
          </w:tcPr>
          <w:p w14:paraId="73DA544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44.338</w:t>
            </w:r>
          </w:p>
        </w:tc>
        <w:tc>
          <w:tcPr>
            <w:tcW w:w="500" w:type="pct"/>
            <w:shd w:val="clear" w:color="000000" w:fill="auto"/>
            <w:noWrap/>
            <w:vAlign w:val="center"/>
            <w:hideMark/>
          </w:tcPr>
          <w:p w14:paraId="19DFA2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19.038</w:t>
            </w:r>
          </w:p>
        </w:tc>
        <w:tc>
          <w:tcPr>
            <w:tcW w:w="500" w:type="pct"/>
            <w:shd w:val="clear" w:color="000000" w:fill="auto"/>
            <w:noWrap/>
            <w:vAlign w:val="center"/>
            <w:hideMark/>
          </w:tcPr>
          <w:p w14:paraId="336E999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360.858</w:t>
            </w:r>
          </w:p>
        </w:tc>
        <w:tc>
          <w:tcPr>
            <w:tcW w:w="500" w:type="pct"/>
            <w:shd w:val="clear" w:color="000000" w:fill="auto"/>
            <w:noWrap/>
            <w:vAlign w:val="center"/>
            <w:hideMark/>
          </w:tcPr>
          <w:p w14:paraId="3506D19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64.849</w:t>
            </w:r>
          </w:p>
        </w:tc>
        <w:tc>
          <w:tcPr>
            <w:tcW w:w="500" w:type="pct"/>
            <w:shd w:val="clear" w:color="000000" w:fill="auto"/>
            <w:noWrap/>
            <w:vAlign w:val="center"/>
            <w:hideMark/>
          </w:tcPr>
          <w:p w14:paraId="61A2FC8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43.239</w:t>
            </w:r>
          </w:p>
        </w:tc>
        <w:tc>
          <w:tcPr>
            <w:tcW w:w="500" w:type="pct"/>
            <w:shd w:val="clear" w:color="000000" w:fill="auto"/>
            <w:noWrap/>
            <w:vAlign w:val="center"/>
            <w:hideMark/>
          </w:tcPr>
          <w:p w14:paraId="44BF624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2.382</w:t>
            </w:r>
          </w:p>
        </w:tc>
        <w:tc>
          <w:tcPr>
            <w:tcW w:w="500" w:type="pct"/>
            <w:shd w:val="clear" w:color="000000" w:fill="auto"/>
            <w:noWrap/>
            <w:vAlign w:val="center"/>
            <w:hideMark/>
          </w:tcPr>
          <w:p w14:paraId="7D29E1F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1.286</w:t>
            </w:r>
          </w:p>
        </w:tc>
        <w:tc>
          <w:tcPr>
            <w:tcW w:w="500" w:type="pct"/>
            <w:shd w:val="clear" w:color="000000" w:fill="auto"/>
            <w:noWrap/>
            <w:vAlign w:val="center"/>
            <w:hideMark/>
          </w:tcPr>
          <w:p w14:paraId="4ACF501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111.756</w:t>
            </w:r>
          </w:p>
        </w:tc>
      </w:tr>
      <w:tr w:rsidR="00535FE1" w:rsidRPr="00F05605" w14:paraId="4CCB6840" w14:textId="77777777" w:rsidTr="00535FE1">
        <w:trPr>
          <w:trHeight w:val="290"/>
        </w:trPr>
        <w:tc>
          <w:tcPr>
            <w:tcW w:w="500" w:type="pct"/>
            <w:shd w:val="clear" w:color="000000" w:fill="auto"/>
            <w:noWrap/>
            <w:vAlign w:val="bottom"/>
            <w:hideMark/>
          </w:tcPr>
          <w:p w14:paraId="0391B05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N_132 </w:t>
            </w:r>
          </w:p>
        </w:tc>
        <w:tc>
          <w:tcPr>
            <w:tcW w:w="500" w:type="pct"/>
            <w:shd w:val="clear" w:color="000000" w:fill="auto"/>
            <w:noWrap/>
            <w:vAlign w:val="center"/>
            <w:hideMark/>
          </w:tcPr>
          <w:p w14:paraId="07263F8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89.693</w:t>
            </w:r>
          </w:p>
        </w:tc>
        <w:tc>
          <w:tcPr>
            <w:tcW w:w="500" w:type="pct"/>
            <w:shd w:val="clear" w:color="000000" w:fill="auto"/>
            <w:noWrap/>
            <w:vAlign w:val="center"/>
            <w:hideMark/>
          </w:tcPr>
          <w:p w14:paraId="61604D6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77.931</w:t>
            </w:r>
          </w:p>
        </w:tc>
        <w:tc>
          <w:tcPr>
            <w:tcW w:w="500" w:type="pct"/>
            <w:shd w:val="clear" w:color="000000" w:fill="auto"/>
            <w:noWrap/>
            <w:vAlign w:val="center"/>
            <w:hideMark/>
          </w:tcPr>
          <w:p w14:paraId="46853736"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40.055</w:t>
            </w:r>
          </w:p>
        </w:tc>
        <w:tc>
          <w:tcPr>
            <w:tcW w:w="500" w:type="pct"/>
            <w:shd w:val="clear" w:color="000000" w:fill="auto"/>
            <w:noWrap/>
            <w:vAlign w:val="center"/>
            <w:hideMark/>
          </w:tcPr>
          <w:p w14:paraId="7FA3FC9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207.679</w:t>
            </w:r>
          </w:p>
        </w:tc>
        <w:tc>
          <w:tcPr>
            <w:tcW w:w="500" w:type="pct"/>
            <w:shd w:val="clear" w:color="000000" w:fill="auto"/>
            <w:noWrap/>
            <w:vAlign w:val="center"/>
            <w:hideMark/>
          </w:tcPr>
          <w:p w14:paraId="511D1A5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57.202</w:t>
            </w:r>
          </w:p>
        </w:tc>
        <w:tc>
          <w:tcPr>
            <w:tcW w:w="500" w:type="pct"/>
            <w:shd w:val="clear" w:color="000000" w:fill="auto"/>
            <w:noWrap/>
            <w:vAlign w:val="center"/>
            <w:hideMark/>
          </w:tcPr>
          <w:p w14:paraId="6489844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76.230</w:t>
            </w:r>
          </w:p>
        </w:tc>
        <w:tc>
          <w:tcPr>
            <w:tcW w:w="500" w:type="pct"/>
            <w:shd w:val="clear" w:color="000000" w:fill="auto"/>
            <w:noWrap/>
            <w:vAlign w:val="center"/>
            <w:hideMark/>
          </w:tcPr>
          <w:p w14:paraId="0AA57D5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6.654</w:t>
            </w:r>
          </w:p>
        </w:tc>
        <w:tc>
          <w:tcPr>
            <w:tcW w:w="500" w:type="pct"/>
            <w:shd w:val="clear" w:color="000000" w:fill="auto"/>
            <w:noWrap/>
            <w:vAlign w:val="center"/>
            <w:hideMark/>
          </w:tcPr>
          <w:p w14:paraId="09C6B77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2.623</w:t>
            </w:r>
          </w:p>
        </w:tc>
        <w:tc>
          <w:tcPr>
            <w:tcW w:w="500" w:type="pct"/>
            <w:shd w:val="clear" w:color="000000" w:fill="auto"/>
            <w:noWrap/>
            <w:vAlign w:val="center"/>
            <w:hideMark/>
          </w:tcPr>
          <w:p w14:paraId="27784A69"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142.710</w:t>
            </w:r>
          </w:p>
        </w:tc>
      </w:tr>
      <w:tr w:rsidR="00535FE1" w:rsidRPr="00F05605" w14:paraId="22C1EA26" w14:textId="77777777" w:rsidTr="00535FE1">
        <w:trPr>
          <w:trHeight w:val="290"/>
        </w:trPr>
        <w:tc>
          <w:tcPr>
            <w:tcW w:w="500" w:type="pct"/>
            <w:shd w:val="clear" w:color="000000" w:fill="auto"/>
            <w:noWrap/>
            <w:vAlign w:val="bottom"/>
            <w:hideMark/>
          </w:tcPr>
          <w:p w14:paraId="326B2B6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N_133 </w:t>
            </w:r>
          </w:p>
        </w:tc>
        <w:tc>
          <w:tcPr>
            <w:tcW w:w="500" w:type="pct"/>
            <w:shd w:val="clear" w:color="000000" w:fill="auto"/>
            <w:noWrap/>
            <w:vAlign w:val="center"/>
            <w:hideMark/>
          </w:tcPr>
          <w:p w14:paraId="546BF0B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16.079</w:t>
            </w:r>
          </w:p>
        </w:tc>
        <w:tc>
          <w:tcPr>
            <w:tcW w:w="500" w:type="pct"/>
            <w:shd w:val="clear" w:color="000000" w:fill="auto"/>
            <w:noWrap/>
            <w:vAlign w:val="center"/>
            <w:hideMark/>
          </w:tcPr>
          <w:p w14:paraId="4BFDA8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2.969</w:t>
            </w:r>
          </w:p>
        </w:tc>
        <w:tc>
          <w:tcPr>
            <w:tcW w:w="500" w:type="pct"/>
            <w:shd w:val="clear" w:color="000000" w:fill="auto"/>
            <w:noWrap/>
            <w:vAlign w:val="center"/>
            <w:hideMark/>
          </w:tcPr>
          <w:p w14:paraId="5D46FBF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1.275</w:t>
            </w:r>
          </w:p>
        </w:tc>
        <w:tc>
          <w:tcPr>
            <w:tcW w:w="500" w:type="pct"/>
            <w:shd w:val="clear" w:color="000000" w:fill="auto"/>
            <w:noWrap/>
            <w:vAlign w:val="center"/>
            <w:hideMark/>
          </w:tcPr>
          <w:p w14:paraId="073C36F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20.322</w:t>
            </w:r>
          </w:p>
        </w:tc>
        <w:tc>
          <w:tcPr>
            <w:tcW w:w="500" w:type="pct"/>
            <w:shd w:val="clear" w:color="000000" w:fill="auto"/>
            <w:noWrap/>
            <w:vAlign w:val="center"/>
            <w:hideMark/>
          </w:tcPr>
          <w:p w14:paraId="2C14DF6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4.342</w:t>
            </w:r>
          </w:p>
        </w:tc>
        <w:tc>
          <w:tcPr>
            <w:tcW w:w="500" w:type="pct"/>
            <w:shd w:val="clear" w:color="000000" w:fill="auto"/>
            <w:noWrap/>
            <w:vAlign w:val="center"/>
            <w:hideMark/>
          </w:tcPr>
          <w:p w14:paraId="37CBEF3A"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2.895</w:t>
            </w:r>
          </w:p>
        </w:tc>
        <w:tc>
          <w:tcPr>
            <w:tcW w:w="500" w:type="pct"/>
            <w:shd w:val="clear" w:color="000000" w:fill="auto"/>
            <w:noWrap/>
            <w:vAlign w:val="center"/>
            <w:hideMark/>
          </w:tcPr>
          <w:p w14:paraId="25A558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159</w:t>
            </w:r>
          </w:p>
        </w:tc>
        <w:tc>
          <w:tcPr>
            <w:tcW w:w="500" w:type="pct"/>
            <w:shd w:val="clear" w:color="000000" w:fill="auto"/>
            <w:noWrap/>
            <w:vAlign w:val="center"/>
            <w:hideMark/>
          </w:tcPr>
          <w:p w14:paraId="533BCEE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86</w:t>
            </w:r>
          </w:p>
        </w:tc>
        <w:tc>
          <w:tcPr>
            <w:tcW w:w="500" w:type="pct"/>
            <w:shd w:val="clear" w:color="000000" w:fill="auto"/>
            <w:noWrap/>
            <w:vAlign w:val="center"/>
            <w:hideMark/>
          </w:tcPr>
          <w:p w14:paraId="387CB1E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7.482</w:t>
            </w:r>
          </w:p>
        </w:tc>
      </w:tr>
      <w:tr w:rsidR="00535FE1" w:rsidRPr="00F05605" w14:paraId="6990CAB4" w14:textId="77777777" w:rsidTr="00535FE1">
        <w:trPr>
          <w:trHeight w:val="290"/>
        </w:trPr>
        <w:tc>
          <w:tcPr>
            <w:tcW w:w="500" w:type="pct"/>
            <w:shd w:val="clear" w:color="000000" w:fill="auto"/>
            <w:noWrap/>
            <w:vAlign w:val="bottom"/>
            <w:hideMark/>
          </w:tcPr>
          <w:p w14:paraId="044077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N_134 </w:t>
            </w:r>
          </w:p>
        </w:tc>
        <w:tc>
          <w:tcPr>
            <w:tcW w:w="500" w:type="pct"/>
            <w:shd w:val="clear" w:color="000000" w:fill="auto"/>
            <w:noWrap/>
            <w:vAlign w:val="center"/>
            <w:hideMark/>
          </w:tcPr>
          <w:p w14:paraId="3839AAA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174.569</w:t>
            </w:r>
          </w:p>
        </w:tc>
        <w:tc>
          <w:tcPr>
            <w:tcW w:w="500" w:type="pct"/>
            <w:shd w:val="clear" w:color="000000" w:fill="auto"/>
            <w:noWrap/>
            <w:vAlign w:val="center"/>
            <w:hideMark/>
          </w:tcPr>
          <w:p w14:paraId="1753F89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24.531</w:t>
            </w:r>
          </w:p>
        </w:tc>
        <w:tc>
          <w:tcPr>
            <w:tcW w:w="500" w:type="pct"/>
            <w:shd w:val="clear" w:color="000000" w:fill="auto"/>
            <w:noWrap/>
            <w:vAlign w:val="center"/>
            <w:hideMark/>
          </w:tcPr>
          <w:p w14:paraId="0B73CC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30.973</w:t>
            </w:r>
          </w:p>
        </w:tc>
        <w:tc>
          <w:tcPr>
            <w:tcW w:w="500" w:type="pct"/>
            <w:shd w:val="clear" w:color="000000" w:fill="auto"/>
            <w:noWrap/>
            <w:vAlign w:val="center"/>
            <w:hideMark/>
          </w:tcPr>
          <w:p w14:paraId="746DFEEB"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230.073</w:t>
            </w:r>
          </w:p>
        </w:tc>
        <w:tc>
          <w:tcPr>
            <w:tcW w:w="500" w:type="pct"/>
            <w:shd w:val="clear" w:color="000000" w:fill="auto"/>
            <w:noWrap/>
            <w:vAlign w:val="center"/>
            <w:hideMark/>
          </w:tcPr>
          <w:p w14:paraId="3AD96C4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31.718</w:t>
            </w:r>
          </w:p>
        </w:tc>
        <w:tc>
          <w:tcPr>
            <w:tcW w:w="500" w:type="pct"/>
            <w:shd w:val="clear" w:color="000000" w:fill="auto"/>
            <w:noWrap/>
            <w:vAlign w:val="center"/>
            <w:hideMark/>
          </w:tcPr>
          <w:p w14:paraId="421B3FF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24.359</w:t>
            </w:r>
          </w:p>
        </w:tc>
        <w:tc>
          <w:tcPr>
            <w:tcW w:w="500" w:type="pct"/>
            <w:shd w:val="clear" w:color="000000" w:fill="auto"/>
            <w:noWrap/>
            <w:vAlign w:val="center"/>
            <w:hideMark/>
          </w:tcPr>
          <w:p w14:paraId="2A711F8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5.953</w:t>
            </w:r>
          </w:p>
        </w:tc>
        <w:tc>
          <w:tcPr>
            <w:tcW w:w="500" w:type="pct"/>
            <w:shd w:val="clear" w:color="000000" w:fill="auto"/>
            <w:noWrap/>
            <w:vAlign w:val="center"/>
            <w:hideMark/>
          </w:tcPr>
          <w:p w14:paraId="50D428A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1.402</w:t>
            </w:r>
          </w:p>
        </w:tc>
        <w:tc>
          <w:tcPr>
            <w:tcW w:w="500" w:type="pct"/>
            <w:shd w:val="clear" w:color="000000" w:fill="auto"/>
            <w:noWrap/>
            <w:vAlign w:val="center"/>
            <w:hideMark/>
          </w:tcPr>
          <w:p w14:paraId="7627A27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63.432</w:t>
            </w:r>
          </w:p>
        </w:tc>
      </w:tr>
      <w:tr w:rsidR="00535FE1" w:rsidRPr="00F05605" w14:paraId="0EE48FB0" w14:textId="77777777" w:rsidTr="00535FE1">
        <w:trPr>
          <w:trHeight w:val="290"/>
        </w:trPr>
        <w:tc>
          <w:tcPr>
            <w:tcW w:w="500" w:type="pct"/>
            <w:shd w:val="clear" w:color="000000" w:fill="auto"/>
            <w:noWrap/>
            <w:vAlign w:val="bottom"/>
            <w:hideMark/>
          </w:tcPr>
          <w:p w14:paraId="72BD57F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N_136 </w:t>
            </w:r>
          </w:p>
        </w:tc>
        <w:tc>
          <w:tcPr>
            <w:tcW w:w="500" w:type="pct"/>
            <w:shd w:val="clear" w:color="000000" w:fill="auto"/>
            <w:noWrap/>
            <w:vAlign w:val="center"/>
            <w:hideMark/>
          </w:tcPr>
          <w:p w14:paraId="64E5AE1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159.262</w:t>
            </w:r>
          </w:p>
        </w:tc>
        <w:tc>
          <w:tcPr>
            <w:tcW w:w="500" w:type="pct"/>
            <w:shd w:val="clear" w:color="000000" w:fill="auto"/>
            <w:noWrap/>
            <w:vAlign w:val="center"/>
            <w:hideMark/>
          </w:tcPr>
          <w:p w14:paraId="5A54D49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46.317</w:t>
            </w:r>
          </w:p>
        </w:tc>
        <w:tc>
          <w:tcPr>
            <w:tcW w:w="500" w:type="pct"/>
            <w:shd w:val="clear" w:color="000000" w:fill="auto"/>
            <w:noWrap/>
            <w:vAlign w:val="center"/>
            <w:hideMark/>
          </w:tcPr>
          <w:p w14:paraId="036D7B95"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19.888</w:t>
            </w:r>
          </w:p>
        </w:tc>
        <w:tc>
          <w:tcPr>
            <w:tcW w:w="500" w:type="pct"/>
            <w:shd w:val="clear" w:color="000000" w:fill="auto"/>
            <w:noWrap/>
            <w:vAlign w:val="center"/>
            <w:hideMark/>
          </w:tcPr>
          <w:p w14:paraId="1A2AAFDD"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225.468</w:t>
            </w:r>
          </w:p>
        </w:tc>
        <w:tc>
          <w:tcPr>
            <w:tcW w:w="500" w:type="pct"/>
            <w:shd w:val="clear" w:color="000000" w:fill="auto"/>
            <w:noWrap/>
            <w:vAlign w:val="center"/>
            <w:hideMark/>
          </w:tcPr>
          <w:p w14:paraId="72A9759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67.744</w:t>
            </w:r>
          </w:p>
        </w:tc>
        <w:tc>
          <w:tcPr>
            <w:tcW w:w="500" w:type="pct"/>
            <w:shd w:val="clear" w:color="000000" w:fill="auto"/>
            <w:noWrap/>
            <w:vAlign w:val="center"/>
            <w:hideMark/>
          </w:tcPr>
          <w:p w14:paraId="6A12216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45.170</w:t>
            </w:r>
          </w:p>
        </w:tc>
        <w:tc>
          <w:tcPr>
            <w:tcW w:w="500" w:type="pct"/>
            <w:shd w:val="clear" w:color="000000" w:fill="auto"/>
            <w:noWrap/>
            <w:vAlign w:val="center"/>
            <w:hideMark/>
          </w:tcPr>
          <w:p w14:paraId="5498B27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2.488</w:t>
            </w:r>
          </w:p>
        </w:tc>
        <w:tc>
          <w:tcPr>
            <w:tcW w:w="500" w:type="pct"/>
            <w:shd w:val="clear" w:color="000000" w:fill="auto"/>
            <w:noWrap/>
            <w:vAlign w:val="center"/>
            <w:hideMark/>
          </w:tcPr>
          <w:p w14:paraId="0102E8E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1.343</w:t>
            </w:r>
          </w:p>
        </w:tc>
        <w:tc>
          <w:tcPr>
            <w:tcW w:w="500" w:type="pct"/>
            <w:shd w:val="clear" w:color="000000" w:fill="auto"/>
            <w:noWrap/>
            <w:vAlign w:val="center"/>
            <w:hideMark/>
          </w:tcPr>
          <w:p w14:paraId="67ADBACF"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116.745</w:t>
            </w:r>
          </w:p>
        </w:tc>
      </w:tr>
      <w:tr w:rsidR="00535FE1" w:rsidRPr="00F05605" w14:paraId="4CD08A4C" w14:textId="77777777" w:rsidTr="00535FE1">
        <w:trPr>
          <w:trHeight w:val="290"/>
        </w:trPr>
        <w:tc>
          <w:tcPr>
            <w:tcW w:w="500" w:type="pct"/>
            <w:shd w:val="clear" w:color="000000" w:fill="auto"/>
            <w:noWrap/>
            <w:vAlign w:val="bottom"/>
            <w:hideMark/>
          </w:tcPr>
          <w:p w14:paraId="716914D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N_137 </w:t>
            </w:r>
          </w:p>
        </w:tc>
        <w:tc>
          <w:tcPr>
            <w:tcW w:w="500" w:type="pct"/>
            <w:shd w:val="clear" w:color="000000" w:fill="auto"/>
            <w:noWrap/>
            <w:vAlign w:val="center"/>
            <w:hideMark/>
          </w:tcPr>
          <w:p w14:paraId="6752A93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277.137</w:t>
            </w:r>
          </w:p>
        </w:tc>
        <w:tc>
          <w:tcPr>
            <w:tcW w:w="500" w:type="pct"/>
            <w:shd w:val="clear" w:color="000000" w:fill="auto"/>
            <w:noWrap/>
            <w:vAlign w:val="center"/>
            <w:hideMark/>
          </w:tcPr>
          <w:p w14:paraId="6932AD1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56.867</w:t>
            </w:r>
          </w:p>
        </w:tc>
        <w:tc>
          <w:tcPr>
            <w:tcW w:w="500" w:type="pct"/>
            <w:shd w:val="clear" w:color="000000" w:fill="auto"/>
            <w:noWrap/>
            <w:vAlign w:val="center"/>
            <w:hideMark/>
          </w:tcPr>
          <w:p w14:paraId="582682AD"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24.418</w:t>
            </w:r>
          </w:p>
        </w:tc>
        <w:tc>
          <w:tcPr>
            <w:tcW w:w="500" w:type="pct"/>
            <w:shd w:val="clear" w:color="000000" w:fill="auto"/>
            <w:noWrap/>
            <w:vAlign w:val="center"/>
            <w:hideMark/>
          </w:tcPr>
          <w:p w14:paraId="586FF95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358.422</w:t>
            </w:r>
          </w:p>
        </w:tc>
        <w:tc>
          <w:tcPr>
            <w:tcW w:w="500" w:type="pct"/>
            <w:shd w:val="clear" w:color="000000" w:fill="auto"/>
            <w:noWrap/>
            <w:vAlign w:val="center"/>
            <w:hideMark/>
          </w:tcPr>
          <w:p w14:paraId="5ABD7E48"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83.174</w:t>
            </w:r>
          </w:p>
        </w:tc>
        <w:tc>
          <w:tcPr>
            <w:tcW w:w="500" w:type="pct"/>
            <w:shd w:val="clear" w:color="000000" w:fill="auto"/>
            <w:noWrap/>
            <w:vAlign w:val="center"/>
            <w:hideMark/>
          </w:tcPr>
          <w:p w14:paraId="32A27DC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55.458</w:t>
            </w:r>
          </w:p>
        </w:tc>
        <w:tc>
          <w:tcPr>
            <w:tcW w:w="500" w:type="pct"/>
            <w:shd w:val="clear" w:color="000000" w:fill="auto"/>
            <w:noWrap/>
            <w:vAlign w:val="center"/>
            <w:hideMark/>
          </w:tcPr>
          <w:p w14:paraId="1EC00B2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3.055</w:t>
            </w:r>
          </w:p>
        </w:tc>
        <w:tc>
          <w:tcPr>
            <w:tcW w:w="500" w:type="pct"/>
            <w:shd w:val="clear" w:color="000000" w:fill="auto"/>
            <w:noWrap/>
            <w:vAlign w:val="center"/>
            <w:hideMark/>
          </w:tcPr>
          <w:p w14:paraId="48793C39"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1.649</w:t>
            </w:r>
          </w:p>
        </w:tc>
        <w:tc>
          <w:tcPr>
            <w:tcW w:w="500" w:type="pct"/>
            <w:shd w:val="clear" w:color="000000" w:fill="auto"/>
            <w:noWrap/>
            <w:vAlign w:val="center"/>
            <w:hideMark/>
          </w:tcPr>
          <w:p w14:paraId="6E083B1C"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143.336</w:t>
            </w:r>
          </w:p>
        </w:tc>
      </w:tr>
      <w:tr w:rsidR="00535FE1" w:rsidRPr="00F05605" w14:paraId="1DA0951C" w14:textId="77777777" w:rsidTr="00535FE1">
        <w:trPr>
          <w:trHeight w:val="290"/>
        </w:trPr>
        <w:tc>
          <w:tcPr>
            <w:tcW w:w="500" w:type="pct"/>
            <w:shd w:val="clear" w:color="000000" w:fill="auto"/>
            <w:noWrap/>
            <w:vAlign w:val="bottom"/>
            <w:hideMark/>
          </w:tcPr>
          <w:p w14:paraId="7756597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N_138 </w:t>
            </w:r>
          </w:p>
        </w:tc>
        <w:tc>
          <w:tcPr>
            <w:tcW w:w="500" w:type="pct"/>
            <w:shd w:val="clear" w:color="000000" w:fill="auto"/>
            <w:noWrap/>
            <w:vAlign w:val="center"/>
            <w:hideMark/>
          </w:tcPr>
          <w:p w14:paraId="46B29AC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24.510</w:t>
            </w:r>
          </w:p>
        </w:tc>
        <w:tc>
          <w:tcPr>
            <w:tcW w:w="500" w:type="pct"/>
            <w:shd w:val="clear" w:color="000000" w:fill="auto"/>
            <w:noWrap/>
            <w:vAlign w:val="center"/>
            <w:hideMark/>
          </w:tcPr>
          <w:p w14:paraId="4CE94E1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10.054</w:t>
            </w:r>
          </w:p>
        </w:tc>
        <w:tc>
          <w:tcPr>
            <w:tcW w:w="500" w:type="pct"/>
            <w:shd w:val="clear" w:color="000000" w:fill="auto"/>
            <w:noWrap/>
            <w:vAlign w:val="center"/>
            <w:hideMark/>
          </w:tcPr>
          <w:p w14:paraId="2D64A05E"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10.938</w:t>
            </w:r>
          </w:p>
        </w:tc>
        <w:tc>
          <w:tcPr>
            <w:tcW w:w="500" w:type="pct"/>
            <w:shd w:val="clear" w:color="000000" w:fill="auto"/>
            <w:noWrap/>
            <w:vAlign w:val="center"/>
            <w:hideMark/>
          </w:tcPr>
          <w:p w14:paraId="086906DA"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45.503</w:t>
            </w:r>
          </w:p>
        </w:tc>
        <w:tc>
          <w:tcPr>
            <w:tcW w:w="500" w:type="pct"/>
            <w:shd w:val="clear" w:color="000000" w:fill="auto"/>
            <w:noWrap/>
            <w:vAlign w:val="center"/>
            <w:hideMark/>
          </w:tcPr>
          <w:p w14:paraId="40387E5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19.137</w:t>
            </w:r>
          </w:p>
        </w:tc>
        <w:tc>
          <w:tcPr>
            <w:tcW w:w="500" w:type="pct"/>
            <w:shd w:val="clear" w:color="000000" w:fill="auto"/>
            <w:noWrap/>
            <w:vAlign w:val="center"/>
            <w:hideMark/>
          </w:tcPr>
          <w:p w14:paraId="52546CD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9.936</w:t>
            </w:r>
          </w:p>
        </w:tc>
        <w:tc>
          <w:tcPr>
            <w:tcW w:w="500" w:type="pct"/>
            <w:shd w:val="clear" w:color="000000" w:fill="auto"/>
            <w:noWrap/>
            <w:vAlign w:val="center"/>
            <w:hideMark/>
          </w:tcPr>
          <w:p w14:paraId="0BE0FACF"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1.904</w:t>
            </w:r>
          </w:p>
        </w:tc>
        <w:tc>
          <w:tcPr>
            <w:tcW w:w="500" w:type="pct"/>
            <w:shd w:val="clear" w:color="000000" w:fill="auto"/>
            <w:noWrap/>
            <w:vAlign w:val="center"/>
            <w:hideMark/>
          </w:tcPr>
          <w:p w14:paraId="5102843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500</w:t>
            </w:r>
          </w:p>
        </w:tc>
        <w:tc>
          <w:tcPr>
            <w:tcW w:w="500" w:type="pct"/>
            <w:shd w:val="clear" w:color="000000" w:fill="auto"/>
            <w:noWrap/>
            <w:vAlign w:val="center"/>
            <w:hideMark/>
          </w:tcPr>
          <w:p w14:paraId="6897ABA4"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31.477</w:t>
            </w:r>
          </w:p>
        </w:tc>
      </w:tr>
      <w:tr w:rsidR="00535FE1" w:rsidRPr="00F05605" w14:paraId="0220389F" w14:textId="77777777" w:rsidTr="00535FE1">
        <w:trPr>
          <w:trHeight w:val="290"/>
        </w:trPr>
        <w:tc>
          <w:tcPr>
            <w:tcW w:w="500" w:type="pct"/>
            <w:shd w:val="clear" w:color="000000" w:fill="auto"/>
            <w:noWrap/>
            <w:vAlign w:val="bottom"/>
            <w:hideMark/>
          </w:tcPr>
          <w:p w14:paraId="3485278B"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N_139 </w:t>
            </w:r>
          </w:p>
        </w:tc>
        <w:tc>
          <w:tcPr>
            <w:tcW w:w="500" w:type="pct"/>
            <w:shd w:val="clear" w:color="000000" w:fill="auto"/>
            <w:noWrap/>
            <w:vAlign w:val="center"/>
            <w:hideMark/>
          </w:tcPr>
          <w:p w14:paraId="734AC73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185.831</w:t>
            </w:r>
          </w:p>
        </w:tc>
        <w:tc>
          <w:tcPr>
            <w:tcW w:w="500" w:type="pct"/>
            <w:shd w:val="clear" w:color="000000" w:fill="auto"/>
            <w:noWrap/>
            <w:vAlign w:val="center"/>
            <w:hideMark/>
          </w:tcPr>
          <w:p w14:paraId="16C8E93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44.442</w:t>
            </w:r>
          </w:p>
        </w:tc>
        <w:tc>
          <w:tcPr>
            <w:tcW w:w="500" w:type="pct"/>
            <w:shd w:val="clear" w:color="000000" w:fill="auto"/>
            <w:noWrap/>
            <w:vAlign w:val="center"/>
            <w:hideMark/>
          </w:tcPr>
          <w:p w14:paraId="34A795D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48.353</w:t>
            </w:r>
          </w:p>
        </w:tc>
        <w:tc>
          <w:tcPr>
            <w:tcW w:w="500" w:type="pct"/>
            <w:shd w:val="clear" w:color="000000" w:fill="auto"/>
            <w:noWrap/>
            <w:vAlign w:val="center"/>
            <w:hideMark/>
          </w:tcPr>
          <w:p w14:paraId="1C2CD936"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278.626</w:t>
            </w:r>
          </w:p>
        </w:tc>
        <w:tc>
          <w:tcPr>
            <w:tcW w:w="500" w:type="pct"/>
            <w:shd w:val="clear" w:color="000000" w:fill="auto"/>
            <w:noWrap/>
            <w:vAlign w:val="center"/>
            <w:hideMark/>
          </w:tcPr>
          <w:p w14:paraId="7F95C09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84.596</w:t>
            </w:r>
          </w:p>
        </w:tc>
        <w:tc>
          <w:tcPr>
            <w:tcW w:w="500" w:type="pct"/>
            <w:shd w:val="clear" w:color="000000" w:fill="auto"/>
            <w:noWrap/>
            <w:vAlign w:val="center"/>
            <w:hideMark/>
          </w:tcPr>
          <w:p w14:paraId="2F0B124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43.921</w:t>
            </w:r>
          </w:p>
        </w:tc>
        <w:tc>
          <w:tcPr>
            <w:tcW w:w="500" w:type="pct"/>
            <w:shd w:val="clear" w:color="000000" w:fill="auto"/>
            <w:noWrap/>
            <w:vAlign w:val="center"/>
            <w:hideMark/>
          </w:tcPr>
          <w:p w14:paraId="56C87C4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8.417</w:t>
            </w:r>
          </w:p>
        </w:tc>
        <w:tc>
          <w:tcPr>
            <w:tcW w:w="500" w:type="pct"/>
            <w:shd w:val="clear" w:color="000000" w:fill="auto"/>
            <w:noWrap/>
            <w:vAlign w:val="center"/>
            <w:hideMark/>
          </w:tcPr>
          <w:p w14:paraId="64541411"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2.210</w:t>
            </w:r>
          </w:p>
        </w:tc>
        <w:tc>
          <w:tcPr>
            <w:tcW w:w="500" w:type="pct"/>
            <w:shd w:val="clear" w:color="000000" w:fill="auto"/>
            <w:noWrap/>
            <w:vAlign w:val="center"/>
            <w:hideMark/>
          </w:tcPr>
          <w:p w14:paraId="0892C870"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139.143</w:t>
            </w:r>
          </w:p>
        </w:tc>
      </w:tr>
      <w:tr w:rsidR="00535FE1" w:rsidRPr="00F05605" w14:paraId="4F7016F8" w14:textId="77777777" w:rsidTr="00535FE1">
        <w:trPr>
          <w:trHeight w:val="300"/>
        </w:trPr>
        <w:tc>
          <w:tcPr>
            <w:tcW w:w="500" w:type="pct"/>
            <w:shd w:val="clear" w:color="000000" w:fill="auto"/>
            <w:noWrap/>
            <w:vAlign w:val="bottom"/>
            <w:hideMark/>
          </w:tcPr>
          <w:p w14:paraId="2928EDA0"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 xml:space="preserve"> N_140 </w:t>
            </w:r>
          </w:p>
        </w:tc>
        <w:tc>
          <w:tcPr>
            <w:tcW w:w="500" w:type="pct"/>
            <w:shd w:val="clear" w:color="000000" w:fill="auto"/>
            <w:noWrap/>
            <w:vAlign w:val="center"/>
            <w:hideMark/>
          </w:tcPr>
          <w:p w14:paraId="2230E002"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21.534</w:t>
            </w:r>
          </w:p>
        </w:tc>
        <w:tc>
          <w:tcPr>
            <w:tcW w:w="500" w:type="pct"/>
            <w:shd w:val="clear" w:color="000000" w:fill="auto"/>
            <w:noWrap/>
            <w:vAlign w:val="center"/>
            <w:hideMark/>
          </w:tcPr>
          <w:p w14:paraId="480E5EC7"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9.632</w:t>
            </w:r>
          </w:p>
        </w:tc>
        <w:tc>
          <w:tcPr>
            <w:tcW w:w="500" w:type="pct"/>
            <w:shd w:val="clear" w:color="000000" w:fill="auto"/>
            <w:noWrap/>
            <w:vAlign w:val="center"/>
            <w:hideMark/>
          </w:tcPr>
          <w:p w14:paraId="6A56DF0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10.480</w:t>
            </w:r>
          </w:p>
        </w:tc>
        <w:tc>
          <w:tcPr>
            <w:tcW w:w="500" w:type="pct"/>
            <w:shd w:val="clear" w:color="000000" w:fill="auto"/>
            <w:noWrap/>
            <w:vAlign w:val="center"/>
            <w:hideMark/>
          </w:tcPr>
          <w:p w14:paraId="21B69DC8"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41.646</w:t>
            </w:r>
          </w:p>
        </w:tc>
        <w:tc>
          <w:tcPr>
            <w:tcW w:w="500" w:type="pct"/>
            <w:shd w:val="clear" w:color="000000" w:fill="auto"/>
            <w:noWrap/>
            <w:vAlign w:val="center"/>
            <w:hideMark/>
          </w:tcPr>
          <w:p w14:paraId="75CFC8C3"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18.335</w:t>
            </w:r>
          </w:p>
        </w:tc>
        <w:tc>
          <w:tcPr>
            <w:tcW w:w="500" w:type="pct"/>
            <w:shd w:val="clear" w:color="000000" w:fill="auto"/>
            <w:noWrap/>
            <w:vAlign w:val="center"/>
            <w:hideMark/>
          </w:tcPr>
          <w:p w14:paraId="3F55C92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9.519</w:t>
            </w:r>
          </w:p>
        </w:tc>
        <w:tc>
          <w:tcPr>
            <w:tcW w:w="500" w:type="pct"/>
            <w:shd w:val="clear" w:color="000000" w:fill="auto"/>
            <w:noWrap/>
            <w:vAlign w:val="center"/>
            <w:hideMark/>
          </w:tcPr>
          <w:p w14:paraId="59123DEC"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1.824</w:t>
            </w:r>
          </w:p>
        </w:tc>
        <w:tc>
          <w:tcPr>
            <w:tcW w:w="500" w:type="pct"/>
            <w:shd w:val="clear" w:color="000000" w:fill="auto"/>
            <w:noWrap/>
            <w:vAlign w:val="center"/>
            <w:hideMark/>
          </w:tcPr>
          <w:p w14:paraId="2BDE6A64" w14:textId="77777777" w:rsidR="00535FE1" w:rsidRPr="00F05605" w:rsidRDefault="00535FE1" w:rsidP="00535FE1">
            <w:pPr>
              <w:spacing w:after="0" w:line="240" w:lineRule="auto"/>
              <w:jc w:val="center"/>
              <w:rPr>
                <w:rFonts w:asciiTheme="minorHAnsi" w:eastAsia="Times New Roman" w:hAnsiTheme="minorHAnsi" w:cstheme="minorHAnsi"/>
                <w:color w:val="000000"/>
                <w:sz w:val="20"/>
                <w:szCs w:val="20"/>
                <w:lang w:eastAsia="es-AR"/>
              </w:rPr>
            </w:pPr>
            <w:r w:rsidRPr="00F05605">
              <w:rPr>
                <w:rFonts w:asciiTheme="minorHAnsi" w:eastAsia="Times New Roman" w:hAnsiTheme="minorHAnsi" w:cstheme="minorHAnsi"/>
                <w:color w:val="000000"/>
                <w:sz w:val="20"/>
                <w:szCs w:val="20"/>
                <w:lang w:eastAsia="es-AR"/>
              </w:rPr>
              <w:t>479</w:t>
            </w:r>
          </w:p>
        </w:tc>
        <w:tc>
          <w:tcPr>
            <w:tcW w:w="500" w:type="pct"/>
            <w:shd w:val="clear" w:color="000000" w:fill="auto"/>
            <w:noWrap/>
            <w:vAlign w:val="center"/>
            <w:hideMark/>
          </w:tcPr>
          <w:p w14:paraId="0EA44823" w14:textId="77777777" w:rsidR="00535FE1" w:rsidRPr="00F05605" w:rsidRDefault="00535FE1" w:rsidP="00535FE1">
            <w:pPr>
              <w:spacing w:after="0" w:line="240" w:lineRule="auto"/>
              <w:jc w:val="center"/>
              <w:rPr>
                <w:rFonts w:asciiTheme="minorHAnsi" w:eastAsia="Times New Roman" w:hAnsiTheme="minorHAnsi" w:cstheme="minorHAnsi"/>
                <w:b/>
                <w:bCs/>
                <w:color w:val="000000"/>
                <w:sz w:val="20"/>
                <w:szCs w:val="20"/>
                <w:lang w:eastAsia="es-AR"/>
              </w:rPr>
            </w:pPr>
            <w:r w:rsidRPr="00F05605">
              <w:rPr>
                <w:rFonts w:asciiTheme="minorHAnsi" w:eastAsia="Times New Roman" w:hAnsiTheme="minorHAnsi" w:cstheme="minorHAnsi"/>
                <w:b/>
                <w:bCs/>
                <w:color w:val="000000"/>
                <w:sz w:val="20"/>
                <w:szCs w:val="20"/>
                <w:lang w:eastAsia="es-AR"/>
              </w:rPr>
              <w:t>30.157</w:t>
            </w:r>
          </w:p>
        </w:tc>
      </w:tr>
    </w:tbl>
    <w:p w14:paraId="56698B23" w14:textId="77777777" w:rsidR="00081F41" w:rsidRDefault="00081F41" w:rsidP="0079428C">
      <w:pPr>
        <w:rPr>
          <w:lang w:val="es-ES"/>
        </w:rPr>
        <w:sectPr w:rsidR="00081F41" w:rsidSect="00081F41">
          <w:pgSz w:w="15842" w:h="12242" w:orient="landscape" w:code="1"/>
          <w:pgMar w:top="1418" w:right="1134" w:bottom="1134" w:left="1134" w:header="851" w:footer="1134" w:gutter="0"/>
          <w:cols w:space="708"/>
          <w:titlePg/>
          <w:docGrid w:linePitch="360"/>
        </w:sectPr>
      </w:pPr>
    </w:p>
    <w:p w14:paraId="36598884" w14:textId="54B24763" w:rsidR="00535FE1" w:rsidRPr="00C91C8F" w:rsidRDefault="00535FE1" w:rsidP="0079428C">
      <w:pPr>
        <w:rPr>
          <w:lang w:val="es-ES"/>
        </w:rPr>
      </w:pPr>
    </w:p>
    <w:p w14:paraId="6BC1F8F4" w14:textId="77777777" w:rsidR="0079428C" w:rsidRPr="00C91C8F" w:rsidRDefault="0079428C" w:rsidP="0079428C">
      <w:pPr>
        <w:pStyle w:val="Ttulo1"/>
        <w:rPr>
          <w:color w:val="auto"/>
          <w:lang w:val="es-ES"/>
        </w:rPr>
      </w:pPr>
      <w:bookmarkStart w:id="320" w:name="_Toc34398166"/>
      <w:bookmarkStart w:id="321" w:name="_Toc34687271"/>
      <w:r w:rsidRPr="00C91C8F">
        <w:rPr>
          <w:color w:val="auto"/>
          <w:lang w:val="es-ES"/>
        </w:rPr>
        <w:t>DETERMINACIÓN de bienes intangibles</w:t>
      </w:r>
      <w:bookmarkEnd w:id="320"/>
      <w:bookmarkEnd w:id="321"/>
    </w:p>
    <w:p w14:paraId="0B78A5A0" w14:textId="77777777" w:rsidR="0079428C" w:rsidRPr="00C91C8F" w:rsidRDefault="0079428C" w:rsidP="0079428C">
      <w:pPr>
        <w:rPr>
          <w:lang w:val="es-ES"/>
        </w:rPr>
      </w:pPr>
      <w:r w:rsidRPr="00C91C8F">
        <w:rPr>
          <w:lang w:val="es-ES"/>
        </w:rPr>
        <w:t>En la siguiente tabla se presenta los Bienes Intangibles:</w:t>
      </w:r>
    </w:p>
    <w:tbl>
      <w:tblPr>
        <w:tblW w:w="5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109"/>
        <w:gridCol w:w="1516"/>
      </w:tblGrid>
      <w:tr w:rsidR="006F731F" w:rsidRPr="00F05605" w14:paraId="09B1A800" w14:textId="77777777" w:rsidTr="00F05605">
        <w:trPr>
          <w:trHeight w:val="260"/>
          <w:jc w:val="center"/>
        </w:trPr>
        <w:tc>
          <w:tcPr>
            <w:tcW w:w="4109" w:type="dxa"/>
            <w:shd w:val="clear" w:color="auto" w:fill="FFFFFF" w:themeFill="background1"/>
            <w:noWrap/>
            <w:vAlign w:val="bottom"/>
            <w:hideMark/>
          </w:tcPr>
          <w:p w14:paraId="178CCD2C" w14:textId="77777777" w:rsidR="006F731F" w:rsidRPr="00F05605" w:rsidRDefault="006F731F" w:rsidP="00C276D3">
            <w:pPr>
              <w:spacing w:after="0" w:line="240" w:lineRule="auto"/>
              <w:jc w:val="left"/>
              <w:rPr>
                <w:rFonts w:asciiTheme="minorHAnsi" w:eastAsia="Times New Roman" w:hAnsiTheme="minorHAnsi" w:cstheme="minorHAnsi"/>
                <w:b/>
                <w:sz w:val="20"/>
                <w:szCs w:val="20"/>
                <w:lang w:val="es-AR" w:eastAsia="es-AR"/>
              </w:rPr>
            </w:pPr>
            <w:r w:rsidRPr="00F05605">
              <w:rPr>
                <w:rFonts w:asciiTheme="minorHAnsi" w:eastAsia="Times New Roman" w:hAnsiTheme="minorHAnsi" w:cstheme="minorHAnsi"/>
                <w:b/>
                <w:sz w:val="20"/>
                <w:szCs w:val="20"/>
                <w:lang w:val="es-AR" w:eastAsia="es-AR"/>
              </w:rPr>
              <w:t>Cálculo Intangibles</w:t>
            </w:r>
          </w:p>
        </w:tc>
        <w:tc>
          <w:tcPr>
            <w:tcW w:w="1516" w:type="dxa"/>
            <w:shd w:val="clear" w:color="auto" w:fill="FFFFFF" w:themeFill="background1"/>
            <w:noWrap/>
            <w:vAlign w:val="bottom"/>
            <w:hideMark/>
          </w:tcPr>
          <w:p w14:paraId="33C0E22D" w14:textId="77777777" w:rsidR="006F731F" w:rsidRPr="00F05605" w:rsidRDefault="006F731F" w:rsidP="00C276D3">
            <w:pPr>
              <w:spacing w:after="0" w:line="240" w:lineRule="auto"/>
              <w:jc w:val="center"/>
              <w:rPr>
                <w:rFonts w:asciiTheme="minorHAnsi" w:eastAsia="Times New Roman" w:hAnsiTheme="minorHAnsi" w:cstheme="minorHAnsi"/>
                <w:b/>
                <w:sz w:val="20"/>
                <w:szCs w:val="20"/>
                <w:lang w:val="es-AR" w:eastAsia="es-AR"/>
              </w:rPr>
            </w:pPr>
            <w:r w:rsidRPr="00F05605">
              <w:rPr>
                <w:rFonts w:asciiTheme="minorHAnsi" w:eastAsia="Times New Roman" w:hAnsiTheme="minorHAnsi" w:cstheme="minorHAnsi"/>
                <w:b/>
                <w:sz w:val="20"/>
                <w:szCs w:val="20"/>
                <w:lang w:val="es-AR" w:eastAsia="es-AR"/>
              </w:rPr>
              <w:t>USD</w:t>
            </w:r>
          </w:p>
        </w:tc>
      </w:tr>
      <w:tr w:rsidR="006F731F" w:rsidRPr="00F05605" w14:paraId="61A88DA5" w14:textId="77777777" w:rsidTr="00F05605">
        <w:trPr>
          <w:trHeight w:val="250"/>
          <w:jc w:val="center"/>
        </w:trPr>
        <w:tc>
          <w:tcPr>
            <w:tcW w:w="4109" w:type="dxa"/>
            <w:shd w:val="clear" w:color="auto" w:fill="FFFFFF" w:themeFill="background1"/>
            <w:noWrap/>
            <w:vAlign w:val="bottom"/>
            <w:hideMark/>
          </w:tcPr>
          <w:p w14:paraId="7F86BEB2" w14:textId="77777777" w:rsidR="006F731F" w:rsidRPr="00F05605" w:rsidRDefault="006F731F" w:rsidP="00C276D3">
            <w:pPr>
              <w:spacing w:after="0" w:line="240" w:lineRule="auto"/>
              <w:jc w:val="left"/>
              <w:rPr>
                <w:rFonts w:asciiTheme="minorHAnsi" w:eastAsia="Times New Roman" w:hAnsiTheme="minorHAnsi" w:cstheme="minorHAnsi"/>
                <w:sz w:val="20"/>
                <w:szCs w:val="20"/>
                <w:lang w:val="es-AR" w:eastAsia="es-AR"/>
              </w:rPr>
            </w:pPr>
            <w:r w:rsidRPr="00F05605">
              <w:rPr>
                <w:rFonts w:asciiTheme="minorHAnsi" w:eastAsia="Times New Roman" w:hAnsiTheme="minorHAnsi" w:cstheme="minorHAnsi"/>
                <w:sz w:val="20"/>
                <w:szCs w:val="20"/>
                <w:lang w:val="es-AR" w:eastAsia="es-AR"/>
              </w:rPr>
              <w:t>Asesorias</w:t>
            </w:r>
          </w:p>
        </w:tc>
        <w:tc>
          <w:tcPr>
            <w:tcW w:w="1516" w:type="dxa"/>
            <w:shd w:val="clear" w:color="auto" w:fill="FFFFFF" w:themeFill="background1"/>
            <w:noWrap/>
            <w:hideMark/>
          </w:tcPr>
          <w:p w14:paraId="36E09B0A" w14:textId="396C488F" w:rsidR="006F731F" w:rsidRPr="00F05605" w:rsidRDefault="006F731F" w:rsidP="00C276D3">
            <w:pPr>
              <w:spacing w:after="0" w:line="240" w:lineRule="auto"/>
              <w:jc w:val="center"/>
              <w:rPr>
                <w:rFonts w:asciiTheme="minorHAnsi" w:eastAsia="Times New Roman" w:hAnsiTheme="minorHAnsi" w:cstheme="minorHAnsi"/>
                <w:sz w:val="20"/>
                <w:szCs w:val="20"/>
                <w:lang w:val="es-AR" w:eastAsia="es-AR"/>
              </w:rPr>
            </w:pPr>
            <w:r w:rsidRPr="00F05605">
              <w:rPr>
                <w:rFonts w:asciiTheme="minorHAnsi" w:hAnsiTheme="minorHAnsi" w:cstheme="minorHAnsi"/>
                <w:sz w:val="20"/>
                <w:szCs w:val="20"/>
              </w:rPr>
              <w:t xml:space="preserve"> 910.358 </w:t>
            </w:r>
          </w:p>
        </w:tc>
      </w:tr>
      <w:tr w:rsidR="006F731F" w:rsidRPr="00F05605" w14:paraId="15815A63" w14:textId="77777777" w:rsidTr="00F05605">
        <w:trPr>
          <w:trHeight w:val="250"/>
          <w:jc w:val="center"/>
        </w:trPr>
        <w:tc>
          <w:tcPr>
            <w:tcW w:w="4109" w:type="dxa"/>
            <w:shd w:val="clear" w:color="auto" w:fill="FFFFFF" w:themeFill="background1"/>
            <w:noWrap/>
            <w:vAlign w:val="bottom"/>
            <w:hideMark/>
          </w:tcPr>
          <w:p w14:paraId="1A4EE9EE" w14:textId="77777777" w:rsidR="006F731F" w:rsidRPr="00F05605" w:rsidRDefault="006F731F" w:rsidP="00C276D3">
            <w:pPr>
              <w:spacing w:after="0" w:line="240" w:lineRule="auto"/>
              <w:jc w:val="left"/>
              <w:rPr>
                <w:rFonts w:asciiTheme="minorHAnsi" w:eastAsia="Times New Roman" w:hAnsiTheme="minorHAnsi" w:cstheme="minorHAnsi"/>
                <w:sz w:val="20"/>
                <w:szCs w:val="20"/>
                <w:lang w:val="es-AR" w:eastAsia="es-AR"/>
              </w:rPr>
            </w:pPr>
            <w:r w:rsidRPr="00F05605">
              <w:rPr>
                <w:rFonts w:asciiTheme="minorHAnsi" w:eastAsia="Times New Roman" w:hAnsiTheme="minorHAnsi" w:cstheme="minorHAnsi"/>
                <w:sz w:val="20"/>
                <w:szCs w:val="20"/>
                <w:lang w:val="es-AR" w:eastAsia="es-AR"/>
              </w:rPr>
              <w:t>Salarios Personal sin Beneficios ( 2 meses)</w:t>
            </w:r>
          </w:p>
        </w:tc>
        <w:tc>
          <w:tcPr>
            <w:tcW w:w="1516" w:type="dxa"/>
            <w:shd w:val="clear" w:color="auto" w:fill="FFFFFF" w:themeFill="background1"/>
            <w:noWrap/>
            <w:hideMark/>
          </w:tcPr>
          <w:p w14:paraId="6D19E55F" w14:textId="4A13A40D" w:rsidR="006F731F" w:rsidRPr="00F05605" w:rsidRDefault="006F731F" w:rsidP="00C276D3">
            <w:pPr>
              <w:spacing w:after="0" w:line="240" w:lineRule="auto"/>
              <w:jc w:val="center"/>
              <w:rPr>
                <w:rFonts w:asciiTheme="minorHAnsi" w:eastAsia="Times New Roman" w:hAnsiTheme="minorHAnsi" w:cstheme="minorHAnsi"/>
                <w:sz w:val="20"/>
                <w:szCs w:val="20"/>
                <w:lang w:val="es-AR" w:eastAsia="es-AR"/>
              </w:rPr>
            </w:pPr>
            <w:r w:rsidRPr="00F05605">
              <w:rPr>
                <w:rFonts w:asciiTheme="minorHAnsi" w:hAnsiTheme="minorHAnsi" w:cstheme="minorHAnsi"/>
                <w:sz w:val="20"/>
                <w:szCs w:val="20"/>
              </w:rPr>
              <w:t xml:space="preserve"> 1.091.191 </w:t>
            </w:r>
          </w:p>
        </w:tc>
      </w:tr>
      <w:tr w:rsidR="006F731F" w:rsidRPr="00F05605" w14:paraId="51B6C51A" w14:textId="77777777" w:rsidTr="00F05605">
        <w:trPr>
          <w:trHeight w:val="250"/>
          <w:jc w:val="center"/>
        </w:trPr>
        <w:tc>
          <w:tcPr>
            <w:tcW w:w="4109" w:type="dxa"/>
            <w:shd w:val="clear" w:color="auto" w:fill="FFFFFF" w:themeFill="background1"/>
            <w:noWrap/>
            <w:vAlign w:val="bottom"/>
            <w:hideMark/>
          </w:tcPr>
          <w:p w14:paraId="1E753898" w14:textId="77777777" w:rsidR="006F731F" w:rsidRPr="00F05605" w:rsidRDefault="006F731F" w:rsidP="00C276D3">
            <w:pPr>
              <w:spacing w:after="0" w:line="240" w:lineRule="auto"/>
              <w:jc w:val="left"/>
              <w:rPr>
                <w:rFonts w:asciiTheme="minorHAnsi" w:eastAsia="Times New Roman" w:hAnsiTheme="minorHAnsi" w:cstheme="minorHAnsi"/>
                <w:sz w:val="20"/>
                <w:szCs w:val="20"/>
                <w:lang w:val="es-AR" w:eastAsia="es-AR"/>
              </w:rPr>
            </w:pPr>
            <w:r w:rsidRPr="00F05605">
              <w:rPr>
                <w:rFonts w:asciiTheme="minorHAnsi" w:eastAsia="Times New Roman" w:hAnsiTheme="minorHAnsi" w:cstheme="minorHAnsi"/>
                <w:sz w:val="20"/>
                <w:szCs w:val="20"/>
                <w:lang w:val="es-AR" w:eastAsia="es-AR"/>
              </w:rPr>
              <w:t>Capacitación (1 mes)</w:t>
            </w:r>
          </w:p>
        </w:tc>
        <w:tc>
          <w:tcPr>
            <w:tcW w:w="1516" w:type="dxa"/>
            <w:shd w:val="clear" w:color="auto" w:fill="FFFFFF" w:themeFill="background1"/>
            <w:noWrap/>
            <w:hideMark/>
          </w:tcPr>
          <w:p w14:paraId="7C9DEDBF" w14:textId="24E041CB" w:rsidR="006F731F" w:rsidRPr="00F05605" w:rsidRDefault="006F731F" w:rsidP="00C276D3">
            <w:pPr>
              <w:spacing w:after="0" w:line="240" w:lineRule="auto"/>
              <w:jc w:val="center"/>
              <w:rPr>
                <w:rFonts w:asciiTheme="minorHAnsi" w:eastAsia="Times New Roman" w:hAnsiTheme="minorHAnsi" w:cstheme="minorHAnsi"/>
                <w:sz w:val="20"/>
                <w:szCs w:val="20"/>
                <w:lang w:val="es-AR" w:eastAsia="es-AR"/>
              </w:rPr>
            </w:pPr>
            <w:r w:rsidRPr="00F05605">
              <w:rPr>
                <w:rFonts w:asciiTheme="minorHAnsi" w:hAnsiTheme="minorHAnsi" w:cstheme="minorHAnsi"/>
                <w:sz w:val="20"/>
                <w:szCs w:val="20"/>
              </w:rPr>
              <w:t xml:space="preserve"> 8.888 </w:t>
            </w:r>
          </w:p>
        </w:tc>
      </w:tr>
      <w:tr w:rsidR="006F731F" w:rsidRPr="00F05605" w14:paraId="3AB0A1BF" w14:textId="77777777" w:rsidTr="00F05605">
        <w:trPr>
          <w:trHeight w:val="250"/>
          <w:jc w:val="center"/>
        </w:trPr>
        <w:tc>
          <w:tcPr>
            <w:tcW w:w="4109" w:type="dxa"/>
            <w:shd w:val="clear" w:color="auto" w:fill="FFFFFF" w:themeFill="background1"/>
            <w:noWrap/>
            <w:vAlign w:val="bottom"/>
            <w:hideMark/>
          </w:tcPr>
          <w:p w14:paraId="6BB45514" w14:textId="77777777" w:rsidR="006F731F" w:rsidRPr="00F05605" w:rsidRDefault="006F731F" w:rsidP="00C276D3">
            <w:pPr>
              <w:spacing w:after="0" w:line="240" w:lineRule="auto"/>
              <w:jc w:val="left"/>
              <w:rPr>
                <w:rFonts w:asciiTheme="minorHAnsi" w:eastAsia="Times New Roman" w:hAnsiTheme="minorHAnsi" w:cstheme="minorHAnsi"/>
                <w:sz w:val="20"/>
                <w:szCs w:val="20"/>
                <w:lang w:val="es-AR" w:eastAsia="es-AR"/>
              </w:rPr>
            </w:pPr>
            <w:r w:rsidRPr="00F05605">
              <w:rPr>
                <w:rFonts w:asciiTheme="minorHAnsi" w:eastAsia="Times New Roman" w:hAnsiTheme="minorHAnsi" w:cstheme="minorHAnsi"/>
                <w:sz w:val="20"/>
                <w:szCs w:val="20"/>
                <w:lang w:val="es-AR" w:eastAsia="es-AR"/>
              </w:rPr>
              <w:t>Costo anual OyM  (un mes)</w:t>
            </w:r>
          </w:p>
        </w:tc>
        <w:tc>
          <w:tcPr>
            <w:tcW w:w="1516" w:type="dxa"/>
            <w:shd w:val="clear" w:color="auto" w:fill="FFFFFF" w:themeFill="background1"/>
            <w:noWrap/>
            <w:hideMark/>
          </w:tcPr>
          <w:p w14:paraId="6ABEF457" w14:textId="63E822B0" w:rsidR="006F731F" w:rsidRPr="00F05605" w:rsidRDefault="006F731F" w:rsidP="00C276D3">
            <w:pPr>
              <w:spacing w:after="0" w:line="240" w:lineRule="auto"/>
              <w:jc w:val="center"/>
              <w:rPr>
                <w:rFonts w:asciiTheme="minorHAnsi" w:eastAsia="Times New Roman" w:hAnsiTheme="minorHAnsi" w:cstheme="minorHAnsi"/>
                <w:sz w:val="20"/>
                <w:szCs w:val="20"/>
                <w:lang w:val="es-AR" w:eastAsia="es-AR"/>
              </w:rPr>
            </w:pPr>
            <w:r w:rsidRPr="00F05605">
              <w:rPr>
                <w:rFonts w:asciiTheme="minorHAnsi" w:hAnsiTheme="minorHAnsi" w:cstheme="minorHAnsi"/>
                <w:sz w:val="20"/>
                <w:szCs w:val="20"/>
              </w:rPr>
              <w:t xml:space="preserve"> 2.673.593 </w:t>
            </w:r>
          </w:p>
        </w:tc>
      </w:tr>
      <w:tr w:rsidR="006F731F" w:rsidRPr="00F05605" w14:paraId="77F53237" w14:textId="77777777" w:rsidTr="00F05605">
        <w:trPr>
          <w:trHeight w:val="260"/>
          <w:jc w:val="center"/>
        </w:trPr>
        <w:tc>
          <w:tcPr>
            <w:tcW w:w="4109" w:type="dxa"/>
            <w:shd w:val="clear" w:color="auto" w:fill="FFFFFF" w:themeFill="background1"/>
            <w:noWrap/>
            <w:vAlign w:val="bottom"/>
            <w:hideMark/>
          </w:tcPr>
          <w:p w14:paraId="2539F315" w14:textId="77777777" w:rsidR="006F731F" w:rsidRPr="00F05605" w:rsidRDefault="006F731F" w:rsidP="00C276D3">
            <w:pPr>
              <w:spacing w:after="0" w:line="240" w:lineRule="auto"/>
              <w:jc w:val="left"/>
              <w:rPr>
                <w:rFonts w:asciiTheme="minorHAnsi" w:eastAsia="Times New Roman" w:hAnsiTheme="minorHAnsi" w:cstheme="minorHAnsi"/>
                <w:b/>
                <w:sz w:val="20"/>
                <w:szCs w:val="20"/>
                <w:lang w:val="es-AR" w:eastAsia="es-AR"/>
              </w:rPr>
            </w:pPr>
            <w:r w:rsidRPr="00F05605">
              <w:rPr>
                <w:rFonts w:asciiTheme="minorHAnsi" w:eastAsia="Times New Roman" w:hAnsiTheme="minorHAnsi" w:cstheme="minorHAnsi"/>
                <w:b/>
                <w:sz w:val="20"/>
                <w:szCs w:val="20"/>
                <w:lang w:val="es-AR" w:eastAsia="es-AR"/>
              </w:rPr>
              <w:t>Total Intangibles</w:t>
            </w:r>
          </w:p>
        </w:tc>
        <w:tc>
          <w:tcPr>
            <w:tcW w:w="1516" w:type="dxa"/>
            <w:shd w:val="clear" w:color="auto" w:fill="FFFFFF" w:themeFill="background1"/>
            <w:noWrap/>
            <w:hideMark/>
          </w:tcPr>
          <w:p w14:paraId="1AD85302" w14:textId="7CBE39A2" w:rsidR="006F731F" w:rsidRPr="00F05605" w:rsidRDefault="006F731F" w:rsidP="00C276D3">
            <w:pPr>
              <w:spacing w:after="0" w:line="240" w:lineRule="auto"/>
              <w:jc w:val="center"/>
              <w:rPr>
                <w:rFonts w:asciiTheme="minorHAnsi" w:eastAsia="Times New Roman" w:hAnsiTheme="minorHAnsi" w:cstheme="minorHAnsi"/>
                <w:b/>
                <w:sz w:val="20"/>
                <w:szCs w:val="20"/>
                <w:lang w:val="es-AR" w:eastAsia="es-AR"/>
              </w:rPr>
            </w:pPr>
            <w:r w:rsidRPr="00F05605">
              <w:rPr>
                <w:rFonts w:asciiTheme="minorHAnsi" w:hAnsiTheme="minorHAnsi" w:cstheme="minorHAnsi"/>
                <w:b/>
                <w:sz w:val="20"/>
                <w:szCs w:val="20"/>
              </w:rPr>
              <w:t xml:space="preserve"> 4.684.030 </w:t>
            </w:r>
          </w:p>
        </w:tc>
      </w:tr>
    </w:tbl>
    <w:p w14:paraId="1494548E" w14:textId="77777777" w:rsidR="0079428C" w:rsidRDefault="0079428C" w:rsidP="0079428C">
      <w:pPr>
        <w:rPr>
          <w:highlight w:val="yellow"/>
          <w:lang w:val="es-ES"/>
        </w:rPr>
      </w:pPr>
    </w:p>
    <w:p w14:paraId="197C86B5" w14:textId="77777777" w:rsidR="0079428C" w:rsidRPr="00C91C8F" w:rsidRDefault="0079428C" w:rsidP="0079428C">
      <w:pPr>
        <w:pStyle w:val="Ttulo1"/>
        <w:rPr>
          <w:color w:val="auto"/>
          <w:lang w:val="es-ES"/>
        </w:rPr>
      </w:pPr>
      <w:bookmarkStart w:id="322" w:name="_Toc34398167"/>
      <w:bookmarkStart w:id="323" w:name="_Toc34687272"/>
      <w:r w:rsidRPr="00C91C8F">
        <w:rPr>
          <w:color w:val="auto"/>
          <w:lang w:val="es-ES"/>
        </w:rPr>
        <w:t>DETERMINACIÓN economías de ámbito</w:t>
      </w:r>
      <w:bookmarkEnd w:id="322"/>
      <w:bookmarkEnd w:id="323"/>
    </w:p>
    <w:p w14:paraId="59488D4B" w14:textId="77777777" w:rsidR="0079428C" w:rsidRPr="00C91C8F" w:rsidRDefault="0079428C" w:rsidP="0079428C">
      <w:pPr>
        <w:rPr>
          <w:lang w:val="es-ES"/>
        </w:rPr>
      </w:pPr>
      <w:r w:rsidRPr="00C91C8F">
        <w:rPr>
          <w:lang w:val="es-ES"/>
        </w:rPr>
        <w:t>En la siguiente tabla se presentan las partidas que el Consultor propone sujetas a economías de ámbito:</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192"/>
        <w:gridCol w:w="1600"/>
        <w:gridCol w:w="1120"/>
        <w:gridCol w:w="1120"/>
      </w:tblGrid>
      <w:tr w:rsidR="0079428C" w:rsidRPr="002237F2" w14:paraId="5C9B6FE0" w14:textId="77777777" w:rsidTr="00F05605">
        <w:trPr>
          <w:trHeight w:val="290"/>
          <w:tblHeader/>
          <w:jc w:val="center"/>
        </w:trPr>
        <w:tc>
          <w:tcPr>
            <w:tcW w:w="1204" w:type="dxa"/>
            <w:shd w:val="clear" w:color="auto" w:fill="auto"/>
            <w:noWrap/>
            <w:vAlign w:val="bottom"/>
            <w:hideMark/>
          </w:tcPr>
          <w:p w14:paraId="4F615149" w14:textId="77777777" w:rsidR="0079428C" w:rsidRPr="002237F2" w:rsidRDefault="0079428C"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Tipo Partida</w:t>
            </w:r>
          </w:p>
        </w:tc>
        <w:tc>
          <w:tcPr>
            <w:tcW w:w="4192" w:type="dxa"/>
            <w:shd w:val="clear" w:color="auto" w:fill="auto"/>
            <w:noWrap/>
            <w:vAlign w:val="bottom"/>
            <w:hideMark/>
          </w:tcPr>
          <w:p w14:paraId="63782B98" w14:textId="77777777" w:rsidR="0079428C" w:rsidRPr="002237F2" w:rsidRDefault="0079428C" w:rsidP="00C276D3">
            <w:pPr>
              <w:spacing w:after="0" w:line="240" w:lineRule="auto"/>
              <w:jc w:val="left"/>
              <w:rPr>
                <w:rFonts w:eastAsia="Times New Roman" w:cs="Calibri"/>
                <w:color w:val="000000"/>
                <w:sz w:val="16"/>
                <w:szCs w:val="16"/>
                <w:lang w:val="es-AR" w:eastAsia="es-AR"/>
              </w:rPr>
            </w:pPr>
          </w:p>
        </w:tc>
        <w:tc>
          <w:tcPr>
            <w:tcW w:w="1600" w:type="dxa"/>
            <w:shd w:val="clear" w:color="auto" w:fill="auto"/>
            <w:noWrap/>
            <w:vAlign w:val="bottom"/>
            <w:hideMark/>
          </w:tcPr>
          <w:p w14:paraId="142D4A67" w14:textId="77777777" w:rsidR="0079428C" w:rsidRPr="002237F2" w:rsidRDefault="0079428C" w:rsidP="00C276D3">
            <w:pPr>
              <w:spacing w:after="0" w:line="240" w:lineRule="auto"/>
              <w:jc w:val="center"/>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Costo Personal</w:t>
            </w:r>
          </w:p>
        </w:tc>
        <w:tc>
          <w:tcPr>
            <w:tcW w:w="1120" w:type="dxa"/>
            <w:shd w:val="clear" w:color="auto" w:fill="auto"/>
            <w:noWrap/>
            <w:vAlign w:val="bottom"/>
            <w:hideMark/>
          </w:tcPr>
          <w:p w14:paraId="288BFF47" w14:textId="77777777" w:rsidR="0079428C" w:rsidRPr="002237F2" w:rsidRDefault="0079428C" w:rsidP="00C276D3">
            <w:pPr>
              <w:spacing w:after="0" w:line="240" w:lineRule="auto"/>
              <w:jc w:val="center"/>
              <w:rPr>
                <w:rFonts w:eastAsia="Times New Roman" w:cs="Calibri"/>
                <w:color w:val="000000"/>
                <w:sz w:val="16"/>
                <w:szCs w:val="16"/>
                <w:lang w:val="es-AR" w:eastAsia="es-AR"/>
              </w:rPr>
            </w:pPr>
            <w:r w:rsidRPr="002237F2">
              <w:rPr>
                <w:rFonts w:eastAsia="Times New Roman" w:cs="Calibri"/>
                <w:color w:val="000000"/>
                <w:sz w:val="16"/>
                <w:szCs w:val="16"/>
                <w:lang w:val="es-AR" w:eastAsia="es-AR"/>
              </w:rPr>
              <w:t>Gasto</w:t>
            </w:r>
          </w:p>
        </w:tc>
        <w:tc>
          <w:tcPr>
            <w:tcW w:w="1120" w:type="dxa"/>
            <w:shd w:val="clear" w:color="auto" w:fill="auto"/>
            <w:noWrap/>
            <w:vAlign w:val="bottom"/>
            <w:hideMark/>
          </w:tcPr>
          <w:p w14:paraId="1DCD0091" w14:textId="77777777" w:rsidR="0079428C" w:rsidRPr="002237F2" w:rsidRDefault="0079428C" w:rsidP="00C276D3">
            <w:pPr>
              <w:spacing w:after="0" w:line="240" w:lineRule="auto"/>
              <w:jc w:val="center"/>
              <w:rPr>
                <w:rFonts w:eastAsia="Times New Roman" w:cs="Calibri"/>
                <w:color w:val="000000"/>
                <w:sz w:val="16"/>
                <w:szCs w:val="16"/>
                <w:lang w:val="es-AR" w:eastAsia="es-AR"/>
              </w:rPr>
            </w:pPr>
            <w:r w:rsidRPr="002237F2">
              <w:rPr>
                <w:rFonts w:eastAsia="Times New Roman" w:cs="Calibri"/>
                <w:color w:val="000000"/>
                <w:sz w:val="16"/>
                <w:szCs w:val="16"/>
                <w:lang w:val="es-AR" w:eastAsia="es-AR"/>
              </w:rPr>
              <w:t>AVI BM&amp;I</w:t>
            </w:r>
          </w:p>
        </w:tc>
      </w:tr>
      <w:tr w:rsidR="002237F2" w:rsidRPr="002237F2" w14:paraId="5DA67D59" w14:textId="77777777" w:rsidTr="00F05605">
        <w:trPr>
          <w:trHeight w:val="290"/>
          <w:jc w:val="center"/>
        </w:trPr>
        <w:tc>
          <w:tcPr>
            <w:tcW w:w="1204" w:type="dxa"/>
            <w:shd w:val="clear" w:color="auto" w:fill="auto"/>
            <w:noWrap/>
            <w:vAlign w:val="bottom"/>
            <w:hideMark/>
          </w:tcPr>
          <w:p w14:paraId="521FBCDD"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269D57FB"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Remuneracion directorio</w:t>
            </w:r>
          </w:p>
        </w:tc>
        <w:tc>
          <w:tcPr>
            <w:tcW w:w="1600" w:type="dxa"/>
            <w:shd w:val="clear" w:color="auto" w:fill="auto"/>
            <w:noWrap/>
            <w:hideMark/>
          </w:tcPr>
          <w:p w14:paraId="7D450F06" w14:textId="3EA0BB5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5D5E4706" w14:textId="1733E0F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273.460 </w:t>
            </w:r>
          </w:p>
        </w:tc>
        <w:tc>
          <w:tcPr>
            <w:tcW w:w="1120" w:type="dxa"/>
            <w:shd w:val="clear" w:color="auto" w:fill="auto"/>
            <w:noWrap/>
            <w:hideMark/>
          </w:tcPr>
          <w:p w14:paraId="04D7961D" w14:textId="0D61541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r>
      <w:tr w:rsidR="002237F2" w:rsidRPr="002237F2" w14:paraId="781AD82C" w14:textId="77777777" w:rsidTr="00F05605">
        <w:trPr>
          <w:trHeight w:val="290"/>
          <w:jc w:val="center"/>
        </w:trPr>
        <w:tc>
          <w:tcPr>
            <w:tcW w:w="1204" w:type="dxa"/>
            <w:shd w:val="clear" w:color="auto" w:fill="auto"/>
            <w:noWrap/>
            <w:vAlign w:val="bottom"/>
            <w:hideMark/>
          </w:tcPr>
          <w:p w14:paraId="57239C9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0C3C38B6"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Software Sistemas informáticos Administración</w:t>
            </w:r>
          </w:p>
        </w:tc>
        <w:tc>
          <w:tcPr>
            <w:tcW w:w="1600" w:type="dxa"/>
            <w:shd w:val="clear" w:color="auto" w:fill="auto"/>
            <w:noWrap/>
            <w:hideMark/>
          </w:tcPr>
          <w:p w14:paraId="7D585363" w14:textId="3E360FC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408402C9" w14:textId="4BD6F756"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236BC2BF" w14:textId="4FF37FC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572.202 </w:t>
            </w:r>
          </w:p>
        </w:tc>
      </w:tr>
      <w:tr w:rsidR="002237F2" w:rsidRPr="002237F2" w14:paraId="5793C885" w14:textId="77777777" w:rsidTr="00F05605">
        <w:trPr>
          <w:trHeight w:val="290"/>
          <w:jc w:val="center"/>
        </w:trPr>
        <w:tc>
          <w:tcPr>
            <w:tcW w:w="1204" w:type="dxa"/>
            <w:shd w:val="clear" w:color="auto" w:fill="auto"/>
            <w:noWrap/>
            <w:vAlign w:val="bottom"/>
            <w:hideMark/>
          </w:tcPr>
          <w:p w14:paraId="38E4186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218A04F6"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Hardware Sistemas informáticos Administración</w:t>
            </w:r>
          </w:p>
        </w:tc>
        <w:tc>
          <w:tcPr>
            <w:tcW w:w="1600" w:type="dxa"/>
            <w:shd w:val="clear" w:color="auto" w:fill="auto"/>
            <w:noWrap/>
            <w:hideMark/>
          </w:tcPr>
          <w:p w14:paraId="46ED1268" w14:textId="215B945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0FE7ECBC" w14:textId="07EEE93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4F71B0AD" w14:textId="0CD890E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575.099 </w:t>
            </w:r>
          </w:p>
        </w:tc>
      </w:tr>
      <w:tr w:rsidR="002237F2" w:rsidRPr="002237F2" w14:paraId="54698431" w14:textId="77777777" w:rsidTr="00F05605">
        <w:trPr>
          <w:trHeight w:val="290"/>
          <w:jc w:val="center"/>
        </w:trPr>
        <w:tc>
          <w:tcPr>
            <w:tcW w:w="1204" w:type="dxa"/>
            <w:shd w:val="clear" w:color="auto" w:fill="auto"/>
            <w:noWrap/>
            <w:vAlign w:val="bottom"/>
            <w:hideMark/>
          </w:tcPr>
          <w:p w14:paraId="5B8070D4"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69755F0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Ciberseguridad</w:t>
            </w:r>
          </w:p>
        </w:tc>
        <w:tc>
          <w:tcPr>
            <w:tcW w:w="1600" w:type="dxa"/>
            <w:shd w:val="clear" w:color="auto" w:fill="auto"/>
            <w:noWrap/>
            <w:hideMark/>
          </w:tcPr>
          <w:p w14:paraId="56CBDD4C" w14:textId="6D4347F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65F57E34" w14:textId="66118B8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30.000 </w:t>
            </w:r>
          </w:p>
        </w:tc>
        <w:tc>
          <w:tcPr>
            <w:tcW w:w="1120" w:type="dxa"/>
            <w:shd w:val="clear" w:color="auto" w:fill="auto"/>
            <w:noWrap/>
            <w:hideMark/>
          </w:tcPr>
          <w:p w14:paraId="15F789AE" w14:textId="33D69776"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r>
      <w:tr w:rsidR="002237F2" w:rsidRPr="002237F2" w14:paraId="6D41ED30" w14:textId="77777777" w:rsidTr="00F05605">
        <w:trPr>
          <w:trHeight w:val="290"/>
          <w:jc w:val="center"/>
        </w:trPr>
        <w:tc>
          <w:tcPr>
            <w:tcW w:w="1204" w:type="dxa"/>
            <w:shd w:val="clear" w:color="auto" w:fill="auto"/>
            <w:noWrap/>
            <w:vAlign w:val="bottom"/>
            <w:hideMark/>
          </w:tcPr>
          <w:p w14:paraId="6F013D8A"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1DA2CCFF"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Memoria anual</w:t>
            </w:r>
          </w:p>
        </w:tc>
        <w:tc>
          <w:tcPr>
            <w:tcW w:w="1600" w:type="dxa"/>
            <w:shd w:val="clear" w:color="auto" w:fill="auto"/>
            <w:noWrap/>
            <w:hideMark/>
          </w:tcPr>
          <w:p w14:paraId="099F21D7" w14:textId="465B947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38E1E85B" w14:textId="37FB7347"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47.523 </w:t>
            </w:r>
          </w:p>
        </w:tc>
        <w:tc>
          <w:tcPr>
            <w:tcW w:w="1120" w:type="dxa"/>
            <w:shd w:val="clear" w:color="auto" w:fill="auto"/>
            <w:noWrap/>
            <w:hideMark/>
          </w:tcPr>
          <w:p w14:paraId="4D9BCE30" w14:textId="5589E14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r>
      <w:tr w:rsidR="002237F2" w:rsidRPr="002237F2" w14:paraId="74B5C7FA" w14:textId="77777777" w:rsidTr="00F05605">
        <w:trPr>
          <w:trHeight w:val="290"/>
          <w:jc w:val="center"/>
        </w:trPr>
        <w:tc>
          <w:tcPr>
            <w:tcW w:w="1204" w:type="dxa"/>
            <w:shd w:val="clear" w:color="auto" w:fill="auto"/>
            <w:noWrap/>
            <w:vAlign w:val="bottom"/>
            <w:hideMark/>
          </w:tcPr>
          <w:p w14:paraId="15353DE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36949D50"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Mantenimiento Software Administración</w:t>
            </w:r>
          </w:p>
        </w:tc>
        <w:tc>
          <w:tcPr>
            <w:tcW w:w="1600" w:type="dxa"/>
            <w:shd w:val="clear" w:color="auto" w:fill="auto"/>
            <w:noWrap/>
            <w:hideMark/>
          </w:tcPr>
          <w:p w14:paraId="7E63CA18" w14:textId="3ACC646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554CF839" w14:textId="573933D7"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351.921 </w:t>
            </w:r>
          </w:p>
        </w:tc>
        <w:tc>
          <w:tcPr>
            <w:tcW w:w="1120" w:type="dxa"/>
            <w:shd w:val="clear" w:color="auto" w:fill="auto"/>
            <w:noWrap/>
            <w:hideMark/>
          </w:tcPr>
          <w:p w14:paraId="04DB8624" w14:textId="7121910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r>
      <w:tr w:rsidR="002237F2" w:rsidRPr="002237F2" w14:paraId="3F24369F" w14:textId="77777777" w:rsidTr="00F05605">
        <w:trPr>
          <w:trHeight w:val="290"/>
          <w:jc w:val="center"/>
        </w:trPr>
        <w:tc>
          <w:tcPr>
            <w:tcW w:w="1204" w:type="dxa"/>
            <w:shd w:val="clear" w:color="auto" w:fill="auto"/>
            <w:noWrap/>
            <w:vAlign w:val="bottom"/>
            <w:hideMark/>
          </w:tcPr>
          <w:p w14:paraId="7CC5A4CC"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Corporativo</w:t>
            </w:r>
          </w:p>
        </w:tc>
        <w:tc>
          <w:tcPr>
            <w:tcW w:w="4192" w:type="dxa"/>
            <w:shd w:val="clear" w:color="auto" w:fill="auto"/>
            <w:noWrap/>
            <w:vAlign w:val="bottom"/>
            <w:hideMark/>
          </w:tcPr>
          <w:p w14:paraId="4550245D"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Mantenimiento Hardware Administración</w:t>
            </w:r>
          </w:p>
        </w:tc>
        <w:tc>
          <w:tcPr>
            <w:tcW w:w="1600" w:type="dxa"/>
            <w:shd w:val="clear" w:color="auto" w:fill="auto"/>
            <w:noWrap/>
            <w:hideMark/>
          </w:tcPr>
          <w:p w14:paraId="2E8FE02C" w14:textId="28A2852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6097D066" w14:textId="410D075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117.901 </w:t>
            </w:r>
          </w:p>
        </w:tc>
        <w:tc>
          <w:tcPr>
            <w:tcW w:w="1120" w:type="dxa"/>
            <w:shd w:val="clear" w:color="auto" w:fill="auto"/>
            <w:noWrap/>
            <w:hideMark/>
          </w:tcPr>
          <w:p w14:paraId="3B22BFC8" w14:textId="5DB88F22"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r>
      <w:tr w:rsidR="002237F2" w:rsidRPr="002237F2" w14:paraId="654C1E01" w14:textId="77777777" w:rsidTr="00F05605">
        <w:trPr>
          <w:trHeight w:val="290"/>
          <w:jc w:val="center"/>
        </w:trPr>
        <w:tc>
          <w:tcPr>
            <w:tcW w:w="1204" w:type="dxa"/>
            <w:shd w:val="clear" w:color="auto" w:fill="auto"/>
            <w:noWrap/>
            <w:vAlign w:val="bottom"/>
            <w:hideMark/>
          </w:tcPr>
          <w:p w14:paraId="6B5038D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FA284F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Gerencia General</w:t>
            </w:r>
          </w:p>
        </w:tc>
        <w:tc>
          <w:tcPr>
            <w:tcW w:w="1600" w:type="dxa"/>
            <w:shd w:val="clear" w:color="auto" w:fill="auto"/>
            <w:noWrap/>
            <w:hideMark/>
          </w:tcPr>
          <w:p w14:paraId="18D33220" w14:textId="2498881C"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7936B2FD" w14:textId="46AA7A5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21.302 </w:t>
            </w:r>
          </w:p>
        </w:tc>
        <w:tc>
          <w:tcPr>
            <w:tcW w:w="1120" w:type="dxa"/>
            <w:shd w:val="clear" w:color="auto" w:fill="auto"/>
            <w:noWrap/>
            <w:hideMark/>
          </w:tcPr>
          <w:p w14:paraId="427D8B0C" w14:textId="38123C1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870 </w:t>
            </w:r>
          </w:p>
        </w:tc>
      </w:tr>
      <w:tr w:rsidR="002237F2" w:rsidRPr="002237F2" w14:paraId="3E330B67" w14:textId="77777777" w:rsidTr="00F05605">
        <w:trPr>
          <w:trHeight w:val="290"/>
          <w:jc w:val="center"/>
        </w:trPr>
        <w:tc>
          <w:tcPr>
            <w:tcW w:w="1204" w:type="dxa"/>
            <w:shd w:val="clear" w:color="auto" w:fill="auto"/>
            <w:noWrap/>
            <w:vAlign w:val="bottom"/>
            <w:hideMark/>
          </w:tcPr>
          <w:p w14:paraId="3427F39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BB9B36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Gerente General</w:t>
            </w:r>
          </w:p>
        </w:tc>
        <w:tc>
          <w:tcPr>
            <w:tcW w:w="1600" w:type="dxa"/>
            <w:shd w:val="clear" w:color="auto" w:fill="auto"/>
            <w:noWrap/>
            <w:hideMark/>
          </w:tcPr>
          <w:p w14:paraId="1E24BA22" w14:textId="11120482"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293.448 </w:t>
            </w:r>
          </w:p>
        </w:tc>
        <w:tc>
          <w:tcPr>
            <w:tcW w:w="1120" w:type="dxa"/>
            <w:shd w:val="clear" w:color="auto" w:fill="auto"/>
            <w:noWrap/>
            <w:hideMark/>
          </w:tcPr>
          <w:p w14:paraId="02056EEA" w14:textId="6FE4C11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11.414 </w:t>
            </w:r>
          </w:p>
        </w:tc>
        <w:tc>
          <w:tcPr>
            <w:tcW w:w="1120" w:type="dxa"/>
            <w:shd w:val="clear" w:color="auto" w:fill="auto"/>
            <w:noWrap/>
            <w:hideMark/>
          </w:tcPr>
          <w:p w14:paraId="257CC234" w14:textId="34D7219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4.256 </w:t>
            </w:r>
          </w:p>
        </w:tc>
      </w:tr>
      <w:tr w:rsidR="002237F2" w:rsidRPr="002237F2" w14:paraId="0AA8988D" w14:textId="77777777" w:rsidTr="00F05605">
        <w:trPr>
          <w:trHeight w:val="290"/>
          <w:jc w:val="center"/>
        </w:trPr>
        <w:tc>
          <w:tcPr>
            <w:tcW w:w="1204" w:type="dxa"/>
            <w:shd w:val="clear" w:color="auto" w:fill="auto"/>
            <w:noWrap/>
            <w:vAlign w:val="bottom"/>
            <w:hideMark/>
          </w:tcPr>
          <w:p w14:paraId="474935F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5EA87D34"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Secretaria Gerente General</w:t>
            </w:r>
          </w:p>
        </w:tc>
        <w:tc>
          <w:tcPr>
            <w:tcW w:w="1600" w:type="dxa"/>
            <w:shd w:val="clear" w:color="auto" w:fill="auto"/>
            <w:noWrap/>
            <w:hideMark/>
          </w:tcPr>
          <w:p w14:paraId="00D81560" w14:textId="7E20D786"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40.494 </w:t>
            </w:r>
          </w:p>
        </w:tc>
        <w:tc>
          <w:tcPr>
            <w:tcW w:w="1120" w:type="dxa"/>
            <w:shd w:val="clear" w:color="auto" w:fill="auto"/>
            <w:noWrap/>
            <w:hideMark/>
          </w:tcPr>
          <w:p w14:paraId="7CB8C369" w14:textId="0D58B22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2.466 </w:t>
            </w:r>
          </w:p>
        </w:tc>
        <w:tc>
          <w:tcPr>
            <w:tcW w:w="1120" w:type="dxa"/>
            <w:shd w:val="clear" w:color="auto" w:fill="auto"/>
            <w:noWrap/>
            <w:hideMark/>
          </w:tcPr>
          <w:p w14:paraId="572D948C" w14:textId="0B4072E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2.295 </w:t>
            </w:r>
          </w:p>
        </w:tc>
      </w:tr>
      <w:tr w:rsidR="002237F2" w:rsidRPr="002237F2" w14:paraId="1D4BEA6F" w14:textId="77777777" w:rsidTr="00F05605">
        <w:trPr>
          <w:trHeight w:val="290"/>
          <w:jc w:val="center"/>
        </w:trPr>
        <w:tc>
          <w:tcPr>
            <w:tcW w:w="1204" w:type="dxa"/>
            <w:shd w:val="clear" w:color="auto" w:fill="auto"/>
            <w:noWrap/>
            <w:vAlign w:val="bottom"/>
            <w:hideMark/>
          </w:tcPr>
          <w:p w14:paraId="00F11CF6"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3CF0C4A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Subgerencia de Relaciones Institucionales</w:t>
            </w:r>
          </w:p>
        </w:tc>
        <w:tc>
          <w:tcPr>
            <w:tcW w:w="1600" w:type="dxa"/>
            <w:shd w:val="clear" w:color="auto" w:fill="auto"/>
            <w:noWrap/>
            <w:hideMark/>
          </w:tcPr>
          <w:p w14:paraId="7BB46EB0" w14:textId="654A275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54075A8F" w14:textId="4EDE771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21.302 </w:t>
            </w:r>
          </w:p>
        </w:tc>
        <w:tc>
          <w:tcPr>
            <w:tcW w:w="1120" w:type="dxa"/>
            <w:shd w:val="clear" w:color="auto" w:fill="auto"/>
            <w:noWrap/>
            <w:hideMark/>
          </w:tcPr>
          <w:p w14:paraId="392A0D45" w14:textId="5742D97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870 </w:t>
            </w:r>
          </w:p>
        </w:tc>
      </w:tr>
      <w:tr w:rsidR="002237F2" w:rsidRPr="002237F2" w14:paraId="67ABEABE" w14:textId="77777777" w:rsidTr="00F05605">
        <w:trPr>
          <w:trHeight w:val="290"/>
          <w:jc w:val="center"/>
        </w:trPr>
        <w:tc>
          <w:tcPr>
            <w:tcW w:w="1204" w:type="dxa"/>
            <w:shd w:val="clear" w:color="auto" w:fill="auto"/>
            <w:noWrap/>
            <w:vAlign w:val="bottom"/>
            <w:hideMark/>
          </w:tcPr>
          <w:p w14:paraId="046D5A0D"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224614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Subgerente de Relaciones Institucionales</w:t>
            </w:r>
          </w:p>
        </w:tc>
        <w:tc>
          <w:tcPr>
            <w:tcW w:w="1600" w:type="dxa"/>
            <w:shd w:val="clear" w:color="auto" w:fill="auto"/>
            <w:noWrap/>
            <w:hideMark/>
          </w:tcPr>
          <w:p w14:paraId="78B43E8C" w14:textId="3733D84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95.454 </w:t>
            </w:r>
          </w:p>
        </w:tc>
        <w:tc>
          <w:tcPr>
            <w:tcW w:w="1120" w:type="dxa"/>
            <w:shd w:val="clear" w:color="auto" w:fill="auto"/>
            <w:noWrap/>
            <w:hideMark/>
          </w:tcPr>
          <w:p w14:paraId="35D080C3" w14:textId="1B97A2D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8.970 </w:t>
            </w:r>
          </w:p>
        </w:tc>
        <w:tc>
          <w:tcPr>
            <w:tcW w:w="1120" w:type="dxa"/>
            <w:shd w:val="clear" w:color="auto" w:fill="auto"/>
            <w:noWrap/>
            <w:hideMark/>
          </w:tcPr>
          <w:p w14:paraId="1AE89514" w14:textId="2B36559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3.668 </w:t>
            </w:r>
          </w:p>
        </w:tc>
      </w:tr>
      <w:tr w:rsidR="002237F2" w:rsidRPr="002237F2" w14:paraId="6B434508" w14:textId="77777777" w:rsidTr="00F05605">
        <w:trPr>
          <w:trHeight w:val="290"/>
          <w:jc w:val="center"/>
        </w:trPr>
        <w:tc>
          <w:tcPr>
            <w:tcW w:w="1204" w:type="dxa"/>
            <w:shd w:val="clear" w:color="auto" w:fill="auto"/>
            <w:noWrap/>
            <w:vAlign w:val="bottom"/>
            <w:hideMark/>
          </w:tcPr>
          <w:p w14:paraId="495969F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06440F7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Secretaria de Subgerencia Relaciones Institucionales</w:t>
            </w:r>
          </w:p>
        </w:tc>
        <w:tc>
          <w:tcPr>
            <w:tcW w:w="1600" w:type="dxa"/>
            <w:shd w:val="clear" w:color="auto" w:fill="auto"/>
            <w:noWrap/>
            <w:hideMark/>
          </w:tcPr>
          <w:p w14:paraId="7C12FC8F" w14:textId="45AF7A1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23.927 </w:t>
            </w:r>
          </w:p>
        </w:tc>
        <w:tc>
          <w:tcPr>
            <w:tcW w:w="1120" w:type="dxa"/>
            <w:shd w:val="clear" w:color="auto" w:fill="auto"/>
            <w:noWrap/>
            <w:hideMark/>
          </w:tcPr>
          <w:p w14:paraId="7F6FE518" w14:textId="0DB7637C"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02B4C056" w14:textId="200E0BA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0BD5F96B" w14:textId="77777777" w:rsidTr="00F05605">
        <w:trPr>
          <w:trHeight w:val="290"/>
          <w:jc w:val="center"/>
        </w:trPr>
        <w:tc>
          <w:tcPr>
            <w:tcW w:w="1204" w:type="dxa"/>
            <w:shd w:val="clear" w:color="auto" w:fill="auto"/>
            <w:noWrap/>
            <w:vAlign w:val="bottom"/>
            <w:hideMark/>
          </w:tcPr>
          <w:p w14:paraId="0EBC410B"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6717F43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Subgerencia de Legales</w:t>
            </w:r>
          </w:p>
        </w:tc>
        <w:tc>
          <w:tcPr>
            <w:tcW w:w="1600" w:type="dxa"/>
            <w:shd w:val="clear" w:color="auto" w:fill="auto"/>
            <w:noWrap/>
            <w:hideMark/>
          </w:tcPr>
          <w:p w14:paraId="1D011583" w14:textId="7D13859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4DA2FE28" w14:textId="72D077D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21.302 </w:t>
            </w:r>
          </w:p>
        </w:tc>
        <w:tc>
          <w:tcPr>
            <w:tcW w:w="1120" w:type="dxa"/>
            <w:shd w:val="clear" w:color="auto" w:fill="auto"/>
            <w:noWrap/>
            <w:hideMark/>
          </w:tcPr>
          <w:p w14:paraId="00FD2DE2" w14:textId="61EEDE9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870 </w:t>
            </w:r>
          </w:p>
        </w:tc>
      </w:tr>
      <w:tr w:rsidR="002237F2" w:rsidRPr="002237F2" w14:paraId="658DBD7A" w14:textId="77777777" w:rsidTr="00F05605">
        <w:trPr>
          <w:trHeight w:val="290"/>
          <w:jc w:val="center"/>
        </w:trPr>
        <w:tc>
          <w:tcPr>
            <w:tcW w:w="1204" w:type="dxa"/>
            <w:shd w:val="clear" w:color="auto" w:fill="auto"/>
            <w:noWrap/>
            <w:vAlign w:val="bottom"/>
            <w:hideMark/>
          </w:tcPr>
          <w:p w14:paraId="2ACE27D5"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41DAF0E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Subgerente de Legales</w:t>
            </w:r>
          </w:p>
        </w:tc>
        <w:tc>
          <w:tcPr>
            <w:tcW w:w="1600" w:type="dxa"/>
            <w:shd w:val="clear" w:color="auto" w:fill="auto"/>
            <w:noWrap/>
            <w:hideMark/>
          </w:tcPr>
          <w:p w14:paraId="0759B4CA" w14:textId="45A61A0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215.765 </w:t>
            </w:r>
          </w:p>
        </w:tc>
        <w:tc>
          <w:tcPr>
            <w:tcW w:w="1120" w:type="dxa"/>
            <w:shd w:val="clear" w:color="auto" w:fill="auto"/>
            <w:noWrap/>
            <w:hideMark/>
          </w:tcPr>
          <w:p w14:paraId="17796EC5" w14:textId="1D26367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9.420 </w:t>
            </w:r>
          </w:p>
        </w:tc>
        <w:tc>
          <w:tcPr>
            <w:tcW w:w="1120" w:type="dxa"/>
            <w:shd w:val="clear" w:color="auto" w:fill="auto"/>
            <w:noWrap/>
            <w:hideMark/>
          </w:tcPr>
          <w:p w14:paraId="289B36B0" w14:textId="3CF7B66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3.668 </w:t>
            </w:r>
          </w:p>
        </w:tc>
      </w:tr>
      <w:tr w:rsidR="002237F2" w:rsidRPr="002237F2" w14:paraId="3134BE5B" w14:textId="77777777" w:rsidTr="00F05605">
        <w:trPr>
          <w:trHeight w:val="290"/>
          <w:jc w:val="center"/>
        </w:trPr>
        <w:tc>
          <w:tcPr>
            <w:tcW w:w="1204" w:type="dxa"/>
            <w:shd w:val="clear" w:color="auto" w:fill="auto"/>
            <w:noWrap/>
            <w:vAlign w:val="bottom"/>
            <w:hideMark/>
          </w:tcPr>
          <w:p w14:paraId="09AACC5D"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86EB37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Subgerencia de Recursos Humanos</w:t>
            </w:r>
          </w:p>
        </w:tc>
        <w:tc>
          <w:tcPr>
            <w:tcW w:w="1600" w:type="dxa"/>
            <w:shd w:val="clear" w:color="auto" w:fill="auto"/>
            <w:noWrap/>
            <w:hideMark/>
          </w:tcPr>
          <w:p w14:paraId="49E8F351" w14:textId="4290770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08CB3EB9" w14:textId="368E3C0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21.302 </w:t>
            </w:r>
          </w:p>
        </w:tc>
        <w:tc>
          <w:tcPr>
            <w:tcW w:w="1120" w:type="dxa"/>
            <w:shd w:val="clear" w:color="auto" w:fill="auto"/>
            <w:noWrap/>
            <w:hideMark/>
          </w:tcPr>
          <w:p w14:paraId="7831FFF1" w14:textId="7606783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870 </w:t>
            </w:r>
          </w:p>
        </w:tc>
      </w:tr>
      <w:tr w:rsidR="002237F2" w:rsidRPr="002237F2" w14:paraId="2CA9E90F" w14:textId="77777777" w:rsidTr="00F05605">
        <w:trPr>
          <w:trHeight w:val="290"/>
          <w:jc w:val="center"/>
        </w:trPr>
        <w:tc>
          <w:tcPr>
            <w:tcW w:w="1204" w:type="dxa"/>
            <w:shd w:val="clear" w:color="auto" w:fill="auto"/>
            <w:noWrap/>
            <w:vAlign w:val="bottom"/>
            <w:hideMark/>
          </w:tcPr>
          <w:p w14:paraId="4F7781FF"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36C304C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Subgerente de Recursos Humanos</w:t>
            </w:r>
          </w:p>
        </w:tc>
        <w:tc>
          <w:tcPr>
            <w:tcW w:w="1600" w:type="dxa"/>
            <w:shd w:val="clear" w:color="auto" w:fill="auto"/>
            <w:noWrap/>
            <w:hideMark/>
          </w:tcPr>
          <w:p w14:paraId="729B2AC5" w14:textId="3CAD16F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71.001 </w:t>
            </w:r>
          </w:p>
        </w:tc>
        <w:tc>
          <w:tcPr>
            <w:tcW w:w="1120" w:type="dxa"/>
            <w:shd w:val="clear" w:color="auto" w:fill="auto"/>
            <w:noWrap/>
            <w:hideMark/>
          </w:tcPr>
          <w:p w14:paraId="45C4B7A9" w14:textId="12AC08F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8.970 </w:t>
            </w:r>
          </w:p>
        </w:tc>
        <w:tc>
          <w:tcPr>
            <w:tcW w:w="1120" w:type="dxa"/>
            <w:shd w:val="clear" w:color="auto" w:fill="auto"/>
            <w:noWrap/>
            <w:hideMark/>
          </w:tcPr>
          <w:p w14:paraId="26C69E0C" w14:textId="5E70CBB6"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3.668 </w:t>
            </w:r>
          </w:p>
        </w:tc>
      </w:tr>
      <w:tr w:rsidR="002237F2" w:rsidRPr="002237F2" w14:paraId="2FD86087" w14:textId="77777777" w:rsidTr="00F05605">
        <w:trPr>
          <w:trHeight w:val="290"/>
          <w:jc w:val="center"/>
        </w:trPr>
        <w:tc>
          <w:tcPr>
            <w:tcW w:w="1204" w:type="dxa"/>
            <w:shd w:val="clear" w:color="auto" w:fill="auto"/>
            <w:noWrap/>
            <w:vAlign w:val="bottom"/>
            <w:hideMark/>
          </w:tcPr>
          <w:p w14:paraId="0D5EAEDB"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0466C93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Secretaria de Subgerencia de Recursos Humanos</w:t>
            </w:r>
          </w:p>
        </w:tc>
        <w:tc>
          <w:tcPr>
            <w:tcW w:w="1600" w:type="dxa"/>
            <w:shd w:val="clear" w:color="auto" w:fill="auto"/>
            <w:noWrap/>
            <w:hideMark/>
          </w:tcPr>
          <w:p w14:paraId="7641617F" w14:textId="53287C7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23.927 </w:t>
            </w:r>
          </w:p>
        </w:tc>
        <w:tc>
          <w:tcPr>
            <w:tcW w:w="1120" w:type="dxa"/>
            <w:shd w:val="clear" w:color="auto" w:fill="auto"/>
            <w:noWrap/>
            <w:hideMark/>
          </w:tcPr>
          <w:p w14:paraId="45463947" w14:textId="65488D0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32102140" w14:textId="7670B18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31AF9C89" w14:textId="77777777" w:rsidTr="00F05605">
        <w:trPr>
          <w:trHeight w:val="290"/>
          <w:jc w:val="center"/>
        </w:trPr>
        <w:tc>
          <w:tcPr>
            <w:tcW w:w="1204" w:type="dxa"/>
            <w:shd w:val="clear" w:color="auto" w:fill="auto"/>
            <w:noWrap/>
            <w:vAlign w:val="bottom"/>
            <w:hideMark/>
          </w:tcPr>
          <w:p w14:paraId="1AFBF170"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4E6A19B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Departamento Administración del Personal</w:t>
            </w:r>
          </w:p>
        </w:tc>
        <w:tc>
          <w:tcPr>
            <w:tcW w:w="1600" w:type="dxa"/>
            <w:shd w:val="clear" w:color="auto" w:fill="auto"/>
            <w:noWrap/>
            <w:hideMark/>
          </w:tcPr>
          <w:p w14:paraId="5769A559" w14:textId="149128B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0AF92AB1" w14:textId="4452FCA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235 </w:t>
            </w:r>
          </w:p>
        </w:tc>
        <w:tc>
          <w:tcPr>
            <w:tcW w:w="1120" w:type="dxa"/>
            <w:shd w:val="clear" w:color="auto" w:fill="auto"/>
            <w:noWrap/>
            <w:hideMark/>
          </w:tcPr>
          <w:p w14:paraId="13E7763C" w14:textId="07B2023C"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794 </w:t>
            </w:r>
          </w:p>
        </w:tc>
      </w:tr>
      <w:tr w:rsidR="002237F2" w:rsidRPr="002237F2" w14:paraId="695E2B4F" w14:textId="77777777" w:rsidTr="00F05605">
        <w:trPr>
          <w:trHeight w:val="290"/>
          <w:jc w:val="center"/>
        </w:trPr>
        <w:tc>
          <w:tcPr>
            <w:tcW w:w="1204" w:type="dxa"/>
            <w:shd w:val="clear" w:color="auto" w:fill="auto"/>
            <w:noWrap/>
            <w:vAlign w:val="bottom"/>
            <w:hideMark/>
          </w:tcPr>
          <w:p w14:paraId="39150B36"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75BEF7B"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Jefe Departamento Administración del Personal</w:t>
            </w:r>
          </w:p>
        </w:tc>
        <w:tc>
          <w:tcPr>
            <w:tcW w:w="1600" w:type="dxa"/>
            <w:shd w:val="clear" w:color="auto" w:fill="auto"/>
            <w:noWrap/>
            <w:hideMark/>
          </w:tcPr>
          <w:p w14:paraId="1CFF2BDC" w14:textId="1DBB96C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115.050 </w:t>
            </w:r>
          </w:p>
        </w:tc>
        <w:tc>
          <w:tcPr>
            <w:tcW w:w="1120" w:type="dxa"/>
            <w:shd w:val="clear" w:color="auto" w:fill="auto"/>
            <w:noWrap/>
            <w:hideMark/>
          </w:tcPr>
          <w:p w14:paraId="0442593D" w14:textId="7EF3066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8.081 </w:t>
            </w:r>
          </w:p>
        </w:tc>
        <w:tc>
          <w:tcPr>
            <w:tcW w:w="1120" w:type="dxa"/>
            <w:shd w:val="clear" w:color="auto" w:fill="auto"/>
            <w:noWrap/>
            <w:hideMark/>
          </w:tcPr>
          <w:p w14:paraId="00662320" w14:textId="1B732A1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2.327 </w:t>
            </w:r>
          </w:p>
        </w:tc>
      </w:tr>
      <w:tr w:rsidR="002237F2" w:rsidRPr="002237F2" w14:paraId="1275C144" w14:textId="77777777" w:rsidTr="00F05605">
        <w:trPr>
          <w:trHeight w:val="290"/>
          <w:jc w:val="center"/>
        </w:trPr>
        <w:tc>
          <w:tcPr>
            <w:tcW w:w="1204" w:type="dxa"/>
            <w:shd w:val="clear" w:color="auto" w:fill="auto"/>
            <w:noWrap/>
            <w:vAlign w:val="bottom"/>
            <w:hideMark/>
          </w:tcPr>
          <w:p w14:paraId="5CB067BD"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688B76A"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remuneraciones</w:t>
            </w:r>
          </w:p>
        </w:tc>
        <w:tc>
          <w:tcPr>
            <w:tcW w:w="1600" w:type="dxa"/>
            <w:shd w:val="clear" w:color="auto" w:fill="auto"/>
            <w:noWrap/>
            <w:hideMark/>
          </w:tcPr>
          <w:p w14:paraId="75F16413" w14:textId="32F5524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37.346 </w:t>
            </w:r>
          </w:p>
        </w:tc>
        <w:tc>
          <w:tcPr>
            <w:tcW w:w="1120" w:type="dxa"/>
            <w:shd w:val="clear" w:color="auto" w:fill="auto"/>
            <w:noWrap/>
            <w:hideMark/>
          </w:tcPr>
          <w:p w14:paraId="489935CC" w14:textId="5EDBC20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38B1A78E" w14:textId="52371E36"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1CF9B7E1" w14:textId="77777777" w:rsidTr="00F05605">
        <w:trPr>
          <w:trHeight w:val="290"/>
          <w:jc w:val="center"/>
        </w:trPr>
        <w:tc>
          <w:tcPr>
            <w:tcW w:w="1204" w:type="dxa"/>
            <w:shd w:val="clear" w:color="auto" w:fill="auto"/>
            <w:noWrap/>
            <w:vAlign w:val="bottom"/>
            <w:hideMark/>
          </w:tcPr>
          <w:p w14:paraId="4A83F68A"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4395E5BF"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Selección y desarrollo del personal</w:t>
            </w:r>
          </w:p>
        </w:tc>
        <w:tc>
          <w:tcPr>
            <w:tcW w:w="1600" w:type="dxa"/>
            <w:shd w:val="clear" w:color="auto" w:fill="auto"/>
            <w:noWrap/>
            <w:hideMark/>
          </w:tcPr>
          <w:p w14:paraId="689BB384" w14:textId="2DD8561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54.109 </w:t>
            </w:r>
          </w:p>
        </w:tc>
        <w:tc>
          <w:tcPr>
            <w:tcW w:w="1120" w:type="dxa"/>
            <w:shd w:val="clear" w:color="auto" w:fill="auto"/>
            <w:noWrap/>
            <w:hideMark/>
          </w:tcPr>
          <w:p w14:paraId="3842B4B5" w14:textId="2EA3A77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721B50DA" w14:textId="0E8D83F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73A7EDF2" w14:textId="77777777" w:rsidTr="00F05605">
        <w:trPr>
          <w:trHeight w:val="290"/>
          <w:jc w:val="center"/>
        </w:trPr>
        <w:tc>
          <w:tcPr>
            <w:tcW w:w="1204" w:type="dxa"/>
            <w:shd w:val="clear" w:color="auto" w:fill="auto"/>
            <w:noWrap/>
            <w:vAlign w:val="bottom"/>
            <w:hideMark/>
          </w:tcPr>
          <w:p w14:paraId="330FEFC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056F8D1A"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Subgerencia de Planificación Estratégica y Control de Gestión</w:t>
            </w:r>
          </w:p>
        </w:tc>
        <w:tc>
          <w:tcPr>
            <w:tcW w:w="1600" w:type="dxa"/>
            <w:shd w:val="clear" w:color="auto" w:fill="auto"/>
            <w:noWrap/>
            <w:hideMark/>
          </w:tcPr>
          <w:p w14:paraId="2384DB10" w14:textId="17373A8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3AD4CCA1" w14:textId="3A8F697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21.302 </w:t>
            </w:r>
          </w:p>
        </w:tc>
        <w:tc>
          <w:tcPr>
            <w:tcW w:w="1120" w:type="dxa"/>
            <w:shd w:val="clear" w:color="auto" w:fill="auto"/>
            <w:noWrap/>
            <w:hideMark/>
          </w:tcPr>
          <w:p w14:paraId="10BB11D6" w14:textId="46F15D0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870 </w:t>
            </w:r>
          </w:p>
        </w:tc>
      </w:tr>
      <w:tr w:rsidR="002237F2" w:rsidRPr="002237F2" w14:paraId="02213E49" w14:textId="77777777" w:rsidTr="00F05605">
        <w:trPr>
          <w:trHeight w:val="290"/>
          <w:jc w:val="center"/>
        </w:trPr>
        <w:tc>
          <w:tcPr>
            <w:tcW w:w="1204" w:type="dxa"/>
            <w:shd w:val="clear" w:color="auto" w:fill="auto"/>
            <w:noWrap/>
            <w:vAlign w:val="bottom"/>
            <w:hideMark/>
          </w:tcPr>
          <w:p w14:paraId="0C604764"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649F7F26"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Gerencia de Administración y Finanzas</w:t>
            </w:r>
          </w:p>
        </w:tc>
        <w:tc>
          <w:tcPr>
            <w:tcW w:w="1600" w:type="dxa"/>
            <w:shd w:val="clear" w:color="auto" w:fill="auto"/>
            <w:noWrap/>
            <w:hideMark/>
          </w:tcPr>
          <w:p w14:paraId="55DDBB02" w14:textId="5A069E7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365C0C47" w14:textId="276F17B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21.302 </w:t>
            </w:r>
          </w:p>
        </w:tc>
        <w:tc>
          <w:tcPr>
            <w:tcW w:w="1120" w:type="dxa"/>
            <w:shd w:val="clear" w:color="auto" w:fill="auto"/>
            <w:noWrap/>
            <w:hideMark/>
          </w:tcPr>
          <w:p w14:paraId="044FBD63" w14:textId="6D764F1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870 </w:t>
            </w:r>
          </w:p>
        </w:tc>
      </w:tr>
      <w:tr w:rsidR="002237F2" w:rsidRPr="002237F2" w14:paraId="745AF5D2" w14:textId="77777777" w:rsidTr="00F05605">
        <w:trPr>
          <w:trHeight w:val="290"/>
          <w:jc w:val="center"/>
        </w:trPr>
        <w:tc>
          <w:tcPr>
            <w:tcW w:w="1204" w:type="dxa"/>
            <w:shd w:val="clear" w:color="auto" w:fill="auto"/>
            <w:noWrap/>
            <w:vAlign w:val="bottom"/>
            <w:hideMark/>
          </w:tcPr>
          <w:p w14:paraId="505F164A"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6AE6EF5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Gerente de Administración y Finanzas</w:t>
            </w:r>
          </w:p>
        </w:tc>
        <w:tc>
          <w:tcPr>
            <w:tcW w:w="1600" w:type="dxa"/>
            <w:shd w:val="clear" w:color="auto" w:fill="auto"/>
            <w:noWrap/>
            <w:hideMark/>
          </w:tcPr>
          <w:p w14:paraId="387816D9" w14:textId="04AA404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202.289 </w:t>
            </w:r>
          </w:p>
        </w:tc>
        <w:tc>
          <w:tcPr>
            <w:tcW w:w="1120" w:type="dxa"/>
            <w:shd w:val="clear" w:color="auto" w:fill="auto"/>
            <w:noWrap/>
            <w:hideMark/>
          </w:tcPr>
          <w:p w14:paraId="7211589F" w14:textId="0E830F5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8.970 </w:t>
            </w:r>
          </w:p>
        </w:tc>
        <w:tc>
          <w:tcPr>
            <w:tcW w:w="1120" w:type="dxa"/>
            <w:shd w:val="clear" w:color="auto" w:fill="auto"/>
            <w:noWrap/>
            <w:hideMark/>
          </w:tcPr>
          <w:p w14:paraId="1E81CB24" w14:textId="2AB70E7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3.668 </w:t>
            </w:r>
          </w:p>
        </w:tc>
      </w:tr>
      <w:tr w:rsidR="002237F2" w:rsidRPr="002237F2" w14:paraId="469C6240" w14:textId="77777777" w:rsidTr="00F05605">
        <w:trPr>
          <w:trHeight w:val="290"/>
          <w:jc w:val="center"/>
        </w:trPr>
        <w:tc>
          <w:tcPr>
            <w:tcW w:w="1204" w:type="dxa"/>
            <w:shd w:val="clear" w:color="auto" w:fill="auto"/>
            <w:noWrap/>
            <w:vAlign w:val="bottom"/>
            <w:hideMark/>
          </w:tcPr>
          <w:p w14:paraId="6095800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625CBD5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Secretaria de Gerencia de Administración y Finanzas</w:t>
            </w:r>
          </w:p>
        </w:tc>
        <w:tc>
          <w:tcPr>
            <w:tcW w:w="1600" w:type="dxa"/>
            <w:shd w:val="clear" w:color="auto" w:fill="auto"/>
            <w:noWrap/>
            <w:hideMark/>
          </w:tcPr>
          <w:p w14:paraId="1AD8B309" w14:textId="7C17E3A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23.927 </w:t>
            </w:r>
          </w:p>
        </w:tc>
        <w:tc>
          <w:tcPr>
            <w:tcW w:w="1120" w:type="dxa"/>
            <w:shd w:val="clear" w:color="auto" w:fill="auto"/>
            <w:noWrap/>
            <w:hideMark/>
          </w:tcPr>
          <w:p w14:paraId="0659207D" w14:textId="2E76CFE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24400213" w14:textId="58A16F2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441D4161" w14:textId="77777777" w:rsidTr="00F05605">
        <w:trPr>
          <w:trHeight w:val="290"/>
          <w:jc w:val="center"/>
        </w:trPr>
        <w:tc>
          <w:tcPr>
            <w:tcW w:w="1204" w:type="dxa"/>
            <w:shd w:val="clear" w:color="auto" w:fill="auto"/>
            <w:noWrap/>
            <w:vAlign w:val="bottom"/>
            <w:hideMark/>
          </w:tcPr>
          <w:p w14:paraId="787218CC"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4C2E4B5C"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Departamento Contabilidad</w:t>
            </w:r>
          </w:p>
        </w:tc>
        <w:tc>
          <w:tcPr>
            <w:tcW w:w="1600" w:type="dxa"/>
            <w:shd w:val="clear" w:color="auto" w:fill="auto"/>
            <w:noWrap/>
            <w:hideMark/>
          </w:tcPr>
          <w:p w14:paraId="270DEF00" w14:textId="2914383C"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5C96A006" w14:textId="2575BA8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235 </w:t>
            </w:r>
          </w:p>
        </w:tc>
        <w:tc>
          <w:tcPr>
            <w:tcW w:w="1120" w:type="dxa"/>
            <w:shd w:val="clear" w:color="auto" w:fill="auto"/>
            <w:noWrap/>
            <w:hideMark/>
          </w:tcPr>
          <w:p w14:paraId="1985FBE5" w14:textId="1C7B843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794 </w:t>
            </w:r>
          </w:p>
        </w:tc>
      </w:tr>
      <w:tr w:rsidR="002237F2" w:rsidRPr="002237F2" w14:paraId="245A1FF4" w14:textId="77777777" w:rsidTr="00F05605">
        <w:trPr>
          <w:trHeight w:val="290"/>
          <w:jc w:val="center"/>
        </w:trPr>
        <w:tc>
          <w:tcPr>
            <w:tcW w:w="1204" w:type="dxa"/>
            <w:shd w:val="clear" w:color="auto" w:fill="auto"/>
            <w:noWrap/>
            <w:vAlign w:val="bottom"/>
            <w:hideMark/>
          </w:tcPr>
          <w:p w14:paraId="31620121"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17D20F21"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Contador General</w:t>
            </w:r>
          </w:p>
        </w:tc>
        <w:tc>
          <w:tcPr>
            <w:tcW w:w="1600" w:type="dxa"/>
            <w:shd w:val="clear" w:color="auto" w:fill="auto"/>
            <w:noWrap/>
            <w:hideMark/>
          </w:tcPr>
          <w:p w14:paraId="709B2B0B" w14:textId="0470402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58.522 </w:t>
            </w:r>
          </w:p>
        </w:tc>
        <w:tc>
          <w:tcPr>
            <w:tcW w:w="1120" w:type="dxa"/>
            <w:shd w:val="clear" w:color="auto" w:fill="auto"/>
            <w:noWrap/>
            <w:hideMark/>
          </w:tcPr>
          <w:p w14:paraId="0BCF3ED5" w14:textId="74A320E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3.081 </w:t>
            </w:r>
          </w:p>
        </w:tc>
        <w:tc>
          <w:tcPr>
            <w:tcW w:w="1120" w:type="dxa"/>
            <w:shd w:val="clear" w:color="auto" w:fill="auto"/>
            <w:noWrap/>
            <w:hideMark/>
          </w:tcPr>
          <w:p w14:paraId="28AA3258" w14:textId="10FEDB6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2.295 </w:t>
            </w:r>
          </w:p>
        </w:tc>
      </w:tr>
      <w:tr w:rsidR="002237F2" w:rsidRPr="002237F2" w14:paraId="78CA7585" w14:textId="77777777" w:rsidTr="00F05605">
        <w:trPr>
          <w:trHeight w:val="290"/>
          <w:jc w:val="center"/>
        </w:trPr>
        <w:tc>
          <w:tcPr>
            <w:tcW w:w="1204" w:type="dxa"/>
            <w:shd w:val="clear" w:color="auto" w:fill="auto"/>
            <w:noWrap/>
            <w:vAlign w:val="bottom"/>
            <w:hideMark/>
          </w:tcPr>
          <w:p w14:paraId="3088A025"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04747061"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contable</w:t>
            </w:r>
          </w:p>
        </w:tc>
        <w:tc>
          <w:tcPr>
            <w:tcW w:w="1600" w:type="dxa"/>
            <w:shd w:val="clear" w:color="auto" w:fill="auto"/>
            <w:noWrap/>
            <w:hideMark/>
          </w:tcPr>
          <w:p w14:paraId="0207F0EA" w14:textId="1BDF96A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25.095 </w:t>
            </w:r>
          </w:p>
        </w:tc>
        <w:tc>
          <w:tcPr>
            <w:tcW w:w="1120" w:type="dxa"/>
            <w:shd w:val="clear" w:color="auto" w:fill="auto"/>
            <w:noWrap/>
            <w:hideMark/>
          </w:tcPr>
          <w:p w14:paraId="05B1F2EA" w14:textId="755953C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16C0AD71" w14:textId="784652A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2A392F79" w14:textId="77777777" w:rsidTr="00F05605">
        <w:trPr>
          <w:trHeight w:val="290"/>
          <w:jc w:val="center"/>
        </w:trPr>
        <w:tc>
          <w:tcPr>
            <w:tcW w:w="1204" w:type="dxa"/>
            <w:shd w:val="clear" w:color="auto" w:fill="auto"/>
            <w:noWrap/>
            <w:vAlign w:val="bottom"/>
            <w:hideMark/>
          </w:tcPr>
          <w:p w14:paraId="0A0B6A17"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2F1AC7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Activo Fijo y Seguros</w:t>
            </w:r>
          </w:p>
        </w:tc>
        <w:tc>
          <w:tcPr>
            <w:tcW w:w="1600" w:type="dxa"/>
            <w:shd w:val="clear" w:color="auto" w:fill="auto"/>
            <w:noWrap/>
            <w:hideMark/>
          </w:tcPr>
          <w:p w14:paraId="3C72A008" w14:textId="3227B10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47.101 </w:t>
            </w:r>
          </w:p>
        </w:tc>
        <w:tc>
          <w:tcPr>
            <w:tcW w:w="1120" w:type="dxa"/>
            <w:shd w:val="clear" w:color="auto" w:fill="auto"/>
            <w:noWrap/>
            <w:hideMark/>
          </w:tcPr>
          <w:p w14:paraId="14723956" w14:textId="5EAD25F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7D0E5754" w14:textId="3A3F9A2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02A76B41" w14:textId="77777777" w:rsidTr="00F05605">
        <w:trPr>
          <w:trHeight w:val="290"/>
          <w:jc w:val="center"/>
        </w:trPr>
        <w:tc>
          <w:tcPr>
            <w:tcW w:w="1204" w:type="dxa"/>
            <w:shd w:val="clear" w:color="auto" w:fill="auto"/>
            <w:noWrap/>
            <w:vAlign w:val="bottom"/>
            <w:hideMark/>
          </w:tcPr>
          <w:p w14:paraId="6EDEF57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A7BE57D"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impuestos</w:t>
            </w:r>
          </w:p>
        </w:tc>
        <w:tc>
          <w:tcPr>
            <w:tcW w:w="1600" w:type="dxa"/>
            <w:shd w:val="clear" w:color="auto" w:fill="auto"/>
            <w:noWrap/>
            <w:hideMark/>
          </w:tcPr>
          <w:p w14:paraId="7E1FF800" w14:textId="72E5284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43.467 </w:t>
            </w:r>
          </w:p>
        </w:tc>
        <w:tc>
          <w:tcPr>
            <w:tcW w:w="1120" w:type="dxa"/>
            <w:shd w:val="clear" w:color="auto" w:fill="auto"/>
            <w:noWrap/>
            <w:hideMark/>
          </w:tcPr>
          <w:p w14:paraId="2B7A0120" w14:textId="20614BC2"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0289FC79" w14:textId="634D6B9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08C54A4F" w14:textId="77777777" w:rsidTr="00F05605">
        <w:trPr>
          <w:trHeight w:val="290"/>
          <w:jc w:val="center"/>
        </w:trPr>
        <w:tc>
          <w:tcPr>
            <w:tcW w:w="1204" w:type="dxa"/>
            <w:shd w:val="clear" w:color="auto" w:fill="auto"/>
            <w:noWrap/>
            <w:vAlign w:val="bottom"/>
            <w:hideMark/>
          </w:tcPr>
          <w:p w14:paraId="6BCA400E"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490846B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Departamento Finanzas</w:t>
            </w:r>
          </w:p>
        </w:tc>
        <w:tc>
          <w:tcPr>
            <w:tcW w:w="1600" w:type="dxa"/>
            <w:shd w:val="clear" w:color="auto" w:fill="auto"/>
            <w:noWrap/>
            <w:hideMark/>
          </w:tcPr>
          <w:p w14:paraId="5D8D2FB2" w14:textId="1F19F53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0C6BA45F" w14:textId="56D76C21"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235 </w:t>
            </w:r>
          </w:p>
        </w:tc>
        <w:tc>
          <w:tcPr>
            <w:tcW w:w="1120" w:type="dxa"/>
            <w:shd w:val="clear" w:color="auto" w:fill="auto"/>
            <w:noWrap/>
            <w:hideMark/>
          </w:tcPr>
          <w:p w14:paraId="188D88C9" w14:textId="6400F20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794 </w:t>
            </w:r>
          </w:p>
        </w:tc>
      </w:tr>
      <w:tr w:rsidR="002237F2" w:rsidRPr="002237F2" w14:paraId="50B80EFB" w14:textId="77777777" w:rsidTr="00F05605">
        <w:trPr>
          <w:trHeight w:val="290"/>
          <w:jc w:val="center"/>
        </w:trPr>
        <w:tc>
          <w:tcPr>
            <w:tcW w:w="1204" w:type="dxa"/>
            <w:shd w:val="clear" w:color="auto" w:fill="auto"/>
            <w:noWrap/>
            <w:vAlign w:val="bottom"/>
            <w:hideMark/>
          </w:tcPr>
          <w:p w14:paraId="13C07086"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58A98484"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Jefe de Departamento de Finanzas</w:t>
            </w:r>
          </w:p>
        </w:tc>
        <w:tc>
          <w:tcPr>
            <w:tcW w:w="1600" w:type="dxa"/>
            <w:shd w:val="clear" w:color="auto" w:fill="auto"/>
            <w:noWrap/>
            <w:hideMark/>
          </w:tcPr>
          <w:p w14:paraId="7A4DB2DC" w14:textId="55E4EB46"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58.548 </w:t>
            </w:r>
          </w:p>
        </w:tc>
        <w:tc>
          <w:tcPr>
            <w:tcW w:w="1120" w:type="dxa"/>
            <w:shd w:val="clear" w:color="auto" w:fill="auto"/>
            <w:noWrap/>
            <w:hideMark/>
          </w:tcPr>
          <w:p w14:paraId="11D3AC3E" w14:textId="33BC83F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8.081 </w:t>
            </w:r>
          </w:p>
        </w:tc>
        <w:tc>
          <w:tcPr>
            <w:tcW w:w="1120" w:type="dxa"/>
            <w:shd w:val="clear" w:color="auto" w:fill="auto"/>
            <w:noWrap/>
            <w:hideMark/>
          </w:tcPr>
          <w:p w14:paraId="008385FE" w14:textId="554FF97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2.327 </w:t>
            </w:r>
          </w:p>
        </w:tc>
      </w:tr>
      <w:tr w:rsidR="002237F2" w:rsidRPr="002237F2" w14:paraId="574BFAB5" w14:textId="77777777" w:rsidTr="00F05605">
        <w:trPr>
          <w:trHeight w:val="290"/>
          <w:jc w:val="center"/>
        </w:trPr>
        <w:tc>
          <w:tcPr>
            <w:tcW w:w="1204" w:type="dxa"/>
            <w:shd w:val="clear" w:color="auto" w:fill="auto"/>
            <w:noWrap/>
            <w:vAlign w:val="bottom"/>
            <w:hideMark/>
          </w:tcPr>
          <w:p w14:paraId="4023856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2DC0C98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Tesorero</w:t>
            </w:r>
          </w:p>
        </w:tc>
        <w:tc>
          <w:tcPr>
            <w:tcW w:w="1600" w:type="dxa"/>
            <w:shd w:val="clear" w:color="auto" w:fill="auto"/>
            <w:noWrap/>
            <w:hideMark/>
          </w:tcPr>
          <w:p w14:paraId="57FF4FF3" w14:textId="78B3ACB7"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70.494 </w:t>
            </w:r>
          </w:p>
        </w:tc>
        <w:tc>
          <w:tcPr>
            <w:tcW w:w="1120" w:type="dxa"/>
            <w:shd w:val="clear" w:color="auto" w:fill="auto"/>
            <w:noWrap/>
            <w:hideMark/>
          </w:tcPr>
          <w:p w14:paraId="78AB014E" w14:textId="3404005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535DF9FB" w14:textId="0289E25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0503131C" w14:textId="77777777" w:rsidTr="00F05605">
        <w:trPr>
          <w:trHeight w:val="290"/>
          <w:jc w:val="center"/>
        </w:trPr>
        <w:tc>
          <w:tcPr>
            <w:tcW w:w="1204" w:type="dxa"/>
            <w:shd w:val="clear" w:color="auto" w:fill="auto"/>
            <w:noWrap/>
            <w:vAlign w:val="bottom"/>
            <w:hideMark/>
          </w:tcPr>
          <w:p w14:paraId="18DDDA8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12145E2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finanzas</w:t>
            </w:r>
          </w:p>
        </w:tc>
        <w:tc>
          <w:tcPr>
            <w:tcW w:w="1600" w:type="dxa"/>
            <w:shd w:val="clear" w:color="auto" w:fill="auto"/>
            <w:noWrap/>
            <w:hideMark/>
          </w:tcPr>
          <w:p w14:paraId="326CEF76" w14:textId="3C74C6F2"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48.452 </w:t>
            </w:r>
          </w:p>
        </w:tc>
        <w:tc>
          <w:tcPr>
            <w:tcW w:w="1120" w:type="dxa"/>
            <w:shd w:val="clear" w:color="auto" w:fill="auto"/>
            <w:noWrap/>
            <w:hideMark/>
          </w:tcPr>
          <w:p w14:paraId="182B4DEC" w14:textId="2FA26BF9"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50591839" w14:textId="1334F8B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00D7FE76" w14:textId="77777777" w:rsidTr="00F05605">
        <w:trPr>
          <w:trHeight w:val="290"/>
          <w:jc w:val="center"/>
        </w:trPr>
        <w:tc>
          <w:tcPr>
            <w:tcW w:w="1204" w:type="dxa"/>
            <w:shd w:val="clear" w:color="auto" w:fill="auto"/>
            <w:noWrap/>
            <w:vAlign w:val="bottom"/>
            <w:hideMark/>
          </w:tcPr>
          <w:p w14:paraId="6200C8D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53253492"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Departamento Sistemas</w:t>
            </w:r>
          </w:p>
        </w:tc>
        <w:tc>
          <w:tcPr>
            <w:tcW w:w="1600" w:type="dxa"/>
            <w:shd w:val="clear" w:color="auto" w:fill="auto"/>
            <w:noWrap/>
            <w:hideMark/>
          </w:tcPr>
          <w:p w14:paraId="555EB0C9" w14:textId="40118C8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   </w:t>
            </w:r>
          </w:p>
        </w:tc>
        <w:tc>
          <w:tcPr>
            <w:tcW w:w="1120" w:type="dxa"/>
            <w:shd w:val="clear" w:color="auto" w:fill="auto"/>
            <w:noWrap/>
            <w:hideMark/>
          </w:tcPr>
          <w:p w14:paraId="2CB0F081" w14:textId="071C833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235 </w:t>
            </w:r>
          </w:p>
        </w:tc>
        <w:tc>
          <w:tcPr>
            <w:tcW w:w="1120" w:type="dxa"/>
            <w:shd w:val="clear" w:color="auto" w:fill="auto"/>
            <w:noWrap/>
            <w:hideMark/>
          </w:tcPr>
          <w:p w14:paraId="1B074468" w14:textId="19447FB8"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794 </w:t>
            </w:r>
          </w:p>
        </w:tc>
      </w:tr>
      <w:tr w:rsidR="002237F2" w:rsidRPr="002237F2" w14:paraId="1A7AF598" w14:textId="77777777" w:rsidTr="00F05605">
        <w:trPr>
          <w:trHeight w:val="290"/>
          <w:jc w:val="center"/>
        </w:trPr>
        <w:tc>
          <w:tcPr>
            <w:tcW w:w="1204" w:type="dxa"/>
            <w:shd w:val="clear" w:color="auto" w:fill="auto"/>
            <w:noWrap/>
            <w:vAlign w:val="bottom"/>
            <w:hideMark/>
          </w:tcPr>
          <w:p w14:paraId="79499C9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1808BDF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Jefe de Departamento de Sistemas</w:t>
            </w:r>
          </w:p>
        </w:tc>
        <w:tc>
          <w:tcPr>
            <w:tcW w:w="1600" w:type="dxa"/>
            <w:shd w:val="clear" w:color="auto" w:fill="auto"/>
            <w:noWrap/>
            <w:hideMark/>
          </w:tcPr>
          <w:p w14:paraId="226BCCC0" w14:textId="207A947E"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83.457 </w:t>
            </w:r>
          </w:p>
        </w:tc>
        <w:tc>
          <w:tcPr>
            <w:tcW w:w="1120" w:type="dxa"/>
            <w:shd w:val="clear" w:color="auto" w:fill="auto"/>
            <w:noWrap/>
            <w:hideMark/>
          </w:tcPr>
          <w:p w14:paraId="1C9AA171" w14:textId="13DBDF25"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8.081 </w:t>
            </w:r>
          </w:p>
        </w:tc>
        <w:tc>
          <w:tcPr>
            <w:tcW w:w="1120" w:type="dxa"/>
            <w:shd w:val="clear" w:color="auto" w:fill="auto"/>
            <w:noWrap/>
            <w:hideMark/>
          </w:tcPr>
          <w:p w14:paraId="73302EA9" w14:textId="74B68A1B"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2.327 </w:t>
            </w:r>
          </w:p>
        </w:tc>
      </w:tr>
      <w:tr w:rsidR="002237F2" w:rsidRPr="002237F2" w14:paraId="4A147F5A" w14:textId="77777777" w:rsidTr="00F05605">
        <w:trPr>
          <w:trHeight w:val="290"/>
          <w:jc w:val="center"/>
        </w:trPr>
        <w:tc>
          <w:tcPr>
            <w:tcW w:w="1204" w:type="dxa"/>
            <w:shd w:val="clear" w:color="auto" w:fill="auto"/>
            <w:noWrap/>
            <w:vAlign w:val="bottom"/>
            <w:hideMark/>
          </w:tcPr>
          <w:p w14:paraId="7A2C86C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193B9A33"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aplicaciones Administrativas</w:t>
            </w:r>
          </w:p>
        </w:tc>
        <w:tc>
          <w:tcPr>
            <w:tcW w:w="1600" w:type="dxa"/>
            <w:shd w:val="clear" w:color="auto" w:fill="auto"/>
            <w:noWrap/>
            <w:hideMark/>
          </w:tcPr>
          <w:p w14:paraId="1E974D9A" w14:textId="53FEC91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47.722 </w:t>
            </w:r>
          </w:p>
        </w:tc>
        <w:tc>
          <w:tcPr>
            <w:tcW w:w="1120" w:type="dxa"/>
            <w:shd w:val="clear" w:color="auto" w:fill="auto"/>
            <w:noWrap/>
            <w:hideMark/>
          </w:tcPr>
          <w:p w14:paraId="2D88D3D4" w14:textId="37666D3F"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75333F68" w14:textId="30A6B95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12EF65FD" w14:textId="77777777" w:rsidTr="00F05605">
        <w:trPr>
          <w:trHeight w:val="290"/>
          <w:jc w:val="center"/>
        </w:trPr>
        <w:tc>
          <w:tcPr>
            <w:tcW w:w="1204" w:type="dxa"/>
            <w:shd w:val="clear" w:color="auto" w:fill="auto"/>
            <w:noWrap/>
            <w:vAlign w:val="bottom"/>
            <w:hideMark/>
          </w:tcPr>
          <w:p w14:paraId="0F66823B"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6A9EBF70"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Analista de aplicaciones Técnicas</w:t>
            </w:r>
          </w:p>
        </w:tc>
        <w:tc>
          <w:tcPr>
            <w:tcW w:w="1600" w:type="dxa"/>
            <w:shd w:val="clear" w:color="auto" w:fill="auto"/>
            <w:noWrap/>
            <w:hideMark/>
          </w:tcPr>
          <w:p w14:paraId="672319C1" w14:textId="746CA377"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47.722 </w:t>
            </w:r>
          </w:p>
        </w:tc>
        <w:tc>
          <w:tcPr>
            <w:tcW w:w="1120" w:type="dxa"/>
            <w:shd w:val="clear" w:color="auto" w:fill="auto"/>
            <w:noWrap/>
            <w:hideMark/>
          </w:tcPr>
          <w:p w14:paraId="489FFACC" w14:textId="4221E0A0"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2.421 </w:t>
            </w:r>
          </w:p>
        </w:tc>
        <w:tc>
          <w:tcPr>
            <w:tcW w:w="1120" w:type="dxa"/>
            <w:shd w:val="clear" w:color="auto" w:fill="auto"/>
            <w:noWrap/>
            <w:hideMark/>
          </w:tcPr>
          <w:p w14:paraId="3C653D59" w14:textId="7D6781B4"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r w:rsidR="002237F2" w:rsidRPr="002237F2" w14:paraId="06A821B8" w14:textId="77777777" w:rsidTr="00F05605">
        <w:trPr>
          <w:trHeight w:val="290"/>
          <w:jc w:val="center"/>
        </w:trPr>
        <w:tc>
          <w:tcPr>
            <w:tcW w:w="1204" w:type="dxa"/>
            <w:shd w:val="clear" w:color="auto" w:fill="auto"/>
            <w:noWrap/>
            <w:vAlign w:val="bottom"/>
            <w:hideMark/>
          </w:tcPr>
          <w:p w14:paraId="0528488C"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7573C7B9"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Técnico de Hardware y Soporte Microinformático</w:t>
            </w:r>
          </w:p>
        </w:tc>
        <w:tc>
          <w:tcPr>
            <w:tcW w:w="1600" w:type="dxa"/>
            <w:shd w:val="clear" w:color="auto" w:fill="auto"/>
            <w:noWrap/>
            <w:hideMark/>
          </w:tcPr>
          <w:p w14:paraId="75C1EC21" w14:textId="03A25F1D"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55.882 </w:t>
            </w:r>
          </w:p>
        </w:tc>
        <w:tc>
          <w:tcPr>
            <w:tcW w:w="1120" w:type="dxa"/>
            <w:shd w:val="clear" w:color="auto" w:fill="auto"/>
            <w:noWrap/>
            <w:hideMark/>
          </w:tcPr>
          <w:p w14:paraId="2B8CABCB" w14:textId="15EDBD8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8.614 </w:t>
            </w:r>
          </w:p>
        </w:tc>
        <w:tc>
          <w:tcPr>
            <w:tcW w:w="1120" w:type="dxa"/>
            <w:shd w:val="clear" w:color="auto" w:fill="auto"/>
            <w:noWrap/>
            <w:hideMark/>
          </w:tcPr>
          <w:p w14:paraId="4EA763AF" w14:textId="02A9F7D3"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6.238 </w:t>
            </w:r>
          </w:p>
        </w:tc>
      </w:tr>
      <w:tr w:rsidR="002237F2" w:rsidRPr="002237F2" w14:paraId="30400686" w14:textId="77777777" w:rsidTr="00F05605">
        <w:trPr>
          <w:trHeight w:val="290"/>
          <w:jc w:val="center"/>
        </w:trPr>
        <w:tc>
          <w:tcPr>
            <w:tcW w:w="1204" w:type="dxa"/>
            <w:shd w:val="clear" w:color="auto" w:fill="auto"/>
            <w:noWrap/>
            <w:vAlign w:val="bottom"/>
            <w:hideMark/>
          </w:tcPr>
          <w:p w14:paraId="7B224DF5"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Personal</w:t>
            </w:r>
          </w:p>
        </w:tc>
        <w:tc>
          <w:tcPr>
            <w:tcW w:w="4192" w:type="dxa"/>
            <w:shd w:val="clear" w:color="auto" w:fill="auto"/>
            <w:noWrap/>
            <w:vAlign w:val="bottom"/>
            <w:hideMark/>
          </w:tcPr>
          <w:p w14:paraId="6E15A018" w14:textId="77777777" w:rsidR="002237F2" w:rsidRPr="002237F2" w:rsidRDefault="002237F2" w:rsidP="00C276D3">
            <w:pPr>
              <w:spacing w:after="0" w:line="240" w:lineRule="auto"/>
              <w:jc w:val="left"/>
              <w:rPr>
                <w:rFonts w:eastAsia="Times New Roman" w:cs="Calibri"/>
                <w:color w:val="000000"/>
                <w:sz w:val="16"/>
                <w:szCs w:val="16"/>
                <w:lang w:val="es-AR" w:eastAsia="es-AR"/>
              </w:rPr>
            </w:pPr>
            <w:r w:rsidRPr="002237F2">
              <w:rPr>
                <w:rFonts w:eastAsia="Times New Roman" w:cs="Calibri"/>
                <w:color w:val="000000"/>
                <w:sz w:val="16"/>
                <w:szCs w:val="16"/>
                <w:lang w:val="es-AR" w:eastAsia="es-AR"/>
              </w:rPr>
              <w:t>Técnico de Redes y comunicación de datos</w:t>
            </w:r>
          </w:p>
        </w:tc>
        <w:tc>
          <w:tcPr>
            <w:tcW w:w="1600" w:type="dxa"/>
            <w:shd w:val="clear" w:color="auto" w:fill="auto"/>
            <w:noWrap/>
            <w:hideMark/>
          </w:tcPr>
          <w:p w14:paraId="4EABAEBB" w14:textId="6A229CCA"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18.627 </w:t>
            </w:r>
          </w:p>
        </w:tc>
        <w:tc>
          <w:tcPr>
            <w:tcW w:w="1120" w:type="dxa"/>
            <w:shd w:val="clear" w:color="auto" w:fill="auto"/>
            <w:noWrap/>
            <w:hideMark/>
          </w:tcPr>
          <w:p w14:paraId="2B5B1912" w14:textId="2AB16D57"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2.871 </w:t>
            </w:r>
          </w:p>
        </w:tc>
        <w:tc>
          <w:tcPr>
            <w:tcW w:w="1120" w:type="dxa"/>
            <w:shd w:val="clear" w:color="auto" w:fill="auto"/>
            <w:noWrap/>
            <w:hideMark/>
          </w:tcPr>
          <w:p w14:paraId="60DD98E9" w14:textId="1F8943E7" w:rsidR="002237F2" w:rsidRPr="002237F2" w:rsidRDefault="002237F2" w:rsidP="00C276D3">
            <w:pPr>
              <w:spacing w:after="0" w:line="240" w:lineRule="auto"/>
              <w:jc w:val="center"/>
              <w:rPr>
                <w:rFonts w:eastAsia="Times New Roman" w:cs="Calibri"/>
                <w:color w:val="000000"/>
                <w:sz w:val="16"/>
                <w:szCs w:val="16"/>
                <w:lang w:val="es-AR" w:eastAsia="es-AR"/>
              </w:rPr>
            </w:pPr>
            <w:r w:rsidRPr="002237F2">
              <w:rPr>
                <w:sz w:val="16"/>
                <w:szCs w:val="16"/>
              </w:rPr>
              <w:t xml:space="preserve"> 2.079 </w:t>
            </w:r>
          </w:p>
        </w:tc>
      </w:tr>
    </w:tbl>
    <w:p w14:paraId="23472164" w14:textId="77777777" w:rsidR="0079428C" w:rsidRDefault="0079428C" w:rsidP="0079428C">
      <w:pPr>
        <w:pStyle w:val="Prrafodelista1"/>
        <w:ind w:left="0"/>
        <w:rPr>
          <w:lang w:val="es-CL"/>
        </w:rPr>
      </w:pPr>
    </w:p>
    <w:p w14:paraId="4D2E03D2" w14:textId="77777777" w:rsidR="00D73D5B" w:rsidRDefault="00D73D5B" w:rsidP="00D73D5B">
      <w:pPr>
        <w:pStyle w:val="Ttulo1"/>
      </w:pPr>
      <w:bookmarkStart w:id="324" w:name="_Toc34687273"/>
      <w:r>
        <w:t>DETERMINACIÓN DE LABORES DE AMPLIACIÓN</w:t>
      </w:r>
      <w:bookmarkEnd w:id="324"/>
    </w:p>
    <w:p w14:paraId="46DA1744" w14:textId="134B1AFC" w:rsidR="00997297" w:rsidRDefault="00D73D5B" w:rsidP="0079428C">
      <w:pPr>
        <w:pStyle w:val="Prrafodelista1"/>
        <w:ind w:left="0"/>
        <w:rPr>
          <w:lang w:val="es-CL"/>
        </w:rPr>
      </w:pPr>
      <w:r>
        <w:rPr>
          <w:lang w:val="es-CL"/>
        </w:rPr>
        <w:t>Aplicando la metodología descrita en el punto 6.</w:t>
      </w:r>
      <w:r w:rsidR="00F05605">
        <w:rPr>
          <w:lang w:val="es-CL"/>
        </w:rPr>
        <w:t>3</w:t>
      </w:r>
      <w:r>
        <w:rPr>
          <w:lang w:val="es-CL"/>
        </w:rPr>
        <w:t xml:space="preserve">.2 se obtuvo el VI de labores de ampliación y de AVI  a recuperar en el </w:t>
      </w:r>
      <w:r w:rsidR="00997297">
        <w:rPr>
          <w:lang w:val="es-CL"/>
        </w:rPr>
        <w:t xml:space="preserve">siguiente </w:t>
      </w:r>
      <w:r>
        <w:rPr>
          <w:lang w:val="es-CL"/>
        </w:rPr>
        <w:t>cuadrienio, que se muestran en el cuadro siguiente</w:t>
      </w:r>
      <w:r w:rsidR="00997297">
        <w:rPr>
          <w:lang w:val="es-CL"/>
        </w:rPr>
        <w:t>:</w:t>
      </w:r>
    </w:p>
    <w:p w14:paraId="2CCB84CE" w14:textId="77777777" w:rsidR="00997297" w:rsidRDefault="00997297" w:rsidP="0079428C">
      <w:pPr>
        <w:pStyle w:val="Prrafodelista1"/>
        <w:ind w:left="0"/>
        <w:rPr>
          <w:lang w:val="es-CL"/>
        </w:rPr>
      </w:pPr>
    </w:p>
    <w:p w14:paraId="5E104C1B" w14:textId="77777777" w:rsidR="00997297" w:rsidRDefault="00997297" w:rsidP="0079428C">
      <w:pPr>
        <w:pStyle w:val="Prrafodelista1"/>
        <w:ind w:left="0"/>
        <w:rPr>
          <w:lang w:val="es-CL"/>
        </w:rPr>
        <w:sectPr w:rsidR="00997297" w:rsidSect="00F04B20">
          <w:pgSz w:w="12242" w:h="15842" w:code="1"/>
          <w:pgMar w:top="1134" w:right="1418" w:bottom="1134" w:left="1134" w:header="851" w:footer="1134" w:gutter="0"/>
          <w:cols w:space="708"/>
          <w:titlePg/>
          <w:docGrid w:linePitch="360"/>
        </w:sectPr>
      </w:pPr>
    </w:p>
    <w:p w14:paraId="6A7FE034" w14:textId="77777777" w:rsidR="00997297" w:rsidRPr="007D76C3" w:rsidRDefault="00997297" w:rsidP="00997297">
      <w:pPr>
        <w:pStyle w:val="Prrafodelista"/>
        <w:jc w:val="center"/>
        <w:rPr>
          <w:b/>
          <w:bCs/>
        </w:rPr>
      </w:pPr>
      <w:r w:rsidRPr="007D76C3">
        <w:rPr>
          <w:b/>
          <w:bCs/>
        </w:rPr>
        <w:t>V.I. de Labores de Ampliación y A.V.I. a Recuperar en el Cuadrienio</w:t>
      </w:r>
    </w:p>
    <w:p w14:paraId="46C924B9" w14:textId="77777777" w:rsidR="00997297" w:rsidRPr="007D76C3" w:rsidRDefault="00997297" w:rsidP="00997297">
      <w:pPr>
        <w:pStyle w:val="Prrafodelista"/>
        <w:jc w:val="center"/>
        <w:rPr>
          <w:b/>
          <w:bCs/>
        </w:rPr>
      </w:pPr>
      <w:r w:rsidRPr="007D76C3">
        <w:rPr>
          <w:b/>
          <w:bCs/>
        </w:rPr>
        <w:t>(US$ a diciembre de 2017)</w:t>
      </w:r>
    </w:p>
    <w:p w14:paraId="2D92B462" w14:textId="77777777" w:rsidR="00997297" w:rsidRDefault="00997297" w:rsidP="00997297">
      <w:pPr>
        <w:pStyle w:val="Prrafodelista"/>
      </w:pPr>
    </w:p>
    <w:tbl>
      <w:tblPr>
        <w:tblStyle w:val="Tablaconcuadrcula"/>
        <w:tblW w:w="13462" w:type="dxa"/>
        <w:jc w:val="center"/>
        <w:tblLayout w:type="fixed"/>
        <w:tblLook w:val="04A0" w:firstRow="1" w:lastRow="0" w:firstColumn="1" w:lastColumn="0" w:noHBand="0" w:noVBand="1"/>
      </w:tblPr>
      <w:tblGrid>
        <w:gridCol w:w="421"/>
        <w:gridCol w:w="10347"/>
        <w:gridCol w:w="1276"/>
        <w:gridCol w:w="1418"/>
      </w:tblGrid>
      <w:tr w:rsidR="00997297" w:rsidRPr="00FA4351" w14:paraId="1A9431AB" w14:textId="77777777" w:rsidTr="00535FE1">
        <w:trPr>
          <w:trHeight w:hRule="exact" w:val="648"/>
          <w:jc w:val="center"/>
        </w:trPr>
        <w:tc>
          <w:tcPr>
            <w:tcW w:w="421" w:type="dxa"/>
            <w:shd w:val="solid" w:color="BFBFBF" w:themeColor="background1" w:themeShade="BF" w:fill="auto"/>
          </w:tcPr>
          <w:p w14:paraId="701EF202" w14:textId="77777777" w:rsidR="00997297" w:rsidRPr="00FA4351" w:rsidRDefault="00997297" w:rsidP="00535FE1">
            <w:pPr>
              <w:jc w:val="center"/>
              <w:rPr>
                <w:rFonts w:asciiTheme="minorHAnsi" w:hAnsiTheme="minorHAnsi" w:cstheme="minorHAnsi"/>
                <w:b/>
                <w:bCs/>
                <w:sz w:val="16"/>
                <w:szCs w:val="16"/>
              </w:rPr>
            </w:pPr>
            <w:r w:rsidRPr="00FA4351">
              <w:rPr>
                <w:rFonts w:asciiTheme="minorHAnsi" w:hAnsiTheme="minorHAnsi" w:cstheme="minorHAnsi"/>
                <w:b/>
                <w:bCs/>
                <w:sz w:val="16"/>
                <w:szCs w:val="16"/>
              </w:rPr>
              <w:t>N°</w:t>
            </w:r>
          </w:p>
        </w:tc>
        <w:tc>
          <w:tcPr>
            <w:tcW w:w="10347" w:type="dxa"/>
            <w:shd w:val="solid" w:color="BFBFBF" w:themeColor="background1" w:themeShade="BF" w:fill="auto"/>
          </w:tcPr>
          <w:p w14:paraId="6E3731D5" w14:textId="77777777" w:rsidR="00997297" w:rsidRPr="00FA4351" w:rsidRDefault="00997297" w:rsidP="00535FE1">
            <w:pPr>
              <w:jc w:val="center"/>
              <w:rPr>
                <w:rFonts w:asciiTheme="minorHAnsi" w:hAnsiTheme="minorHAnsi" w:cstheme="minorHAnsi"/>
                <w:b/>
                <w:bCs/>
                <w:sz w:val="16"/>
                <w:szCs w:val="16"/>
              </w:rPr>
            </w:pPr>
            <w:r w:rsidRPr="00FA4351">
              <w:rPr>
                <w:rFonts w:asciiTheme="minorHAnsi" w:hAnsiTheme="minorHAnsi" w:cstheme="minorHAnsi"/>
                <w:b/>
                <w:bCs/>
                <w:sz w:val="16"/>
                <w:szCs w:val="16"/>
              </w:rPr>
              <w:t>Obra de Ampliación</w:t>
            </w:r>
          </w:p>
        </w:tc>
        <w:tc>
          <w:tcPr>
            <w:tcW w:w="1276" w:type="dxa"/>
            <w:shd w:val="solid" w:color="BFBFBF" w:themeColor="background1" w:themeShade="BF" w:fill="auto"/>
          </w:tcPr>
          <w:p w14:paraId="567FA300" w14:textId="77777777" w:rsidR="00997297" w:rsidRPr="00997297" w:rsidRDefault="00997297" w:rsidP="00535FE1">
            <w:pPr>
              <w:jc w:val="center"/>
              <w:rPr>
                <w:rFonts w:asciiTheme="minorHAnsi" w:hAnsiTheme="minorHAnsi" w:cstheme="minorHAnsi"/>
                <w:b/>
                <w:bCs/>
                <w:sz w:val="16"/>
                <w:szCs w:val="16"/>
                <w:lang w:val="en-US"/>
              </w:rPr>
            </w:pPr>
            <w:r w:rsidRPr="00997297">
              <w:rPr>
                <w:rFonts w:asciiTheme="minorHAnsi" w:hAnsiTheme="minorHAnsi" w:cstheme="minorHAnsi"/>
                <w:b/>
                <w:bCs/>
                <w:sz w:val="16"/>
                <w:szCs w:val="16"/>
                <w:lang w:val="en-US"/>
              </w:rPr>
              <w:t>VI Lab. Amp.</w:t>
            </w:r>
          </w:p>
          <w:p w14:paraId="799D231E" w14:textId="77777777" w:rsidR="00997297" w:rsidRPr="00997297" w:rsidRDefault="00997297" w:rsidP="00535FE1">
            <w:pPr>
              <w:jc w:val="center"/>
              <w:rPr>
                <w:rFonts w:asciiTheme="minorHAnsi" w:hAnsiTheme="minorHAnsi" w:cstheme="minorHAnsi"/>
                <w:b/>
                <w:bCs/>
                <w:sz w:val="16"/>
                <w:szCs w:val="16"/>
                <w:lang w:val="en-US"/>
              </w:rPr>
            </w:pPr>
            <w:r w:rsidRPr="00997297">
              <w:rPr>
                <w:rFonts w:asciiTheme="minorHAnsi" w:hAnsiTheme="minorHAnsi" w:cstheme="minorHAnsi"/>
                <w:b/>
                <w:bCs/>
                <w:sz w:val="16"/>
                <w:szCs w:val="16"/>
                <w:lang w:val="en-US"/>
              </w:rPr>
              <w:t>US$ dic 2017</w:t>
            </w:r>
          </w:p>
          <w:p w14:paraId="1C593A39" w14:textId="77777777" w:rsidR="00997297" w:rsidRPr="00997297" w:rsidRDefault="00997297" w:rsidP="00535FE1">
            <w:pPr>
              <w:jc w:val="center"/>
              <w:rPr>
                <w:rFonts w:asciiTheme="minorHAnsi" w:hAnsiTheme="minorHAnsi" w:cstheme="minorHAnsi"/>
                <w:b/>
                <w:bCs/>
                <w:sz w:val="16"/>
                <w:szCs w:val="16"/>
                <w:lang w:val="en-US"/>
              </w:rPr>
            </w:pPr>
          </w:p>
          <w:p w14:paraId="261B6E28" w14:textId="77777777" w:rsidR="00997297" w:rsidRPr="00997297" w:rsidRDefault="00997297" w:rsidP="00535FE1">
            <w:pPr>
              <w:jc w:val="center"/>
              <w:rPr>
                <w:rFonts w:asciiTheme="minorHAnsi" w:hAnsiTheme="minorHAnsi" w:cstheme="minorHAnsi"/>
                <w:b/>
                <w:bCs/>
                <w:sz w:val="16"/>
                <w:szCs w:val="16"/>
                <w:lang w:val="en-US"/>
              </w:rPr>
            </w:pPr>
          </w:p>
          <w:p w14:paraId="055DB905" w14:textId="77777777" w:rsidR="00997297" w:rsidRPr="00FA4351" w:rsidRDefault="00997297" w:rsidP="00535FE1">
            <w:pPr>
              <w:jc w:val="center"/>
              <w:rPr>
                <w:rFonts w:asciiTheme="minorHAnsi" w:hAnsiTheme="minorHAnsi" w:cstheme="minorHAnsi"/>
                <w:b/>
                <w:bCs/>
                <w:sz w:val="16"/>
                <w:szCs w:val="16"/>
              </w:rPr>
            </w:pPr>
            <w:r>
              <w:rPr>
                <w:rFonts w:asciiTheme="minorHAnsi" w:hAnsiTheme="minorHAnsi" w:cstheme="minorHAnsi"/>
                <w:b/>
                <w:bCs/>
                <w:sz w:val="16"/>
                <w:szCs w:val="16"/>
              </w:rPr>
              <w:t>U</w:t>
            </w:r>
          </w:p>
        </w:tc>
        <w:tc>
          <w:tcPr>
            <w:tcW w:w="1418" w:type="dxa"/>
            <w:shd w:val="solid" w:color="BFBFBF" w:themeColor="background1" w:themeShade="BF" w:fill="auto"/>
          </w:tcPr>
          <w:p w14:paraId="778FA90A" w14:textId="77777777" w:rsidR="00997297" w:rsidRDefault="00997297" w:rsidP="00535FE1">
            <w:pPr>
              <w:jc w:val="center"/>
              <w:rPr>
                <w:rFonts w:asciiTheme="minorHAnsi" w:hAnsiTheme="minorHAnsi" w:cstheme="minorHAnsi"/>
                <w:b/>
                <w:bCs/>
                <w:sz w:val="16"/>
                <w:szCs w:val="16"/>
              </w:rPr>
            </w:pPr>
            <w:r>
              <w:rPr>
                <w:rFonts w:asciiTheme="minorHAnsi" w:hAnsiTheme="minorHAnsi" w:cstheme="minorHAnsi"/>
                <w:b/>
                <w:bCs/>
                <w:sz w:val="16"/>
                <w:szCs w:val="16"/>
              </w:rPr>
              <w:t>AVI a Recup.</w:t>
            </w:r>
          </w:p>
          <w:p w14:paraId="5D54D5A0" w14:textId="77777777" w:rsidR="00997297" w:rsidRPr="00FA4351" w:rsidRDefault="00997297" w:rsidP="00535FE1">
            <w:pPr>
              <w:jc w:val="center"/>
              <w:rPr>
                <w:rFonts w:asciiTheme="minorHAnsi" w:hAnsiTheme="minorHAnsi" w:cstheme="minorHAnsi"/>
                <w:b/>
                <w:bCs/>
                <w:sz w:val="16"/>
                <w:szCs w:val="16"/>
              </w:rPr>
            </w:pPr>
            <w:r>
              <w:rPr>
                <w:rFonts w:asciiTheme="minorHAnsi" w:hAnsiTheme="minorHAnsi" w:cstheme="minorHAnsi"/>
                <w:b/>
                <w:bCs/>
                <w:sz w:val="16"/>
                <w:szCs w:val="16"/>
              </w:rPr>
              <w:t>US$ dic 2017</w:t>
            </w:r>
          </w:p>
        </w:tc>
      </w:tr>
      <w:tr w:rsidR="00997297" w:rsidRPr="00FA4351" w14:paraId="14C4F8CC" w14:textId="77777777" w:rsidTr="00535FE1">
        <w:trPr>
          <w:trHeight w:hRule="exact" w:val="284"/>
          <w:jc w:val="center"/>
        </w:trPr>
        <w:tc>
          <w:tcPr>
            <w:tcW w:w="421" w:type="dxa"/>
            <w:vAlign w:val="bottom"/>
          </w:tcPr>
          <w:p w14:paraId="42423F18"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w:t>
            </w:r>
          </w:p>
        </w:tc>
        <w:tc>
          <w:tcPr>
            <w:tcW w:w="10347" w:type="dxa"/>
            <w:vAlign w:val="bottom"/>
          </w:tcPr>
          <w:p w14:paraId="027B4A9F"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 xml:space="preserve">Obra de ampliación Tendido Segundo Circuito Línea 2x220 kV Encuentro </w:t>
            </w:r>
            <w:r>
              <w:rPr>
                <w:rFonts w:asciiTheme="minorHAnsi" w:hAnsiTheme="minorHAnsi" w:cstheme="minorHAnsi"/>
                <w:sz w:val="16"/>
                <w:szCs w:val="16"/>
              </w:rPr>
              <w:t>–</w:t>
            </w:r>
            <w:r w:rsidRPr="00FA4351">
              <w:rPr>
                <w:rFonts w:asciiTheme="minorHAnsi" w:hAnsiTheme="minorHAnsi" w:cstheme="minorHAnsi"/>
                <w:sz w:val="16"/>
                <w:szCs w:val="16"/>
              </w:rPr>
              <w:t xml:space="preserve"> Lagunas</w:t>
            </w:r>
          </w:p>
        </w:tc>
        <w:tc>
          <w:tcPr>
            <w:tcW w:w="1276" w:type="dxa"/>
            <w:vAlign w:val="bottom"/>
          </w:tcPr>
          <w:p w14:paraId="4EEA738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c>
          <w:tcPr>
            <w:tcW w:w="1418" w:type="dxa"/>
            <w:vAlign w:val="bottom"/>
          </w:tcPr>
          <w:p w14:paraId="135DE91F"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r>
      <w:tr w:rsidR="00997297" w:rsidRPr="00FA4351" w14:paraId="0B2A6928" w14:textId="77777777" w:rsidTr="00535FE1">
        <w:trPr>
          <w:trHeight w:hRule="exact" w:val="284"/>
          <w:jc w:val="center"/>
        </w:trPr>
        <w:tc>
          <w:tcPr>
            <w:tcW w:w="421" w:type="dxa"/>
            <w:vAlign w:val="bottom"/>
          </w:tcPr>
          <w:p w14:paraId="638955D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w:t>
            </w:r>
          </w:p>
        </w:tc>
        <w:tc>
          <w:tcPr>
            <w:tcW w:w="10347" w:type="dxa"/>
            <w:vAlign w:val="bottom"/>
          </w:tcPr>
          <w:p w14:paraId="26B0027D"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tendido segundo circuito línea 2x220 kV Cardones – Diego de Almagro, con secc. En S/E Carrera Pinto</w:t>
            </w:r>
          </w:p>
        </w:tc>
        <w:tc>
          <w:tcPr>
            <w:tcW w:w="1276" w:type="dxa"/>
            <w:vAlign w:val="bottom"/>
          </w:tcPr>
          <w:p w14:paraId="495C2AE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c>
          <w:tcPr>
            <w:tcW w:w="1418" w:type="dxa"/>
            <w:vAlign w:val="bottom"/>
          </w:tcPr>
          <w:p w14:paraId="6FE6FAA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r>
      <w:tr w:rsidR="00997297" w:rsidRPr="00FA4351" w14:paraId="62D1A5BB" w14:textId="77777777" w:rsidTr="00535FE1">
        <w:trPr>
          <w:trHeight w:hRule="exact" w:val="284"/>
          <w:jc w:val="center"/>
        </w:trPr>
        <w:tc>
          <w:tcPr>
            <w:tcW w:w="421" w:type="dxa"/>
            <w:vAlign w:val="bottom"/>
          </w:tcPr>
          <w:p w14:paraId="7510D58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w:t>
            </w:r>
          </w:p>
        </w:tc>
        <w:tc>
          <w:tcPr>
            <w:tcW w:w="10347" w:type="dxa"/>
            <w:vAlign w:val="bottom"/>
          </w:tcPr>
          <w:p w14:paraId="21DBBBFD"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 xml:space="preserve">Tendido segundo circuito línea 2x220 kV Ciruelos </w:t>
            </w:r>
            <w:r>
              <w:rPr>
                <w:rFonts w:asciiTheme="minorHAnsi" w:hAnsiTheme="minorHAnsi" w:cstheme="minorHAnsi"/>
                <w:sz w:val="16"/>
                <w:szCs w:val="16"/>
              </w:rPr>
              <w:t>–</w:t>
            </w:r>
            <w:r w:rsidRPr="00FA4351">
              <w:rPr>
                <w:rFonts w:asciiTheme="minorHAnsi" w:hAnsiTheme="minorHAnsi" w:cstheme="minorHAnsi"/>
                <w:sz w:val="16"/>
                <w:szCs w:val="16"/>
              </w:rPr>
              <w:t xml:space="preserve"> Pichirropulli</w:t>
            </w:r>
          </w:p>
        </w:tc>
        <w:tc>
          <w:tcPr>
            <w:tcW w:w="1276" w:type="dxa"/>
            <w:vAlign w:val="bottom"/>
          </w:tcPr>
          <w:p w14:paraId="05C791C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c>
          <w:tcPr>
            <w:tcW w:w="1418" w:type="dxa"/>
            <w:vAlign w:val="bottom"/>
          </w:tcPr>
          <w:p w14:paraId="54307A5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r>
      <w:tr w:rsidR="00997297" w:rsidRPr="00FA4351" w14:paraId="1089E0FE" w14:textId="77777777" w:rsidTr="00535FE1">
        <w:trPr>
          <w:trHeight w:hRule="exact" w:val="284"/>
          <w:jc w:val="center"/>
        </w:trPr>
        <w:tc>
          <w:tcPr>
            <w:tcW w:w="421" w:type="dxa"/>
            <w:vAlign w:val="bottom"/>
          </w:tcPr>
          <w:p w14:paraId="1FCFE02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4</w:t>
            </w:r>
          </w:p>
        </w:tc>
        <w:tc>
          <w:tcPr>
            <w:tcW w:w="10347" w:type="dxa"/>
            <w:vAlign w:val="bottom"/>
          </w:tcPr>
          <w:p w14:paraId="04D65318"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San Andrés 220 kV</w:t>
            </w:r>
          </w:p>
        </w:tc>
        <w:tc>
          <w:tcPr>
            <w:tcW w:w="1276" w:type="dxa"/>
            <w:vAlign w:val="bottom"/>
          </w:tcPr>
          <w:p w14:paraId="2D3E71EC"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c>
          <w:tcPr>
            <w:tcW w:w="1418" w:type="dxa"/>
            <w:vAlign w:val="bottom"/>
          </w:tcPr>
          <w:p w14:paraId="4FA5390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r>
      <w:tr w:rsidR="00997297" w:rsidRPr="00FA4351" w14:paraId="749472AF" w14:textId="77777777" w:rsidTr="00535FE1">
        <w:trPr>
          <w:trHeight w:hRule="exact" w:val="284"/>
          <w:jc w:val="center"/>
        </w:trPr>
        <w:tc>
          <w:tcPr>
            <w:tcW w:w="421" w:type="dxa"/>
            <w:vAlign w:val="bottom"/>
          </w:tcPr>
          <w:p w14:paraId="1489382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5</w:t>
            </w:r>
          </w:p>
        </w:tc>
        <w:tc>
          <w:tcPr>
            <w:tcW w:w="10347" w:type="dxa"/>
            <w:vAlign w:val="bottom"/>
          </w:tcPr>
          <w:p w14:paraId="6F3B2B3E"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Barra seccionadora en Subestación Tarapacá 220 kV</w:t>
            </w:r>
          </w:p>
        </w:tc>
        <w:tc>
          <w:tcPr>
            <w:tcW w:w="1276" w:type="dxa"/>
            <w:vAlign w:val="bottom"/>
          </w:tcPr>
          <w:p w14:paraId="4BF6E0E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116.304,12</w:t>
            </w:r>
          </w:p>
        </w:tc>
        <w:tc>
          <w:tcPr>
            <w:tcW w:w="1418" w:type="dxa"/>
            <w:vAlign w:val="bottom"/>
          </w:tcPr>
          <w:p w14:paraId="591E259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23.825,55</w:t>
            </w:r>
          </w:p>
        </w:tc>
      </w:tr>
      <w:tr w:rsidR="00997297" w:rsidRPr="00FA4351" w14:paraId="41C264DB" w14:textId="77777777" w:rsidTr="00535FE1">
        <w:trPr>
          <w:trHeight w:hRule="exact" w:val="284"/>
          <w:jc w:val="center"/>
        </w:trPr>
        <w:tc>
          <w:tcPr>
            <w:tcW w:w="421" w:type="dxa"/>
            <w:vAlign w:val="bottom"/>
          </w:tcPr>
          <w:p w14:paraId="7E008E3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6</w:t>
            </w:r>
          </w:p>
        </w:tc>
        <w:tc>
          <w:tcPr>
            <w:tcW w:w="10347" w:type="dxa"/>
            <w:vAlign w:val="bottom"/>
          </w:tcPr>
          <w:p w14:paraId="765C0048"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Seccionadora Nueva Encuentro 220 kV</w:t>
            </w:r>
          </w:p>
        </w:tc>
        <w:tc>
          <w:tcPr>
            <w:tcW w:w="1276" w:type="dxa"/>
            <w:vAlign w:val="bottom"/>
          </w:tcPr>
          <w:p w14:paraId="4283CE8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190.441,29</w:t>
            </w:r>
          </w:p>
        </w:tc>
        <w:tc>
          <w:tcPr>
            <w:tcW w:w="1418" w:type="dxa"/>
            <w:vAlign w:val="bottom"/>
          </w:tcPr>
          <w:p w14:paraId="5597F5ED"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39.012,97</w:t>
            </w:r>
          </w:p>
        </w:tc>
      </w:tr>
      <w:tr w:rsidR="00997297" w:rsidRPr="00FA4351" w14:paraId="4AB4BEF3" w14:textId="77777777" w:rsidTr="00535FE1">
        <w:trPr>
          <w:trHeight w:hRule="exact" w:val="284"/>
          <w:jc w:val="center"/>
        </w:trPr>
        <w:tc>
          <w:tcPr>
            <w:tcW w:w="421" w:type="dxa"/>
            <w:vAlign w:val="bottom"/>
          </w:tcPr>
          <w:p w14:paraId="59A404A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7</w:t>
            </w:r>
          </w:p>
        </w:tc>
        <w:tc>
          <w:tcPr>
            <w:tcW w:w="10347" w:type="dxa"/>
            <w:vAlign w:val="bottom"/>
          </w:tcPr>
          <w:p w14:paraId="0452F4AD"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cambio interruptor paño acoplador 52JR S/E Alto Jahuel</w:t>
            </w:r>
          </w:p>
        </w:tc>
        <w:tc>
          <w:tcPr>
            <w:tcW w:w="1276" w:type="dxa"/>
            <w:vAlign w:val="bottom"/>
          </w:tcPr>
          <w:p w14:paraId="7D81564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118.025,16</w:t>
            </w:r>
          </w:p>
        </w:tc>
        <w:tc>
          <w:tcPr>
            <w:tcW w:w="1418" w:type="dxa"/>
            <w:vAlign w:val="bottom"/>
          </w:tcPr>
          <w:p w14:paraId="65D8D6C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21.141,98</w:t>
            </w:r>
          </w:p>
        </w:tc>
      </w:tr>
      <w:tr w:rsidR="00997297" w:rsidRPr="00FA4351" w14:paraId="6D9F0892" w14:textId="77777777" w:rsidTr="00535FE1">
        <w:trPr>
          <w:trHeight w:hRule="exact" w:val="284"/>
          <w:jc w:val="center"/>
        </w:trPr>
        <w:tc>
          <w:tcPr>
            <w:tcW w:w="421" w:type="dxa"/>
            <w:vAlign w:val="bottom"/>
          </w:tcPr>
          <w:p w14:paraId="130E59A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8</w:t>
            </w:r>
          </w:p>
        </w:tc>
        <w:tc>
          <w:tcPr>
            <w:tcW w:w="10347" w:type="dxa"/>
            <w:vAlign w:val="bottom"/>
          </w:tcPr>
          <w:p w14:paraId="289137CD"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Cardones 220 kV (Dex-310-2013)</w:t>
            </w:r>
          </w:p>
        </w:tc>
        <w:tc>
          <w:tcPr>
            <w:tcW w:w="1276" w:type="dxa"/>
            <w:vAlign w:val="bottom"/>
          </w:tcPr>
          <w:p w14:paraId="661683C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57.613,92</w:t>
            </w:r>
          </w:p>
        </w:tc>
        <w:tc>
          <w:tcPr>
            <w:tcW w:w="1418" w:type="dxa"/>
            <w:vAlign w:val="bottom"/>
          </w:tcPr>
          <w:p w14:paraId="08CAF82A"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9.282,99</w:t>
            </w:r>
          </w:p>
        </w:tc>
      </w:tr>
      <w:tr w:rsidR="00997297" w:rsidRPr="00FA4351" w14:paraId="6DEAFBEF" w14:textId="77777777" w:rsidTr="00535FE1">
        <w:trPr>
          <w:trHeight w:hRule="exact" w:val="284"/>
          <w:jc w:val="center"/>
        </w:trPr>
        <w:tc>
          <w:tcPr>
            <w:tcW w:w="421" w:type="dxa"/>
            <w:vAlign w:val="bottom"/>
          </w:tcPr>
          <w:p w14:paraId="0918B46A"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9</w:t>
            </w:r>
          </w:p>
        </w:tc>
        <w:tc>
          <w:tcPr>
            <w:tcW w:w="10347" w:type="dxa"/>
            <w:vAlign w:val="bottom"/>
          </w:tcPr>
          <w:p w14:paraId="13CE053A"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Cerro Navia 220 kV (Dex-310-2013)</w:t>
            </w:r>
          </w:p>
        </w:tc>
        <w:tc>
          <w:tcPr>
            <w:tcW w:w="1276" w:type="dxa"/>
            <w:vAlign w:val="bottom"/>
          </w:tcPr>
          <w:p w14:paraId="61AB36D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723.010,26</w:t>
            </w:r>
          </w:p>
        </w:tc>
        <w:tc>
          <w:tcPr>
            <w:tcW w:w="1418" w:type="dxa"/>
            <w:vAlign w:val="bottom"/>
          </w:tcPr>
          <w:p w14:paraId="0062EB56"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125.793,84</w:t>
            </w:r>
          </w:p>
        </w:tc>
      </w:tr>
      <w:tr w:rsidR="00997297" w:rsidRPr="00FA4351" w14:paraId="4B5B229B" w14:textId="77777777" w:rsidTr="00535FE1">
        <w:trPr>
          <w:trHeight w:hRule="exact" w:val="284"/>
          <w:jc w:val="center"/>
        </w:trPr>
        <w:tc>
          <w:tcPr>
            <w:tcW w:w="421" w:type="dxa"/>
            <w:vAlign w:val="bottom"/>
          </w:tcPr>
          <w:p w14:paraId="6ACFFAC8"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10</w:t>
            </w:r>
          </w:p>
        </w:tc>
        <w:tc>
          <w:tcPr>
            <w:tcW w:w="10347" w:type="dxa"/>
            <w:vAlign w:val="bottom"/>
          </w:tcPr>
          <w:p w14:paraId="47D4B5BB"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Charrúa 500 kV y cambio interruptor paños acopladores 52JR1, 52JR2, 52JR3</w:t>
            </w:r>
          </w:p>
        </w:tc>
        <w:tc>
          <w:tcPr>
            <w:tcW w:w="1276" w:type="dxa"/>
            <w:vAlign w:val="bottom"/>
          </w:tcPr>
          <w:p w14:paraId="464C902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1.039.633,59</w:t>
            </w:r>
          </w:p>
        </w:tc>
        <w:tc>
          <w:tcPr>
            <w:tcW w:w="1418" w:type="dxa"/>
            <w:vAlign w:val="bottom"/>
          </w:tcPr>
          <w:p w14:paraId="02427A5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199.602,76</w:t>
            </w:r>
          </w:p>
        </w:tc>
      </w:tr>
      <w:tr w:rsidR="00997297" w:rsidRPr="00FA4351" w14:paraId="3D352957" w14:textId="77777777" w:rsidTr="00535FE1">
        <w:trPr>
          <w:trHeight w:hRule="exact" w:val="284"/>
          <w:jc w:val="center"/>
        </w:trPr>
        <w:tc>
          <w:tcPr>
            <w:tcW w:w="421" w:type="dxa"/>
            <w:vAlign w:val="bottom"/>
          </w:tcPr>
          <w:p w14:paraId="024B8276"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11</w:t>
            </w:r>
          </w:p>
        </w:tc>
        <w:tc>
          <w:tcPr>
            <w:tcW w:w="10347" w:type="dxa"/>
            <w:vAlign w:val="bottom"/>
          </w:tcPr>
          <w:p w14:paraId="25D88D6F"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Ciruelos 220 kV (Dex-310-2013)</w:t>
            </w:r>
          </w:p>
        </w:tc>
        <w:tc>
          <w:tcPr>
            <w:tcW w:w="1276" w:type="dxa"/>
            <w:vAlign w:val="bottom"/>
          </w:tcPr>
          <w:p w14:paraId="7FB6A760"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197.739,70</w:t>
            </w:r>
          </w:p>
        </w:tc>
        <w:tc>
          <w:tcPr>
            <w:tcW w:w="1418" w:type="dxa"/>
            <w:vAlign w:val="bottom"/>
          </w:tcPr>
          <w:p w14:paraId="1D400CB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45.086,16</w:t>
            </w:r>
          </w:p>
        </w:tc>
      </w:tr>
      <w:tr w:rsidR="00997297" w:rsidRPr="00FA4351" w14:paraId="73D96866" w14:textId="77777777" w:rsidTr="00535FE1">
        <w:trPr>
          <w:trHeight w:hRule="exact" w:val="284"/>
          <w:jc w:val="center"/>
        </w:trPr>
        <w:tc>
          <w:tcPr>
            <w:tcW w:w="421" w:type="dxa"/>
            <w:vAlign w:val="bottom"/>
          </w:tcPr>
          <w:p w14:paraId="3B7FCC6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12</w:t>
            </w:r>
          </w:p>
        </w:tc>
        <w:tc>
          <w:tcPr>
            <w:tcW w:w="10347" w:type="dxa"/>
            <w:vAlign w:val="bottom"/>
          </w:tcPr>
          <w:p w14:paraId="30D1E83C"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Diego de Almagro 220 kV (Dex-310-2013)</w:t>
            </w:r>
          </w:p>
        </w:tc>
        <w:tc>
          <w:tcPr>
            <w:tcW w:w="1276" w:type="dxa"/>
            <w:vAlign w:val="bottom"/>
          </w:tcPr>
          <w:p w14:paraId="7FC7049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388.782,91</w:t>
            </w:r>
          </w:p>
        </w:tc>
        <w:tc>
          <w:tcPr>
            <w:tcW w:w="1418" w:type="dxa"/>
            <w:vAlign w:val="bottom"/>
          </w:tcPr>
          <w:p w14:paraId="1107D09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72.643,49</w:t>
            </w:r>
          </w:p>
        </w:tc>
      </w:tr>
      <w:tr w:rsidR="00997297" w:rsidRPr="00FA4351" w14:paraId="121AE656" w14:textId="77777777" w:rsidTr="00535FE1">
        <w:trPr>
          <w:trHeight w:hRule="exact" w:val="284"/>
          <w:jc w:val="center"/>
        </w:trPr>
        <w:tc>
          <w:tcPr>
            <w:tcW w:w="421" w:type="dxa"/>
            <w:vAlign w:val="bottom"/>
          </w:tcPr>
          <w:p w14:paraId="7686F87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13</w:t>
            </w:r>
          </w:p>
        </w:tc>
        <w:tc>
          <w:tcPr>
            <w:tcW w:w="10347" w:type="dxa"/>
            <w:vAlign w:val="bottom"/>
          </w:tcPr>
          <w:p w14:paraId="32F66D75"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Encuentro 220 kV, aumento de capacidad de línea 2x220 Crucero-Encuentro y cambio TTCC y trampa de onda paño J5 S/E Crucero</w:t>
            </w:r>
          </w:p>
        </w:tc>
        <w:tc>
          <w:tcPr>
            <w:tcW w:w="1276" w:type="dxa"/>
            <w:vAlign w:val="bottom"/>
          </w:tcPr>
          <w:p w14:paraId="32D1E9F6"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1.778.606,63</w:t>
            </w:r>
          </w:p>
        </w:tc>
        <w:tc>
          <w:tcPr>
            <w:tcW w:w="1418" w:type="dxa"/>
            <w:vAlign w:val="bottom"/>
          </w:tcPr>
          <w:p w14:paraId="3A094EA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350.631,42</w:t>
            </w:r>
          </w:p>
        </w:tc>
      </w:tr>
      <w:tr w:rsidR="00997297" w:rsidRPr="00FA4351" w14:paraId="0F8AFD36" w14:textId="77777777" w:rsidTr="00535FE1">
        <w:trPr>
          <w:trHeight w:hRule="exact" w:val="284"/>
          <w:jc w:val="center"/>
        </w:trPr>
        <w:tc>
          <w:tcPr>
            <w:tcW w:w="421" w:type="dxa"/>
            <w:vAlign w:val="bottom"/>
          </w:tcPr>
          <w:p w14:paraId="2D033547"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14</w:t>
            </w:r>
          </w:p>
        </w:tc>
        <w:tc>
          <w:tcPr>
            <w:tcW w:w="10347" w:type="dxa"/>
            <w:vAlign w:val="bottom"/>
          </w:tcPr>
          <w:p w14:paraId="6F1FBBEF"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Lagunas 220 kV, Banco de condensadores de 60 MVAr y cambio TTCC paños J1 y J2</w:t>
            </w:r>
          </w:p>
        </w:tc>
        <w:tc>
          <w:tcPr>
            <w:tcW w:w="1276" w:type="dxa"/>
            <w:vAlign w:val="bottom"/>
          </w:tcPr>
          <w:p w14:paraId="2F79A32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68.240,59</w:t>
            </w:r>
          </w:p>
        </w:tc>
        <w:tc>
          <w:tcPr>
            <w:tcW w:w="1418" w:type="dxa"/>
            <w:vAlign w:val="bottom"/>
          </w:tcPr>
          <w:p w14:paraId="6875F027"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13.452,83</w:t>
            </w:r>
          </w:p>
        </w:tc>
      </w:tr>
      <w:tr w:rsidR="00997297" w:rsidRPr="00FA4351" w14:paraId="074587E6" w14:textId="77777777" w:rsidTr="00535FE1">
        <w:trPr>
          <w:trHeight w:hRule="exact" w:val="284"/>
          <w:jc w:val="center"/>
        </w:trPr>
        <w:tc>
          <w:tcPr>
            <w:tcW w:w="421" w:type="dxa"/>
            <w:vAlign w:val="bottom"/>
          </w:tcPr>
          <w:p w14:paraId="6220A97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15</w:t>
            </w:r>
          </w:p>
        </w:tc>
        <w:tc>
          <w:tcPr>
            <w:tcW w:w="10347" w:type="dxa"/>
            <w:vAlign w:val="bottom"/>
          </w:tcPr>
          <w:p w14:paraId="1A11A0C2"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Las Palmas 220 kV (Dex-310-2013)</w:t>
            </w:r>
          </w:p>
        </w:tc>
        <w:tc>
          <w:tcPr>
            <w:tcW w:w="1276" w:type="dxa"/>
            <w:vAlign w:val="bottom"/>
          </w:tcPr>
          <w:p w14:paraId="3150EF3F"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12.729,72</w:t>
            </w:r>
          </w:p>
        </w:tc>
        <w:tc>
          <w:tcPr>
            <w:tcW w:w="1418" w:type="dxa"/>
            <w:vAlign w:val="bottom"/>
          </w:tcPr>
          <w:p w14:paraId="08F70348"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2.214,80</w:t>
            </w:r>
          </w:p>
        </w:tc>
      </w:tr>
      <w:tr w:rsidR="00997297" w:rsidRPr="00FA4351" w14:paraId="462118E3" w14:textId="77777777" w:rsidTr="00535FE1">
        <w:trPr>
          <w:trHeight w:hRule="exact" w:val="284"/>
          <w:jc w:val="center"/>
        </w:trPr>
        <w:tc>
          <w:tcPr>
            <w:tcW w:w="421" w:type="dxa"/>
            <w:vAlign w:val="bottom"/>
          </w:tcPr>
          <w:p w14:paraId="117B328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16</w:t>
            </w:r>
          </w:p>
        </w:tc>
        <w:tc>
          <w:tcPr>
            <w:tcW w:w="10347" w:type="dxa"/>
            <w:vAlign w:val="bottom"/>
          </w:tcPr>
          <w:p w14:paraId="3E4D88A8"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Maitencillo 220 kV (Dex-310-2013)</w:t>
            </w:r>
          </w:p>
        </w:tc>
        <w:tc>
          <w:tcPr>
            <w:tcW w:w="1276" w:type="dxa"/>
            <w:vAlign w:val="bottom"/>
          </w:tcPr>
          <w:p w14:paraId="3F80704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95.987,65</w:t>
            </w:r>
          </w:p>
        </w:tc>
        <w:tc>
          <w:tcPr>
            <w:tcW w:w="1418" w:type="dxa"/>
            <w:vAlign w:val="bottom"/>
          </w:tcPr>
          <w:p w14:paraId="3D60D03A"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16.700,53</w:t>
            </w:r>
          </w:p>
        </w:tc>
      </w:tr>
      <w:tr w:rsidR="00997297" w:rsidRPr="00FA4351" w14:paraId="46E6C005" w14:textId="77777777" w:rsidTr="00535FE1">
        <w:trPr>
          <w:trHeight w:hRule="exact" w:val="284"/>
          <w:jc w:val="center"/>
        </w:trPr>
        <w:tc>
          <w:tcPr>
            <w:tcW w:w="421" w:type="dxa"/>
            <w:vAlign w:val="bottom"/>
          </w:tcPr>
          <w:p w14:paraId="7EC491C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17</w:t>
            </w:r>
          </w:p>
        </w:tc>
        <w:tc>
          <w:tcPr>
            <w:tcW w:w="10347" w:type="dxa"/>
            <w:vAlign w:val="bottom"/>
          </w:tcPr>
          <w:p w14:paraId="561A87C4"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Polpaico 500 kV y Cambio interruptor paño acoplador 52JR (Dex-310-2013)</w:t>
            </w:r>
          </w:p>
        </w:tc>
        <w:tc>
          <w:tcPr>
            <w:tcW w:w="1276" w:type="dxa"/>
            <w:vAlign w:val="bottom"/>
          </w:tcPr>
          <w:p w14:paraId="52D754D3" w14:textId="77777777" w:rsidR="00997297" w:rsidRPr="00FA4351" w:rsidRDefault="00997297" w:rsidP="00535FE1">
            <w:pPr>
              <w:jc w:val="center"/>
              <w:rPr>
                <w:rFonts w:asciiTheme="minorHAnsi" w:hAnsiTheme="minorHAnsi" w:cstheme="minorHAnsi"/>
                <w:sz w:val="16"/>
                <w:szCs w:val="16"/>
              </w:rPr>
            </w:pPr>
            <w:r>
              <w:rPr>
                <w:rFonts w:asciiTheme="minorHAnsi" w:hAnsiTheme="minorHAnsi" w:cstheme="minorHAnsi"/>
                <w:sz w:val="16"/>
                <w:szCs w:val="16"/>
              </w:rPr>
              <w:t>491.353,67</w:t>
            </w:r>
          </w:p>
        </w:tc>
        <w:tc>
          <w:tcPr>
            <w:tcW w:w="1418" w:type="dxa"/>
            <w:vAlign w:val="bottom"/>
          </w:tcPr>
          <w:p w14:paraId="29DE0EB3" w14:textId="77777777" w:rsidR="00997297" w:rsidRPr="00FA4351" w:rsidRDefault="00997297" w:rsidP="00535FE1">
            <w:pPr>
              <w:jc w:val="center"/>
              <w:rPr>
                <w:rFonts w:asciiTheme="minorHAnsi" w:hAnsiTheme="minorHAnsi" w:cstheme="minorHAnsi"/>
                <w:sz w:val="16"/>
                <w:szCs w:val="16"/>
              </w:rPr>
            </w:pPr>
            <w:r>
              <w:rPr>
                <w:rFonts w:asciiTheme="minorHAnsi" w:hAnsiTheme="minorHAnsi" w:cstheme="minorHAnsi"/>
                <w:color w:val="000000"/>
                <w:sz w:val="16"/>
                <w:szCs w:val="16"/>
              </w:rPr>
              <w:t>98.128,59</w:t>
            </w:r>
          </w:p>
        </w:tc>
      </w:tr>
      <w:tr w:rsidR="00997297" w:rsidRPr="00FA4351" w14:paraId="09CF7616" w14:textId="77777777" w:rsidTr="00535FE1">
        <w:trPr>
          <w:trHeight w:hRule="exact" w:val="284"/>
          <w:jc w:val="center"/>
        </w:trPr>
        <w:tc>
          <w:tcPr>
            <w:tcW w:w="421" w:type="dxa"/>
            <w:vAlign w:val="bottom"/>
          </w:tcPr>
          <w:p w14:paraId="1D61553D"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18</w:t>
            </w:r>
          </w:p>
        </w:tc>
        <w:tc>
          <w:tcPr>
            <w:tcW w:w="10347" w:type="dxa"/>
            <w:vAlign w:val="bottom"/>
          </w:tcPr>
          <w:p w14:paraId="3A0FBB56"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Rapel 220 kV e Instalación paño 52JS (Dex-310-2013)</w:t>
            </w:r>
          </w:p>
        </w:tc>
        <w:tc>
          <w:tcPr>
            <w:tcW w:w="1276" w:type="dxa"/>
            <w:vAlign w:val="bottom"/>
          </w:tcPr>
          <w:p w14:paraId="0892923C"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73.255,55</w:t>
            </w:r>
          </w:p>
        </w:tc>
        <w:tc>
          <w:tcPr>
            <w:tcW w:w="1418" w:type="dxa"/>
            <w:vAlign w:val="bottom"/>
          </w:tcPr>
          <w:p w14:paraId="7A00BFEA"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12.933,90</w:t>
            </w:r>
          </w:p>
        </w:tc>
      </w:tr>
      <w:tr w:rsidR="00997297" w:rsidRPr="00FA4351" w14:paraId="6CFF8F70" w14:textId="77777777" w:rsidTr="00535FE1">
        <w:trPr>
          <w:trHeight w:hRule="exact" w:val="284"/>
          <w:jc w:val="center"/>
        </w:trPr>
        <w:tc>
          <w:tcPr>
            <w:tcW w:w="421" w:type="dxa"/>
            <w:vAlign w:val="bottom"/>
          </w:tcPr>
          <w:p w14:paraId="76F1EA0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19</w:t>
            </w:r>
          </w:p>
        </w:tc>
        <w:tc>
          <w:tcPr>
            <w:tcW w:w="10347" w:type="dxa"/>
            <w:vAlign w:val="bottom"/>
          </w:tcPr>
          <w:p w14:paraId="39AD008A"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reemplazo de desconectadores en S/E Quillota y S/E Polpaico</w:t>
            </w:r>
          </w:p>
        </w:tc>
        <w:tc>
          <w:tcPr>
            <w:tcW w:w="1276" w:type="dxa"/>
            <w:vAlign w:val="bottom"/>
          </w:tcPr>
          <w:p w14:paraId="3CFA85E0"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45.480,31</w:t>
            </w:r>
          </w:p>
        </w:tc>
        <w:tc>
          <w:tcPr>
            <w:tcW w:w="1418" w:type="dxa"/>
            <w:vAlign w:val="bottom"/>
          </w:tcPr>
          <w:p w14:paraId="71EEB0BF"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8.380,93</w:t>
            </w:r>
          </w:p>
        </w:tc>
      </w:tr>
      <w:tr w:rsidR="00997297" w:rsidRPr="00FA4351" w14:paraId="5C2969A1" w14:textId="77777777" w:rsidTr="00535FE1">
        <w:trPr>
          <w:trHeight w:hRule="exact" w:val="284"/>
          <w:jc w:val="center"/>
        </w:trPr>
        <w:tc>
          <w:tcPr>
            <w:tcW w:w="421" w:type="dxa"/>
            <w:vAlign w:val="bottom"/>
          </w:tcPr>
          <w:p w14:paraId="232EA5DD"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20</w:t>
            </w:r>
          </w:p>
        </w:tc>
        <w:tc>
          <w:tcPr>
            <w:tcW w:w="10347" w:type="dxa"/>
            <w:vAlign w:val="bottom"/>
          </w:tcPr>
          <w:p w14:paraId="4F9DD199"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Ancoa 500 kV (Dex-310-2013)</w:t>
            </w:r>
          </w:p>
        </w:tc>
        <w:tc>
          <w:tcPr>
            <w:tcW w:w="1276" w:type="dxa"/>
            <w:vAlign w:val="bottom"/>
          </w:tcPr>
          <w:p w14:paraId="747EAAE7"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131.406,10</w:t>
            </w:r>
          </w:p>
        </w:tc>
        <w:tc>
          <w:tcPr>
            <w:tcW w:w="1418" w:type="dxa"/>
            <w:vAlign w:val="bottom"/>
          </w:tcPr>
          <w:p w14:paraId="3A6F555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25.229,10</w:t>
            </w:r>
          </w:p>
        </w:tc>
      </w:tr>
      <w:tr w:rsidR="00997297" w:rsidRPr="00FA4351" w14:paraId="0FA1C7F1" w14:textId="77777777" w:rsidTr="00535FE1">
        <w:trPr>
          <w:trHeight w:hRule="exact" w:val="284"/>
          <w:jc w:val="center"/>
        </w:trPr>
        <w:tc>
          <w:tcPr>
            <w:tcW w:w="421" w:type="dxa"/>
            <w:vAlign w:val="bottom"/>
          </w:tcPr>
          <w:p w14:paraId="3BC637D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21</w:t>
            </w:r>
          </w:p>
        </w:tc>
        <w:tc>
          <w:tcPr>
            <w:tcW w:w="10347" w:type="dxa"/>
            <w:vAlign w:val="bottom"/>
          </w:tcPr>
          <w:p w14:paraId="3E58A0E6"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aumento de capacidad de línea Maitencillo – Cardones 1x220 kV</w:t>
            </w:r>
          </w:p>
        </w:tc>
        <w:tc>
          <w:tcPr>
            <w:tcW w:w="1276" w:type="dxa"/>
            <w:vAlign w:val="bottom"/>
          </w:tcPr>
          <w:p w14:paraId="69216C1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1.576.349,19</w:t>
            </w:r>
          </w:p>
        </w:tc>
        <w:tc>
          <w:tcPr>
            <w:tcW w:w="1418" w:type="dxa"/>
            <w:vAlign w:val="bottom"/>
          </w:tcPr>
          <w:p w14:paraId="423BEA8C"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329.311,14</w:t>
            </w:r>
          </w:p>
        </w:tc>
      </w:tr>
      <w:tr w:rsidR="00997297" w:rsidRPr="00FA4351" w14:paraId="59D3B026" w14:textId="77777777" w:rsidTr="00535FE1">
        <w:trPr>
          <w:trHeight w:hRule="exact" w:val="284"/>
          <w:jc w:val="center"/>
        </w:trPr>
        <w:tc>
          <w:tcPr>
            <w:tcW w:w="421" w:type="dxa"/>
            <w:vAlign w:val="bottom"/>
          </w:tcPr>
          <w:p w14:paraId="4C801C2D"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22</w:t>
            </w:r>
          </w:p>
        </w:tc>
        <w:tc>
          <w:tcPr>
            <w:tcW w:w="10347" w:type="dxa"/>
            <w:vAlign w:val="bottom"/>
          </w:tcPr>
          <w:p w14:paraId="69C5C9F4"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seccionamiento barra 500 kV subestación Alto Jahuel</w:t>
            </w:r>
          </w:p>
        </w:tc>
        <w:tc>
          <w:tcPr>
            <w:tcW w:w="1276" w:type="dxa"/>
            <w:vAlign w:val="bottom"/>
          </w:tcPr>
          <w:p w14:paraId="63E18D26"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175.411,79</w:t>
            </w:r>
          </w:p>
        </w:tc>
        <w:tc>
          <w:tcPr>
            <w:tcW w:w="1418" w:type="dxa"/>
            <w:vAlign w:val="bottom"/>
          </w:tcPr>
          <w:p w14:paraId="5EF0E02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38.641,51</w:t>
            </w:r>
          </w:p>
        </w:tc>
      </w:tr>
      <w:tr w:rsidR="00997297" w:rsidRPr="00FA4351" w14:paraId="2994C50C" w14:textId="77777777" w:rsidTr="00535FE1">
        <w:trPr>
          <w:trHeight w:hRule="exact" w:val="284"/>
          <w:jc w:val="center"/>
        </w:trPr>
        <w:tc>
          <w:tcPr>
            <w:tcW w:w="421" w:type="dxa"/>
            <w:vAlign w:val="bottom"/>
          </w:tcPr>
          <w:p w14:paraId="2919914D"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23</w:t>
            </w:r>
          </w:p>
        </w:tc>
        <w:tc>
          <w:tcPr>
            <w:tcW w:w="10347" w:type="dxa"/>
            <w:vAlign w:val="bottom"/>
          </w:tcPr>
          <w:p w14:paraId="54E7F53D"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seccionamiento barra 500 kV subestación Ancoa</w:t>
            </w:r>
          </w:p>
        </w:tc>
        <w:tc>
          <w:tcPr>
            <w:tcW w:w="1276" w:type="dxa"/>
            <w:vAlign w:val="bottom"/>
          </w:tcPr>
          <w:p w14:paraId="61B7FCD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63.270,80</w:t>
            </w:r>
          </w:p>
        </w:tc>
        <w:tc>
          <w:tcPr>
            <w:tcW w:w="1418" w:type="dxa"/>
            <w:vAlign w:val="bottom"/>
          </w:tcPr>
          <w:p w14:paraId="6A6B186C"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14.263,46</w:t>
            </w:r>
          </w:p>
        </w:tc>
      </w:tr>
      <w:tr w:rsidR="00997297" w:rsidRPr="00FA4351" w14:paraId="24F281A3" w14:textId="77777777" w:rsidTr="00535FE1">
        <w:trPr>
          <w:trHeight w:hRule="exact" w:val="284"/>
          <w:jc w:val="center"/>
        </w:trPr>
        <w:tc>
          <w:tcPr>
            <w:tcW w:w="421" w:type="dxa"/>
            <w:vAlign w:val="bottom"/>
          </w:tcPr>
          <w:p w14:paraId="4B5820B8"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24</w:t>
            </w:r>
          </w:p>
        </w:tc>
        <w:tc>
          <w:tcPr>
            <w:tcW w:w="10347" w:type="dxa"/>
            <w:vAlign w:val="bottom"/>
          </w:tcPr>
          <w:p w14:paraId="0EEC1800"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seccionamiento barra 500 kV subestación Charrúa</w:t>
            </w:r>
          </w:p>
        </w:tc>
        <w:tc>
          <w:tcPr>
            <w:tcW w:w="1276" w:type="dxa"/>
            <w:vAlign w:val="bottom"/>
          </w:tcPr>
          <w:p w14:paraId="126173B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176.676,59</w:t>
            </w:r>
          </w:p>
        </w:tc>
        <w:tc>
          <w:tcPr>
            <w:tcW w:w="1418" w:type="dxa"/>
            <w:vAlign w:val="bottom"/>
          </w:tcPr>
          <w:p w14:paraId="3FA12AC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38.011,15</w:t>
            </w:r>
          </w:p>
        </w:tc>
      </w:tr>
      <w:tr w:rsidR="00997297" w:rsidRPr="00FA4351" w14:paraId="43E0FD2A" w14:textId="77777777" w:rsidTr="00997297">
        <w:tblPrEx>
          <w:jc w:val="left"/>
        </w:tblPrEx>
        <w:trPr>
          <w:trHeight w:hRule="exact" w:val="284"/>
        </w:trPr>
        <w:tc>
          <w:tcPr>
            <w:tcW w:w="421" w:type="dxa"/>
          </w:tcPr>
          <w:p w14:paraId="378A190C"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25</w:t>
            </w:r>
          </w:p>
        </w:tc>
        <w:tc>
          <w:tcPr>
            <w:tcW w:w="10347" w:type="dxa"/>
          </w:tcPr>
          <w:p w14:paraId="47EFAA0A"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seccionamiento barra principal en S/E Carrera Pinto</w:t>
            </w:r>
          </w:p>
        </w:tc>
        <w:tc>
          <w:tcPr>
            <w:tcW w:w="1276" w:type="dxa"/>
          </w:tcPr>
          <w:p w14:paraId="505B22D0"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47.394,37</w:t>
            </w:r>
          </w:p>
        </w:tc>
        <w:tc>
          <w:tcPr>
            <w:tcW w:w="1418" w:type="dxa"/>
          </w:tcPr>
          <w:p w14:paraId="535375F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9.830,92</w:t>
            </w:r>
          </w:p>
        </w:tc>
      </w:tr>
      <w:tr w:rsidR="00997297" w:rsidRPr="00FA4351" w14:paraId="6863F7CB" w14:textId="77777777" w:rsidTr="00997297">
        <w:tblPrEx>
          <w:jc w:val="left"/>
        </w:tblPrEx>
        <w:trPr>
          <w:trHeight w:hRule="exact" w:val="284"/>
        </w:trPr>
        <w:tc>
          <w:tcPr>
            <w:tcW w:w="421" w:type="dxa"/>
          </w:tcPr>
          <w:p w14:paraId="295D00D6"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26</w:t>
            </w:r>
          </w:p>
        </w:tc>
        <w:tc>
          <w:tcPr>
            <w:tcW w:w="10347" w:type="dxa"/>
          </w:tcPr>
          <w:p w14:paraId="6FF5DDA4"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seccionamiento completo en subestación Rahue</w:t>
            </w:r>
          </w:p>
        </w:tc>
        <w:tc>
          <w:tcPr>
            <w:tcW w:w="1276" w:type="dxa"/>
          </w:tcPr>
          <w:p w14:paraId="4644DCD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54.133,04</w:t>
            </w:r>
          </w:p>
        </w:tc>
        <w:tc>
          <w:tcPr>
            <w:tcW w:w="1418" w:type="dxa"/>
          </w:tcPr>
          <w:p w14:paraId="5AD9963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12.342,75</w:t>
            </w:r>
          </w:p>
        </w:tc>
      </w:tr>
      <w:tr w:rsidR="00997297" w:rsidRPr="00FA4351" w14:paraId="14CA8E9C" w14:textId="77777777" w:rsidTr="00997297">
        <w:tblPrEx>
          <w:jc w:val="left"/>
        </w:tblPrEx>
        <w:trPr>
          <w:trHeight w:hRule="exact" w:val="284"/>
        </w:trPr>
        <w:tc>
          <w:tcPr>
            <w:tcW w:w="421" w:type="dxa"/>
          </w:tcPr>
          <w:p w14:paraId="5E261BB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27</w:t>
            </w:r>
          </w:p>
        </w:tc>
        <w:tc>
          <w:tcPr>
            <w:tcW w:w="10347" w:type="dxa"/>
          </w:tcPr>
          <w:p w14:paraId="7701DD58"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cambio de interruptores 52J23 y 52J3 en S/E Charrúa 220 kV</w:t>
            </w:r>
          </w:p>
        </w:tc>
        <w:tc>
          <w:tcPr>
            <w:tcW w:w="1276" w:type="dxa"/>
          </w:tcPr>
          <w:p w14:paraId="1D957D1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93.281,40</w:t>
            </w:r>
          </w:p>
        </w:tc>
        <w:tc>
          <w:tcPr>
            <w:tcW w:w="1418" w:type="dxa"/>
          </w:tcPr>
          <w:p w14:paraId="0AEBD80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22.708,64</w:t>
            </w:r>
          </w:p>
        </w:tc>
      </w:tr>
      <w:tr w:rsidR="00997297" w:rsidRPr="00FA4351" w14:paraId="43DB922C" w14:textId="77777777" w:rsidTr="00997297">
        <w:tblPrEx>
          <w:jc w:val="left"/>
        </w:tblPrEx>
        <w:trPr>
          <w:trHeight w:hRule="exact" w:val="284"/>
        </w:trPr>
        <w:tc>
          <w:tcPr>
            <w:tcW w:w="421" w:type="dxa"/>
          </w:tcPr>
          <w:p w14:paraId="39CDADE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28</w:t>
            </w:r>
          </w:p>
        </w:tc>
        <w:tc>
          <w:tcPr>
            <w:tcW w:w="10347" w:type="dxa"/>
          </w:tcPr>
          <w:p w14:paraId="2294FF03"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cambio de interruptores 52JS, 52JCE1, 52J6, 52JZ3 y 52J7 en S/E Alto Jahuel 220 kV</w:t>
            </w:r>
          </w:p>
        </w:tc>
        <w:tc>
          <w:tcPr>
            <w:tcW w:w="1276" w:type="dxa"/>
          </w:tcPr>
          <w:p w14:paraId="4907E13E"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184.029,15</w:t>
            </w:r>
          </w:p>
        </w:tc>
        <w:tc>
          <w:tcPr>
            <w:tcW w:w="1418" w:type="dxa"/>
          </w:tcPr>
          <w:p w14:paraId="4E58E87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44.800,48</w:t>
            </w:r>
          </w:p>
        </w:tc>
      </w:tr>
      <w:tr w:rsidR="00997297" w:rsidRPr="00FA4351" w14:paraId="67A0E900" w14:textId="77777777" w:rsidTr="00997297">
        <w:tblPrEx>
          <w:jc w:val="left"/>
        </w:tblPrEx>
        <w:trPr>
          <w:trHeight w:hRule="exact" w:val="284"/>
        </w:trPr>
        <w:tc>
          <w:tcPr>
            <w:tcW w:w="421" w:type="dxa"/>
          </w:tcPr>
          <w:p w14:paraId="5983738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29</w:t>
            </w:r>
          </w:p>
        </w:tc>
        <w:tc>
          <w:tcPr>
            <w:tcW w:w="10347" w:type="dxa"/>
          </w:tcPr>
          <w:p w14:paraId="22F30DAE"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cambio de interruptores 52JT5, 52JT6 y 52J15 en S/E Charrúa 220 kV</w:t>
            </w:r>
          </w:p>
        </w:tc>
        <w:tc>
          <w:tcPr>
            <w:tcW w:w="1276" w:type="dxa"/>
          </w:tcPr>
          <w:p w14:paraId="6160A2AD"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109.830,86</w:t>
            </w:r>
          </w:p>
        </w:tc>
        <w:tc>
          <w:tcPr>
            <w:tcW w:w="1418" w:type="dxa"/>
          </w:tcPr>
          <w:p w14:paraId="534DB837"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27.020,01</w:t>
            </w:r>
          </w:p>
        </w:tc>
      </w:tr>
      <w:tr w:rsidR="00997297" w:rsidRPr="00FA4351" w14:paraId="13DA69F0" w14:textId="77777777" w:rsidTr="00997297">
        <w:tblPrEx>
          <w:jc w:val="left"/>
        </w:tblPrEx>
        <w:trPr>
          <w:trHeight w:hRule="exact" w:val="284"/>
        </w:trPr>
        <w:tc>
          <w:tcPr>
            <w:tcW w:w="421" w:type="dxa"/>
          </w:tcPr>
          <w:p w14:paraId="231788BB"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30</w:t>
            </w:r>
          </w:p>
        </w:tc>
        <w:tc>
          <w:tcPr>
            <w:tcW w:w="10347" w:type="dxa"/>
          </w:tcPr>
          <w:p w14:paraId="58E53EB5"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de ampliación S/E Temuco 220 kV</w:t>
            </w:r>
          </w:p>
        </w:tc>
        <w:tc>
          <w:tcPr>
            <w:tcW w:w="1276" w:type="dxa"/>
          </w:tcPr>
          <w:p w14:paraId="6DA3783F"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303.441,54</w:t>
            </w:r>
          </w:p>
        </w:tc>
        <w:tc>
          <w:tcPr>
            <w:tcW w:w="1418" w:type="dxa"/>
          </w:tcPr>
          <w:p w14:paraId="3349089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72.309,33</w:t>
            </w:r>
          </w:p>
        </w:tc>
      </w:tr>
      <w:tr w:rsidR="00997297" w:rsidRPr="00FA4351" w14:paraId="34B95A69" w14:textId="77777777" w:rsidTr="00997297">
        <w:tblPrEx>
          <w:jc w:val="left"/>
        </w:tblPrEx>
        <w:trPr>
          <w:trHeight w:hRule="exact" w:val="284"/>
        </w:trPr>
        <w:tc>
          <w:tcPr>
            <w:tcW w:w="421" w:type="dxa"/>
          </w:tcPr>
          <w:p w14:paraId="3D1EC5B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31</w:t>
            </w:r>
          </w:p>
        </w:tc>
        <w:tc>
          <w:tcPr>
            <w:tcW w:w="10347" w:type="dxa"/>
          </w:tcPr>
          <w:p w14:paraId="60932FA1"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Normalización en S/E Alto Jahuel 220 kV</w:t>
            </w:r>
          </w:p>
        </w:tc>
        <w:tc>
          <w:tcPr>
            <w:tcW w:w="1276" w:type="dxa"/>
          </w:tcPr>
          <w:p w14:paraId="099717E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65.373,73</w:t>
            </w:r>
          </w:p>
        </w:tc>
        <w:tc>
          <w:tcPr>
            <w:tcW w:w="1418" w:type="dxa"/>
          </w:tcPr>
          <w:p w14:paraId="047C6EF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15.738,84</w:t>
            </w:r>
          </w:p>
        </w:tc>
      </w:tr>
      <w:tr w:rsidR="00997297" w:rsidRPr="00FA4351" w14:paraId="36136F9B" w14:textId="77777777" w:rsidTr="00997297">
        <w:tblPrEx>
          <w:jc w:val="left"/>
        </w:tblPrEx>
        <w:trPr>
          <w:trHeight w:hRule="exact" w:val="284"/>
        </w:trPr>
        <w:tc>
          <w:tcPr>
            <w:tcW w:w="421" w:type="dxa"/>
          </w:tcPr>
          <w:p w14:paraId="45CE4AD5"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32</w:t>
            </w:r>
          </w:p>
        </w:tc>
        <w:tc>
          <w:tcPr>
            <w:tcW w:w="10347" w:type="dxa"/>
          </w:tcPr>
          <w:p w14:paraId="16199B4F"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Aumento de capacidad de la línea 1x220 kV Cardones - Carrera Pinto - Diego de Almagro</w:t>
            </w:r>
          </w:p>
        </w:tc>
        <w:tc>
          <w:tcPr>
            <w:tcW w:w="1276" w:type="dxa"/>
          </w:tcPr>
          <w:p w14:paraId="6F67D593"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9.965.223,98</w:t>
            </w:r>
          </w:p>
        </w:tc>
        <w:tc>
          <w:tcPr>
            <w:tcW w:w="1418" w:type="dxa"/>
          </w:tcPr>
          <w:p w14:paraId="7D796B3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2.486.353,61</w:t>
            </w:r>
          </w:p>
        </w:tc>
      </w:tr>
      <w:tr w:rsidR="00997297" w:rsidRPr="00FA4351" w14:paraId="5979B1D7" w14:textId="77777777" w:rsidTr="00997297">
        <w:tblPrEx>
          <w:jc w:val="left"/>
        </w:tblPrEx>
        <w:trPr>
          <w:trHeight w:hRule="exact" w:val="284"/>
        </w:trPr>
        <w:tc>
          <w:tcPr>
            <w:tcW w:w="421" w:type="dxa"/>
          </w:tcPr>
          <w:p w14:paraId="22AD5791"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33</w:t>
            </w:r>
          </w:p>
        </w:tc>
        <w:tc>
          <w:tcPr>
            <w:tcW w:w="10347" w:type="dxa"/>
          </w:tcPr>
          <w:p w14:paraId="6F050960"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Obra nueva Línea Ancoa –A. Jahuel 2x500 kV (2do cto)</w:t>
            </w:r>
            <w:r>
              <w:rPr>
                <w:rFonts w:asciiTheme="minorHAnsi" w:hAnsiTheme="minorHAnsi" w:cstheme="minorHAnsi"/>
                <w:sz w:val="16"/>
                <w:szCs w:val="16"/>
              </w:rPr>
              <w:t xml:space="preserve"> (*)</w:t>
            </w:r>
          </w:p>
        </w:tc>
        <w:tc>
          <w:tcPr>
            <w:tcW w:w="1276" w:type="dxa"/>
          </w:tcPr>
          <w:p w14:paraId="2F458E74"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c>
          <w:tcPr>
            <w:tcW w:w="1418" w:type="dxa"/>
          </w:tcPr>
          <w:p w14:paraId="1A76C53F"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w:t>
            </w:r>
          </w:p>
        </w:tc>
      </w:tr>
      <w:tr w:rsidR="00997297" w:rsidRPr="00FA4351" w14:paraId="2BA8DF80" w14:textId="77777777" w:rsidTr="00997297">
        <w:tblPrEx>
          <w:jc w:val="left"/>
        </w:tblPrEx>
        <w:trPr>
          <w:trHeight w:hRule="exact" w:val="284"/>
        </w:trPr>
        <w:tc>
          <w:tcPr>
            <w:tcW w:w="421" w:type="dxa"/>
          </w:tcPr>
          <w:p w14:paraId="2CA86889"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34</w:t>
            </w:r>
          </w:p>
        </w:tc>
        <w:tc>
          <w:tcPr>
            <w:tcW w:w="10347" w:type="dxa"/>
          </w:tcPr>
          <w:p w14:paraId="53BF2B08" w14:textId="77777777" w:rsidR="00997297" w:rsidRPr="00FA4351" w:rsidRDefault="00997297" w:rsidP="00535FE1">
            <w:pPr>
              <w:rPr>
                <w:rFonts w:asciiTheme="minorHAnsi" w:hAnsiTheme="minorHAnsi" w:cstheme="minorHAnsi"/>
                <w:sz w:val="16"/>
                <w:szCs w:val="16"/>
              </w:rPr>
            </w:pPr>
            <w:r w:rsidRPr="00FA4351">
              <w:rPr>
                <w:rFonts w:asciiTheme="minorHAnsi" w:hAnsiTheme="minorHAnsi" w:cstheme="minorHAnsi"/>
                <w:sz w:val="16"/>
                <w:szCs w:val="16"/>
              </w:rPr>
              <w:t>Línea Punta Cortés Tuniche 2x220kV</w:t>
            </w:r>
          </w:p>
        </w:tc>
        <w:tc>
          <w:tcPr>
            <w:tcW w:w="1276" w:type="dxa"/>
          </w:tcPr>
          <w:p w14:paraId="67E2B4E2"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84.178,57</w:t>
            </w:r>
          </w:p>
        </w:tc>
        <w:tc>
          <w:tcPr>
            <w:tcW w:w="1418" w:type="dxa"/>
          </w:tcPr>
          <w:p w14:paraId="7F424047" w14:textId="77777777" w:rsidR="00997297" w:rsidRPr="00FA4351" w:rsidRDefault="00997297" w:rsidP="00535FE1">
            <w:pPr>
              <w:jc w:val="center"/>
              <w:rPr>
                <w:rFonts w:asciiTheme="minorHAnsi" w:hAnsiTheme="minorHAnsi" w:cstheme="minorHAnsi"/>
                <w:sz w:val="16"/>
                <w:szCs w:val="16"/>
              </w:rPr>
            </w:pPr>
            <w:r w:rsidRPr="00FA4351">
              <w:rPr>
                <w:rFonts w:asciiTheme="minorHAnsi" w:hAnsiTheme="minorHAnsi" w:cstheme="minorHAnsi"/>
                <w:color w:val="000000"/>
                <w:sz w:val="16"/>
                <w:szCs w:val="16"/>
              </w:rPr>
              <w:t>21.216,39</w:t>
            </w:r>
          </w:p>
        </w:tc>
      </w:tr>
    </w:tbl>
    <w:p w14:paraId="1E65ADFE" w14:textId="77777777" w:rsidR="00997297" w:rsidRDefault="00997297" w:rsidP="00997297">
      <w:pPr>
        <w:rPr>
          <w:sz w:val="20"/>
          <w:szCs w:val="20"/>
        </w:rPr>
      </w:pPr>
    </w:p>
    <w:p w14:paraId="0C9E2768" w14:textId="3DD0ACDC" w:rsidR="00997297" w:rsidRDefault="00997297" w:rsidP="00997297">
      <w:pPr>
        <w:pStyle w:val="Prrafodelista1"/>
        <w:ind w:left="0"/>
        <w:rPr>
          <w:lang w:val="es-CL"/>
        </w:rPr>
        <w:sectPr w:rsidR="00997297" w:rsidSect="00997297">
          <w:pgSz w:w="15842" w:h="12242" w:orient="landscape" w:code="1"/>
          <w:pgMar w:top="1418" w:right="1134" w:bottom="1134" w:left="1134" w:header="851" w:footer="1134" w:gutter="0"/>
          <w:cols w:space="708"/>
          <w:titlePg/>
          <w:docGrid w:linePitch="360"/>
        </w:sectPr>
      </w:pPr>
      <w:r w:rsidRPr="00F64FD2">
        <w:rPr>
          <w:sz w:val="20"/>
          <w:szCs w:val="20"/>
        </w:rPr>
        <w:t xml:space="preserve">(*) AJTE, propietario de la obra de ampliación “Obra nueva Línea Ancoa - A. Jahuel 2x500 kV (2do cto)”, informó las características de las labores de ampliación efectuadas, pero no </w:t>
      </w:r>
      <w:r>
        <w:rPr>
          <w:sz w:val="20"/>
          <w:szCs w:val="20"/>
        </w:rPr>
        <w:t>presentó</w:t>
      </w:r>
      <w:r w:rsidRPr="00F64FD2">
        <w:rPr>
          <w:sz w:val="20"/>
          <w:szCs w:val="20"/>
        </w:rPr>
        <w:t xml:space="preserve"> un desglose de los costos </w:t>
      </w:r>
      <w:r>
        <w:rPr>
          <w:sz w:val="20"/>
          <w:szCs w:val="20"/>
        </w:rPr>
        <w:t>respectivos</w:t>
      </w:r>
      <w:r w:rsidRPr="00F64FD2">
        <w:rPr>
          <w:sz w:val="20"/>
          <w:szCs w:val="20"/>
        </w:rPr>
        <w:t>. El Consultor determinará el V.I. y el A.V.I. correspondiente en el Informe Final Preliminar, y una vez remitidos los antecedentes respectivos.</w:t>
      </w:r>
    </w:p>
    <w:p w14:paraId="7AD8C394" w14:textId="32449894" w:rsidR="0079428C" w:rsidRPr="009E32FD" w:rsidRDefault="00D73D5B" w:rsidP="0079428C">
      <w:pPr>
        <w:pStyle w:val="Prrafodelista1"/>
        <w:ind w:left="0"/>
        <w:rPr>
          <w:lang w:val="es-CL"/>
        </w:rPr>
      </w:pPr>
      <w:r>
        <w:rPr>
          <w:lang w:val="es-CL"/>
        </w:rPr>
        <w:t xml:space="preserve"> </w:t>
      </w:r>
    </w:p>
    <w:p w14:paraId="68D40531" w14:textId="77777777" w:rsidR="009E32FD" w:rsidRPr="009E32FD" w:rsidRDefault="009E32FD" w:rsidP="009E32FD">
      <w:pPr>
        <w:pStyle w:val="Ttulo1"/>
      </w:pPr>
      <w:bookmarkStart w:id="325" w:name="_Toc34687274"/>
      <w:r w:rsidRPr="009E32FD">
        <w:t xml:space="preserve">DETERMINACIÓN DEL </w:t>
      </w:r>
      <w:r w:rsidR="00E27D80">
        <w:t>V.A.T.T.</w:t>
      </w:r>
      <w:bookmarkEnd w:id="325"/>
    </w:p>
    <w:p w14:paraId="28D80F87" w14:textId="77777777" w:rsidR="001B4185" w:rsidRPr="001B4185" w:rsidRDefault="001B4185" w:rsidP="001B4185">
      <w:pPr>
        <w:pStyle w:val="Ttulo2"/>
        <w:rPr>
          <w:sz w:val="24"/>
          <w:szCs w:val="24"/>
        </w:rPr>
      </w:pPr>
      <w:bookmarkStart w:id="326" w:name="_Toc27147801"/>
      <w:bookmarkStart w:id="327" w:name="_Toc34687275"/>
      <w:r w:rsidRPr="001B4185">
        <w:rPr>
          <w:sz w:val="24"/>
          <w:szCs w:val="24"/>
        </w:rPr>
        <w:t>Antecedentes generales</w:t>
      </w:r>
      <w:bookmarkEnd w:id="326"/>
      <w:bookmarkEnd w:id="327"/>
    </w:p>
    <w:p w14:paraId="03D88903" w14:textId="77777777" w:rsidR="001B4185" w:rsidRPr="001B4185" w:rsidRDefault="001B4185" w:rsidP="001B4185">
      <w:pPr>
        <w:pStyle w:val="Ttulo3"/>
      </w:pPr>
      <w:bookmarkStart w:id="328" w:name="_Toc27147802"/>
      <w:bookmarkStart w:id="329" w:name="_Toc34687276"/>
      <w:r w:rsidRPr="001B4185">
        <w:t>Conceptos Generales</w:t>
      </w:r>
      <w:bookmarkEnd w:id="328"/>
      <w:bookmarkEnd w:id="329"/>
    </w:p>
    <w:p w14:paraId="250CD8D6" w14:textId="77777777" w:rsidR="001B4185" w:rsidRPr="00EE2F47" w:rsidRDefault="001B4185" w:rsidP="001B4185">
      <w:r w:rsidRPr="00EE2F47">
        <w:t>Se define el Valor Anual de la Transmisión por Tramo, o V.A.T.T. como la suma de la Anualidad del Valor de Inversión del tramo en estudio (A.V.I.), y de los costos anuales de operación, mantenimiento y administración del tramo respectivo (C.O.M.A.), ajustados por los efectos de impuestos a la renta.</w:t>
      </w:r>
    </w:p>
    <w:p w14:paraId="78E74BAD" w14:textId="77777777" w:rsidR="001B4185" w:rsidRPr="00EE2F47" w:rsidRDefault="001B4185" w:rsidP="001B4185">
      <w:r w:rsidRPr="00EE2F47">
        <w:t>Así, el A.V.I. -o anualidad del V.I.- correspondiente a la anualidad del valor de inversión de un tramo de transporte o de subestación, se establece como una componente del V.A.T.T., y se define como la suma de las anualidades del valor de inversión de cada tipo de instalación que componen el tramo de transporte o de subestación, incluida la anualidad de los derechos relacionados con el uso de suelo y medio ambiente</w:t>
      </w:r>
      <w:r w:rsidRPr="00047802">
        <w:rPr>
          <w:vertAlign w:val="superscript"/>
        </w:rPr>
        <w:footnoteReference w:id="26"/>
      </w:r>
      <w:r w:rsidRPr="00EE2F47">
        <w:t>.</w:t>
      </w:r>
    </w:p>
    <w:p w14:paraId="5C4F260E" w14:textId="77777777" w:rsidR="001B4185" w:rsidRPr="00EE2F47" w:rsidRDefault="001B4185" w:rsidP="001B4185">
      <w:r w:rsidRPr="00EE2F47">
        <w:t>En tanto anualidad de componentes de inversión, el A.V.I. de las instalaciones existentes debe calcularse considerando la vida útil de cada tipo de instalación o componente, así como la tasa de descuento correspondiente, esta última según la definición y procedimiento de determinación establecidos a estos efectos en el Artículo 118° y Artículo 119° de la LGSE respectivamente.</w:t>
      </w:r>
    </w:p>
    <w:p w14:paraId="6373CAD0" w14:textId="77777777" w:rsidR="001B4185" w:rsidRPr="00EE2F47" w:rsidRDefault="001B4185" w:rsidP="001B4185">
      <w:r w:rsidRPr="00EE2F47">
        <w:t>De acuerdo a las señaladas disposiciones legales, la tasa de descuento a utilizar para determinar el V.A.T.T. aplicable al cuadrienio 2020-2023 corresponde al 7,00%, según se consigna en el Informe Técnico de la CNE a que se refiere el Artículo 119°, y que contiene el valor de ésta, así como el de sus diferentes componentes</w:t>
      </w:r>
      <w:r w:rsidRPr="00047802">
        <w:rPr>
          <w:vertAlign w:val="superscript"/>
        </w:rPr>
        <w:footnoteReference w:id="27"/>
      </w:r>
      <w:r w:rsidRPr="00EE2F47">
        <w:t>.</w:t>
      </w:r>
    </w:p>
    <w:p w14:paraId="6C3884B2" w14:textId="77777777" w:rsidR="001B4185" w:rsidRDefault="001B4185" w:rsidP="001B4185">
      <w:bookmarkStart w:id="330" w:name="_Hlk10546588"/>
      <w:r w:rsidRPr="00EE2F47">
        <w:t>Por su parte, la vida útil de las componentes de inversión a considerar, establecidas en años, corresponde a las indicadas en el Informe Técnico establecido en el artículo 104° de la LGSE</w:t>
      </w:r>
      <w:r w:rsidRPr="00047802">
        <w:rPr>
          <w:vertAlign w:val="superscript"/>
        </w:rPr>
        <w:footnoteReference w:id="28"/>
      </w:r>
      <w:r w:rsidRPr="00EE2F47">
        <w:t>.</w:t>
      </w:r>
    </w:p>
    <w:p w14:paraId="4F479986" w14:textId="77777777" w:rsidR="001B4185" w:rsidRPr="00EE2F47" w:rsidRDefault="001B4185" w:rsidP="001B4185">
      <w:pPr>
        <w:pStyle w:val="Ttulo3"/>
      </w:pPr>
      <w:bookmarkStart w:id="331" w:name="_Toc27147803"/>
      <w:bookmarkStart w:id="332" w:name="_Toc34687277"/>
      <w:bookmarkEnd w:id="330"/>
      <w:r w:rsidRPr="00EE2F47">
        <w:t>V.A.T.T. y Tipos de Obras de Transmisión</w:t>
      </w:r>
      <w:bookmarkEnd w:id="331"/>
      <w:bookmarkEnd w:id="332"/>
    </w:p>
    <w:p w14:paraId="08D98313" w14:textId="77777777" w:rsidR="001B4185" w:rsidRPr="00EE2F47" w:rsidRDefault="001B4185" w:rsidP="001B4185">
      <w:r w:rsidRPr="00EE2F47">
        <w:t xml:space="preserve">Conforme a las disposiciones de la LGSE, la determinación del V.A.T.T. se efectuará en consideración a si las instalaciones son existentes o si se han desarrollado como obras nuevas u obras de ampliación. </w:t>
      </w:r>
    </w:p>
    <w:p w14:paraId="1B8617C4" w14:textId="77777777" w:rsidR="001B4185" w:rsidRPr="00EE2F47" w:rsidRDefault="001B4185" w:rsidP="001B4185">
      <w:r w:rsidRPr="00EE2F47">
        <w:t>En efecto, el Artículo 99° de la LGSE señala que en el caso de obras nuevas el valor anual de la transmisión por tramo resultante de la licitación y su fórmula de indexación constituirá su remuneración por cinco períodos tarifarios a partir de su entrada en operación, transcurridos los cuales las instalaciones y su valorización deberán ser revisadas y actualizadas en el proceso de tarificación de la transmisión correspondiente.</w:t>
      </w:r>
    </w:p>
    <w:p w14:paraId="024A85F6" w14:textId="335D249C" w:rsidR="001B4185" w:rsidRPr="00EE2F47" w:rsidRDefault="001B4185" w:rsidP="001B4185">
      <w:r w:rsidRPr="00EE2F47">
        <w:t>Por su parte, y respecto a las obras de ampliación, la misma disposición establece que el propietario de éstas recibirá como remuneración el V.A.T.T., compuesto por el A.V.I. más el C.O.M.A. correspondiente, considerando los ajustes por efectos de impuestos a la renta, y en que el A.V.I. será determinado considerando el V.I. adjudicado y la tasa de descuento correspondiente utilizada en el estudio de valorización vigente al momento de la adjudicación. La ley añade que el A.V.I. resultante le corresponderá al propietario por cinco períodos tarifarios a partir de la entrada en operación de la obra de ampliación respectiva, transcurridos los cuales las instalaciones y su valorización deberán ser revisadas y actualizadas en el proceso de tarificación de la transmisión correspondiente.</w:t>
      </w:r>
    </w:p>
    <w:p w14:paraId="0001D3FC" w14:textId="77777777" w:rsidR="001B4185" w:rsidRDefault="001B4185" w:rsidP="001B4185">
      <w:r w:rsidRPr="00EE2F47">
        <w:t>De esta forma, la determinación del V.A.T.T. debe efectuarse en consideración al tipo de obra de transmisión de que se trate -obra existente, obra nueva u obra de ampliación- conforme se señala en el punto siguiente.</w:t>
      </w:r>
    </w:p>
    <w:p w14:paraId="612E2511" w14:textId="77777777" w:rsidR="001B4185" w:rsidRDefault="001B4185" w:rsidP="001B4185"/>
    <w:p w14:paraId="4250E8B1" w14:textId="77777777" w:rsidR="00697FF4" w:rsidRPr="00EE2F47" w:rsidRDefault="00697FF4" w:rsidP="001B4185"/>
    <w:p w14:paraId="34FBB075" w14:textId="77777777" w:rsidR="001B4185" w:rsidRPr="00F55404" w:rsidRDefault="001B4185" w:rsidP="00F55404">
      <w:pPr>
        <w:pStyle w:val="Ttulo2"/>
        <w:rPr>
          <w:sz w:val="24"/>
          <w:szCs w:val="24"/>
        </w:rPr>
      </w:pPr>
      <w:bookmarkStart w:id="333" w:name="_Toc27147804"/>
      <w:bookmarkStart w:id="334" w:name="_Toc34687278"/>
      <w:r w:rsidRPr="00F55404">
        <w:rPr>
          <w:sz w:val="24"/>
          <w:szCs w:val="24"/>
        </w:rPr>
        <w:t>Disposiciones de las bases</w:t>
      </w:r>
      <w:bookmarkEnd w:id="333"/>
      <w:bookmarkEnd w:id="334"/>
    </w:p>
    <w:p w14:paraId="36AD5065" w14:textId="77777777" w:rsidR="001B4185" w:rsidRPr="00F55404" w:rsidRDefault="001B4185" w:rsidP="00F55404">
      <w:pPr>
        <w:pStyle w:val="Ttulo3"/>
      </w:pPr>
      <w:bookmarkStart w:id="335" w:name="_Toc27147805"/>
      <w:bookmarkStart w:id="336" w:name="_Toc34687279"/>
      <w:r w:rsidRPr="00F55404">
        <w:t>Definición del V.A.T.T.</w:t>
      </w:r>
      <w:bookmarkEnd w:id="335"/>
      <w:bookmarkEnd w:id="336"/>
    </w:p>
    <w:p w14:paraId="31F20F01" w14:textId="77777777" w:rsidR="001B4185" w:rsidRPr="00EE2F47" w:rsidRDefault="001B4185" w:rsidP="001B4185">
      <w:r w:rsidRPr="00EE2F47">
        <w:t>La definición del Valor Anual de la Transmisión por Tramo o V.A.T.T. se presenta expresamente en el punto 3.1 de las Bases del Estudio, y que señala:</w:t>
      </w:r>
    </w:p>
    <w:p w14:paraId="2E366AD0" w14:textId="77777777" w:rsidR="001B4185" w:rsidRPr="00EE2F47" w:rsidRDefault="001B4185" w:rsidP="001B4185">
      <w:pPr>
        <w:ind w:left="708"/>
      </w:pPr>
      <w:r w:rsidRPr="00EE2F47">
        <w:t>“Por Valor Anual de la Transmisión por Tramo, o V.A.T.T., se entenderá la suma de la Anualidad del Valor de Inversión del tramo en estudio (A.V.I.), más los costos anuales de operación, mantenimiento y administración del tramo respectivo (C.O.M.A.), ajustados por los efectos de impuestos a la renta”</w:t>
      </w:r>
      <w:r w:rsidRPr="00CC4FE5">
        <w:rPr>
          <w:rStyle w:val="Refdenotaalpie"/>
        </w:rPr>
        <w:footnoteReference w:id="29"/>
      </w:r>
      <w:r w:rsidRPr="00CC4FE5">
        <w:t>.</w:t>
      </w:r>
    </w:p>
    <w:p w14:paraId="78AC720B" w14:textId="77777777" w:rsidR="001B4185" w:rsidRPr="00EE2F47" w:rsidRDefault="001B4185" w:rsidP="00F55404">
      <w:pPr>
        <w:pStyle w:val="Ttulo3"/>
      </w:pPr>
      <w:bookmarkStart w:id="337" w:name="_Toc27147806"/>
      <w:bookmarkStart w:id="338" w:name="_Toc34687280"/>
      <w:r w:rsidRPr="00EE2F47">
        <w:t>Componentes del V.A.T.T.</w:t>
      </w:r>
      <w:bookmarkEnd w:id="337"/>
      <w:bookmarkEnd w:id="338"/>
    </w:p>
    <w:p w14:paraId="0AA010F4" w14:textId="77777777" w:rsidR="001B4185" w:rsidRPr="00EE2F47" w:rsidRDefault="001B4185" w:rsidP="001B4185">
      <w:r w:rsidRPr="00EE2F47">
        <w:t>La formulación específica para la determinación del V.A.T.T. se establece en el punto 3.9 de las Bases, el que se refiere a las componentes del V.A.T.T.</w:t>
      </w:r>
      <w:r w:rsidRPr="00CC4FE5">
        <w:rPr>
          <w:rStyle w:val="Refdenotaalpie"/>
        </w:rPr>
        <w:footnoteReference w:id="30"/>
      </w:r>
    </w:p>
    <w:p w14:paraId="39B704FB" w14:textId="77777777" w:rsidR="001B4185" w:rsidRPr="00EE2F47" w:rsidRDefault="001B4185" w:rsidP="001B4185">
      <w:r w:rsidRPr="00EE2F47">
        <w:t>En efecto, y de acuerdo a lo establecido en la Resolución Exenta N°380, las Bases indican que el V.A.T.T. de cada tramo, y por tipo de instalación, se determinará conforme a las siguientes expresiones:</w:t>
      </w:r>
    </w:p>
    <w:p w14:paraId="3D46EEB2" w14:textId="77777777" w:rsidR="001B4185" w:rsidRPr="00CC4FE5" w:rsidRDefault="001B4185" w:rsidP="002E20CA">
      <w:pPr>
        <w:numPr>
          <w:ilvl w:val="0"/>
          <w:numId w:val="12"/>
        </w:numPr>
        <w:ind w:left="567" w:hanging="567"/>
        <w:rPr>
          <w:b/>
          <w:bCs/>
        </w:rPr>
      </w:pPr>
      <w:r w:rsidRPr="00CC4FE5">
        <w:rPr>
          <w:b/>
          <w:bCs/>
        </w:rPr>
        <w:t>Para Instalaciones Existentes:</w:t>
      </w:r>
    </w:p>
    <w:p w14:paraId="653FF083" w14:textId="77777777" w:rsidR="001B4185" w:rsidRPr="00C636E3" w:rsidRDefault="00F5226B" w:rsidP="001B4185">
      <w:pPr>
        <w:jc w:val="center"/>
      </w:pPr>
      <m:oMathPara>
        <m:oMath>
          <m:sSub>
            <m:sSubPr>
              <m:ctrlPr>
                <w:rPr>
                  <w:rFonts w:ascii="Cambria Math" w:hAnsi="Cambria Math"/>
                </w:rPr>
              </m:ctrlPr>
            </m:sSubPr>
            <m:e>
              <m:r>
                <w:rPr>
                  <w:rFonts w:ascii="Cambria Math" w:hAnsi="Cambria Math"/>
                </w:rPr>
                <m:t>(V.A.T.T)</m:t>
              </m:r>
            </m:e>
            <m:sub>
              <m:r>
                <w:rPr>
                  <w:rFonts w:ascii="Cambria Math" w:hAnsi="Cambria Math"/>
                </w:rPr>
                <m:t>i</m:t>
              </m:r>
            </m:sub>
          </m:sSub>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(A.V.I.</m:t>
                  </m:r>
                </m:e>
                <m:sub>
                  <m:r>
                    <w:rPr>
                      <w:rFonts w:ascii="Cambria Math" w:hAnsi="Cambria Math"/>
                    </w:rPr>
                    <m:t>IIEE</m:t>
                  </m:r>
                </m:sub>
              </m:sSub>
              <m:r>
                <w:rPr>
                  <w:rFonts w:ascii="Cambria Math" w:hAnsi="Cambria Math"/>
                </w:rPr>
                <m:t>)</m:t>
              </m:r>
            </m:e>
            <m:sub>
              <m:r>
                <w:rPr>
                  <w:rFonts w:ascii="Cambria Math" w:hAnsi="Cambria Math"/>
                </w:rPr>
                <m:t>i</m:t>
              </m:r>
            </m:sub>
          </m:sSub>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(C.O.M.A.</m:t>
                  </m:r>
                </m:e>
                <m:sub>
                  <m:r>
                    <w:rPr>
                      <w:rFonts w:ascii="Cambria Math" w:hAnsi="Cambria Math"/>
                    </w:rPr>
                    <m:t>IIEE</m:t>
                  </m:r>
                </m:sub>
              </m:sSub>
              <m:r>
                <w:rPr>
                  <w:rFonts w:ascii="Cambria Math" w:hAnsi="Cambria Math"/>
                </w:rPr>
                <m:t>)</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(A.E.I.R.)</m:t>
              </m:r>
            </m:e>
            <m:sub>
              <m:r>
                <w:rPr>
                  <w:rFonts w:ascii="Cambria Math" w:hAnsi="Cambria Math"/>
                </w:rPr>
                <m:t>i</m:t>
              </m:r>
            </m:sub>
          </m:sSub>
        </m:oMath>
      </m:oMathPara>
    </w:p>
    <w:p w14:paraId="60FAC73A" w14:textId="77777777" w:rsidR="001B4185" w:rsidRPr="00735C00" w:rsidRDefault="001B4185" w:rsidP="002E20CA">
      <w:pPr>
        <w:numPr>
          <w:ilvl w:val="0"/>
          <w:numId w:val="12"/>
        </w:numPr>
        <w:ind w:left="567" w:hanging="567"/>
        <w:rPr>
          <w:b/>
          <w:bCs/>
        </w:rPr>
      </w:pPr>
      <w:r w:rsidRPr="00735C00">
        <w:rPr>
          <w:b/>
          <w:bCs/>
        </w:rPr>
        <w:t>Para Obras Nuevas:</w:t>
      </w:r>
    </w:p>
    <w:p w14:paraId="0FB9DCA8" w14:textId="77777777" w:rsidR="001B4185" w:rsidRPr="00C636E3" w:rsidRDefault="00F5226B" w:rsidP="001B4185">
      <w:pPr>
        <w:jc w:val="center"/>
      </w:pPr>
      <m:oMathPara>
        <m:oMath>
          <m:sSub>
            <m:sSubPr>
              <m:ctrlPr>
                <w:rPr>
                  <w:rFonts w:ascii="Cambria Math" w:hAnsi="Cambria Math"/>
                </w:rPr>
              </m:ctrlPr>
            </m:sSubPr>
            <m:e>
              <m:r>
                <w:rPr>
                  <w:rFonts w:ascii="Cambria Math" w:hAnsi="Cambria Math"/>
                </w:rPr>
                <m:t>(V.A.T.T)</m:t>
              </m:r>
            </m:e>
            <m:sub>
              <m:r>
                <w:rPr>
                  <w:rFonts w:ascii="Cambria Math" w:hAnsi="Cambria Math"/>
                </w:rPr>
                <m:t>i</m:t>
              </m:r>
            </m:sub>
          </m:sSub>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(V.A.T.T.</m:t>
                  </m:r>
                </m:e>
                <m:sub>
                  <m:r>
                    <w:rPr>
                      <w:rFonts w:ascii="Cambria Math" w:hAnsi="Cambria Math"/>
                    </w:rPr>
                    <m:t>OONN</m:t>
                  </m:r>
                </m:sub>
              </m:sSub>
              <m:r>
                <w:rPr>
                  <w:rFonts w:ascii="Cambria Math" w:hAnsi="Cambria Math"/>
                </w:rPr>
                <m:t>)</m:t>
              </m:r>
            </m:e>
            <m:sub>
              <m:r>
                <w:rPr>
                  <w:rFonts w:ascii="Cambria Math" w:hAnsi="Cambria Math"/>
                </w:rPr>
                <m:t>i</m:t>
              </m:r>
            </m:sub>
          </m:sSub>
        </m:oMath>
      </m:oMathPara>
    </w:p>
    <w:p w14:paraId="6852D1AD" w14:textId="77777777" w:rsidR="001B4185" w:rsidRPr="00735C00" w:rsidRDefault="001B4185" w:rsidP="002E20CA">
      <w:pPr>
        <w:numPr>
          <w:ilvl w:val="0"/>
          <w:numId w:val="12"/>
        </w:numPr>
        <w:ind w:left="567" w:hanging="567"/>
        <w:rPr>
          <w:b/>
          <w:bCs/>
        </w:rPr>
      </w:pPr>
      <w:r w:rsidRPr="00735C00">
        <w:rPr>
          <w:b/>
          <w:bCs/>
        </w:rPr>
        <w:t>Para Obras de Ampliación:</w:t>
      </w:r>
    </w:p>
    <w:p w14:paraId="4C42BFF9" w14:textId="77777777" w:rsidR="001B4185" w:rsidRPr="00C636E3" w:rsidRDefault="00F5226B" w:rsidP="001B4185">
      <w:pPr>
        <w:jc w:val="center"/>
      </w:pPr>
      <m:oMathPara>
        <m:oMath>
          <m:sSub>
            <m:sSubPr>
              <m:ctrlPr>
                <w:rPr>
                  <w:rFonts w:ascii="Cambria Math" w:hAnsi="Cambria Math"/>
                </w:rPr>
              </m:ctrlPr>
            </m:sSubPr>
            <m:e>
              <m:r>
                <w:rPr>
                  <w:rFonts w:ascii="Cambria Math" w:hAnsi="Cambria Math"/>
                </w:rPr>
                <m:t>(V.A.T.T)</m:t>
              </m:r>
            </m:e>
            <m:sub>
              <m:r>
                <w:rPr>
                  <w:rFonts w:ascii="Cambria Math" w:hAnsi="Cambria Math"/>
                </w:rPr>
                <m:t>i</m:t>
              </m:r>
            </m:sub>
          </m:sSub>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(A.V.I.</m:t>
                  </m:r>
                </m:e>
                <m:sub>
                  <m:r>
                    <w:rPr>
                      <w:rFonts w:ascii="Cambria Math" w:hAnsi="Cambria Math"/>
                    </w:rPr>
                    <m:t>OOAA</m:t>
                  </m:r>
                </m:sub>
              </m:sSub>
              <m:r>
                <w:rPr>
                  <w:rFonts w:ascii="Cambria Math" w:hAnsi="Cambria Math"/>
                </w:rPr>
                <m:t>)</m:t>
              </m:r>
            </m:e>
            <m:sub>
              <m:r>
                <w:rPr>
                  <w:rFonts w:ascii="Cambria Math" w:hAnsi="Cambria Math"/>
                </w:rPr>
                <m:t>i</m:t>
              </m:r>
            </m:sub>
          </m:sSub>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(C.O.M.A.</m:t>
                  </m:r>
                </m:e>
                <m:sub>
                  <m:r>
                    <w:rPr>
                      <w:rFonts w:ascii="Cambria Math" w:hAnsi="Cambria Math"/>
                    </w:rPr>
                    <m:t>OOAA</m:t>
                  </m:r>
                </m:sub>
              </m:sSub>
              <m:r>
                <w:rPr>
                  <w:rFonts w:ascii="Cambria Math" w:hAnsi="Cambria Math"/>
                </w:rPr>
                <m:t>)</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(A.E.I.R.)</m:t>
              </m:r>
            </m:e>
            <m:sub>
              <m:r>
                <w:rPr>
                  <w:rFonts w:ascii="Cambria Math" w:hAnsi="Cambria Math"/>
                </w:rPr>
                <m:t>i</m:t>
              </m:r>
            </m:sub>
          </m:sSub>
        </m:oMath>
      </m:oMathPara>
    </w:p>
    <w:p w14:paraId="37CBA367" w14:textId="77777777" w:rsidR="001B4185" w:rsidRPr="00EE2F47" w:rsidRDefault="001B4185" w:rsidP="001B4185">
      <w:r w:rsidRPr="00EE2F47">
        <w:t>Donde:</w:t>
      </w:r>
    </w:p>
    <w:tbl>
      <w:tblPr>
        <w:tblW w:w="0" w:type="auto"/>
        <w:jc w:val="center"/>
        <w:tblLayout w:type="fixed"/>
        <w:tblCellMar>
          <w:left w:w="57" w:type="dxa"/>
          <w:right w:w="57" w:type="dxa"/>
        </w:tblCellMar>
        <w:tblLook w:val="04A0" w:firstRow="1" w:lastRow="0" w:firstColumn="1" w:lastColumn="0" w:noHBand="0" w:noVBand="1"/>
      </w:tblPr>
      <w:tblGrid>
        <w:gridCol w:w="2268"/>
        <w:gridCol w:w="7371"/>
      </w:tblGrid>
      <w:tr w:rsidR="001B4185" w:rsidRPr="002C2818" w14:paraId="461EC9E7" w14:textId="77777777">
        <w:trPr>
          <w:jc w:val="center"/>
        </w:trPr>
        <w:tc>
          <w:tcPr>
            <w:tcW w:w="2268" w:type="dxa"/>
            <w:shd w:val="clear" w:color="auto" w:fill="auto"/>
            <w:vAlign w:val="center"/>
          </w:tcPr>
          <w:p w14:paraId="1A486822" w14:textId="77777777" w:rsidR="001B4185" w:rsidRPr="002C2818" w:rsidRDefault="001B4185" w:rsidP="001B4185">
            <w:pPr>
              <w:spacing w:before="40" w:after="40" w:line="240" w:lineRule="auto"/>
            </w:pPr>
            <w:r w:rsidRPr="002C2818">
              <w:t>(V.A.T.T.)</w:t>
            </w:r>
            <w:r w:rsidRPr="002C2818">
              <w:rPr>
                <w:vertAlign w:val="subscript"/>
              </w:rPr>
              <w:t>i</w:t>
            </w:r>
          </w:p>
        </w:tc>
        <w:tc>
          <w:tcPr>
            <w:tcW w:w="7371" w:type="dxa"/>
            <w:shd w:val="clear" w:color="auto" w:fill="auto"/>
          </w:tcPr>
          <w:p w14:paraId="66CF9F4A" w14:textId="77777777" w:rsidR="001B4185" w:rsidRPr="002C2818" w:rsidRDefault="001B4185" w:rsidP="001B4185">
            <w:pPr>
              <w:spacing w:before="40" w:after="40" w:line="240" w:lineRule="auto"/>
            </w:pPr>
            <w:r w:rsidRPr="002C2818">
              <w:t>: V.A.T.T. asociado al tramo “i”</w:t>
            </w:r>
          </w:p>
        </w:tc>
      </w:tr>
      <w:tr w:rsidR="001B4185" w:rsidRPr="002C2818" w14:paraId="4EE7023B" w14:textId="77777777">
        <w:trPr>
          <w:jc w:val="center"/>
        </w:trPr>
        <w:tc>
          <w:tcPr>
            <w:tcW w:w="2268" w:type="dxa"/>
            <w:shd w:val="clear" w:color="auto" w:fill="auto"/>
            <w:vAlign w:val="center"/>
          </w:tcPr>
          <w:p w14:paraId="26346B9A" w14:textId="77777777" w:rsidR="001B4185" w:rsidRPr="002C2818" w:rsidRDefault="001B4185" w:rsidP="001B4185">
            <w:pPr>
              <w:spacing w:before="40" w:after="40" w:line="240" w:lineRule="auto"/>
            </w:pPr>
            <w:r w:rsidRPr="002C2818">
              <w:t>(A.V.I.</w:t>
            </w:r>
            <w:r w:rsidRPr="002C2818">
              <w:rPr>
                <w:vertAlign w:val="subscript"/>
              </w:rPr>
              <w:t>IIEE</w:t>
            </w:r>
            <w:r w:rsidRPr="002C2818">
              <w:t>)</w:t>
            </w:r>
            <w:r w:rsidRPr="002C2818">
              <w:rPr>
                <w:vertAlign w:val="subscript"/>
              </w:rPr>
              <w:t>i</w:t>
            </w:r>
          </w:p>
        </w:tc>
        <w:tc>
          <w:tcPr>
            <w:tcW w:w="7371" w:type="dxa"/>
            <w:shd w:val="clear" w:color="auto" w:fill="auto"/>
          </w:tcPr>
          <w:p w14:paraId="4410ADC4" w14:textId="77777777" w:rsidR="001B4185" w:rsidRPr="002C2818" w:rsidRDefault="001B4185" w:rsidP="001B4185">
            <w:pPr>
              <w:spacing w:before="40" w:after="40" w:line="240" w:lineRule="auto"/>
            </w:pPr>
            <w:r w:rsidRPr="002C2818">
              <w:t>: A.V.I. asociado al tramo existente “i”</w:t>
            </w:r>
          </w:p>
        </w:tc>
      </w:tr>
      <w:tr w:rsidR="001B4185" w:rsidRPr="002C2818" w14:paraId="11F41309" w14:textId="77777777">
        <w:trPr>
          <w:jc w:val="center"/>
        </w:trPr>
        <w:tc>
          <w:tcPr>
            <w:tcW w:w="2268" w:type="dxa"/>
            <w:shd w:val="clear" w:color="auto" w:fill="auto"/>
            <w:vAlign w:val="center"/>
          </w:tcPr>
          <w:p w14:paraId="0F4D7CF6" w14:textId="77777777" w:rsidR="001B4185" w:rsidRPr="002C2818" w:rsidRDefault="001B4185" w:rsidP="001B4185">
            <w:pPr>
              <w:spacing w:before="40" w:after="40" w:line="240" w:lineRule="auto"/>
            </w:pPr>
            <w:r w:rsidRPr="002C2818">
              <w:t>(C.O.M.A.</w:t>
            </w:r>
            <w:r w:rsidRPr="002C2818">
              <w:rPr>
                <w:vertAlign w:val="subscript"/>
              </w:rPr>
              <w:t>IIEE</w:t>
            </w:r>
            <w:r w:rsidRPr="002C2818">
              <w:t>)</w:t>
            </w:r>
            <w:r w:rsidRPr="002C2818">
              <w:rPr>
                <w:vertAlign w:val="subscript"/>
              </w:rPr>
              <w:t>i</w:t>
            </w:r>
          </w:p>
        </w:tc>
        <w:tc>
          <w:tcPr>
            <w:tcW w:w="7371" w:type="dxa"/>
            <w:shd w:val="clear" w:color="auto" w:fill="auto"/>
          </w:tcPr>
          <w:p w14:paraId="2ABF8F95" w14:textId="77777777" w:rsidR="001B4185" w:rsidRPr="002C2818" w:rsidRDefault="001B4185" w:rsidP="001B4185">
            <w:pPr>
              <w:spacing w:before="40" w:after="40" w:line="240" w:lineRule="auto"/>
            </w:pPr>
            <w:r w:rsidRPr="002C2818">
              <w:t>: C.O.M.A. asociado al tramo existente “i”</w:t>
            </w:r>
          </w:p>
        </w:tc>
      </w:tr>
      <w:tr w:rsidR="001B4185" w:rsidRPr="002C2818" w14:paraId="50A95ABB" w14:textId="77777777">
        <w:trPr>
          <w:jc w:val="center"/>
        </w:trPr>
        <w:tc>
          <w:tcPr>
            <w:tcW w:w="2268" w:type="dxa"/>
            <w:shd w:val="clear" w:color="auto" w:fill="auto"/>
            <w:vAlign w:val="center"/>
          </w:tcPr>
          <w:p w14:paraId="5B8AF3D2" w14:textId="77777777" w:rsidR="001B4185" w:rsidRPr="002C2818" w:rsidRDefault="001B4185" w:rsidP="001B4185">
            <w:pPr>
              <w:spacing w:before="40" w:after="40" w:line="240" w:lineRule="auto"/>
            </w:pPr>
            <w:r w:rsidRPr="002C2818">
              <w:t>(A.E.I.R.)</w:t>
            </w:r>
            <w:r w:rsidRPr="00CD6359">
              <w:rPr>
                <w:vertAlign w:val="subscript"/>
              </w:rPr>
              <w:t>i</w:t>
            </w:r>
          </w:p>
        </w:tc>
        <w:tc>
          <w:tcPr>
            <w:tcW w:w="7371" w:type="dxa"/>
            <w:shd w:val="clear" w:color="auto" w:fill="auto"/>
          </w:tcPr>
          <w:p w14:paraId="7CB897ED" w14:textId="77777777" w:rsidR="001B4185" w:rsidRPr="002C2818" w:rsidRDefault="001B4185" w:rsidP="001B4185">
            <w:pPr>
              <w:spacing w:before="40" w:after="40" w:line="240" w:lineRule="auto"/>
            </w:pPr>
            <w:r w:rsidRPr="002C2818">
              <w:t>: Ajuste por los Efectos de Impuestos a la Renta asociados al tramo “i”</w:t>
            </w:r>
          </w:p>
        </w:tc>
      </w:tr>
      <w:tr w:rsidR="001B4185" w:rsidRPr="002C2818" w14:paraId="77C4F783" w14:textId="77777777">
        <w:trPr>
          <w:jc w:val="center"/>
        </w:trPr>
        <w:tc>
          <w:tcPr>
            <w:tcW w:w="2268" w:type="dxa"/>
            <w:shd w:val="clear" w:color="auto" w:fill="auto"/>
            <w:vAlign w:val="center"/>
          </w:tcPr>
          <w:p w14:paraId="0C0A86B0" w14:textId="77777777" w:rsidR="001B4185" w:rsidRPr="002C2818" w:rsidRDefault="001B4185" w:rsidP="001B4185">
            <w:pPr>
              <w:spacing w:before="40" w:after="40" w:line="240" w:lineRule="auto"/>
            </w:pPr>
            <w:r w:rsidRPr="002C2818">
              <w:t>(V.A.T.T.</w:t>
            </w:r>
            <w:r w:rsidRPr="002C2818">
              <w:rPr>
                <w:vertAlign w:val="subscript"/>
              </w:rPr>
              <w:t>OONN</w:t>
            </w:r>
            <w:r w:rsidRPr="002C2818">
              <w:t>)</w:t>
            </w:r>
            <w:r w:rsidRPr="002C2818">
              <w:rPr>
                <w:vertAlign w:val="subscript"/>
              </w:rPr>
              <w:t>i</w:t>
            </w:r>
          </w:p>
        </w:tc>
        <w:tc>
          <w:tcPr>
            <w:tcW w:w="7371" w:type="dxa"/>
            <w:shd w:val="clear" w:color="auto" w:fill="auto"/>
          </w:tcPr>
          <w:p w14:paraId="0ADDBDBF" w14:textId="77777777" w:rsidR="001B4185" w:rsidRPr="002C2818" w:rsidRDefault="001B4185" w:rsidP="001B4185">
            <w:pPr>
              <w:spacing w:before="40" w:after="40" w:line="240" w:lineRule="auto"/>
            </w:pPr>
            <w:r w:rsidRPr="002C2818">
              <w:t>: V.A.T.T. de las Obras Nuevas asociadas al tramo “i”</w:t>
            </w:r>
          </w:p>
        </w:tc>
      </w:tr>
      <w:tr w:rsidR="001B4185" w:rsidRPr="002C2818" w14:paraId="45A7A328" w14:textId="77777777">
        <w:trPr>
          <w:jc w:val="center"/>
        </w:trPr>
        <w:tc>
          <w:tcPr>
            <w:tcW w:w="2268" w:type="dxa"/>
            <w:shd w:val="clear" w:color="auto" w:fill="auto"/>
            <w:vAlign w:val="center"/>
          </w:tcPr>
          <w:p w14:paraId="5A586675" w14:textId="77777777" w:rsidR="001B4185" w:rsidRPr="002C2818" w:rsidRDefault="001B4185" w:rsidP="001B4185">
            <w:pPr>
              <w:spacing w:before="40" w:after="40" w:line="240" w:lineRule="auto"/>
            </w:pPr>
            <w:r w:rsidRPr="002C2818">
              <w:t>(A.V.I.</w:t>
            </w:r>
            <w:r w:rsidRPr="002C2818">
              <w:rPr>
                <w:vertAlign w:val="subscript"/>
              </w:rPr>
              <w:t>OOAA</w:t>
            </w:r>
            <w:r w:rsidRPr="002C2818">
              <w:t>)</w:t>
            </w:r>
            <w:r w:rsidRPr="002C2818">
              <w:rPr>
                <w:vertAlign w:val="subscript"/>
              </w:rPr>
              <w:t>i</w:t>
            </w:r>
          </w:p>
        </w:tc>
        <w:tc>
          <w:tcPr>
            <w:tcW w:w="7371" w:type="dxa"/>
            <w:shd w:val="clear" w:color="auto" w:fill="auto"/>
          </w:tcPr>
          <w:p w14:paraId="0C5F78BD" w14:textId="77777777" w:rsidR="001B4185" w:rsidRPr="002C2818" w:rsidRDefault="001B4185" w:rsidP="001B4185">
            <w:pPr>
              <w:spacing w:before="40" w:after="40" w:line="240" w:lineRule="auto"/>
            </w:pPr>
            <w:r w:rsidRPr="002C2818">
              <w:t>: A.V.I. de las Obras de Ampliación asociadas al tramo “i”</w:t>
            </w:r>
          </w:p>
        </w:tc>
      </w:tr>
      <w:tr w:rsidR="001B4185" w:rsidRPr="002C2818" w14:paraId="7DD0A7DE" w14:textId="77777777">
        <w:trPr>
          <w:jc w:val="center"/>
        </w:trPr>
        <w:tc>
          <w:tcPr>
            <w:tcW w:w="2268" w:type="dxa"/>
            <w:shd w:val="clear" w:color="auto" w:fill="auto"/>
            <w:vAlign w:val="center"/>
          </w:tcPr>
          <w:p w14:paraId="4B2B0DB9" w14:textId="77777777" w:rsidR="001B4185" w:rsidRPr="002C2818" w:rsidRDefault="001B4185" w:rsidP="001B4185">
            <w:pPr>
              <w:spacing w:before="40" w:after="40" w:line="240" w:lineRule="auto"/>
            </w:pPr>
            <w:r w:rsidRPr="002C2818">
              <w:t>(C.O.M.A.</w:t>
            </w:r>
            <w:r w:rsidRPr="002C2818">
              <w:rPr>
                <w:vertAlign w:val="subscript"/>
              </w:rPr>
              <w:t>OOAA</w:t>
            </w:r>
            <w:r w:rsidRPr="002C2818">
              <w:t>)</w:t>
            </w:r>
            <w:r w:rsidRPr="002C2818">
              <w:rPr>
                <w:vertAlign w:val="subscript"/>
              </w:rPr>
              <w:t>i</w:t>
            </w:r>
          </w:p>
        </w:tc>
        <w:tc>
          <w:tcPr>
            <w:tcW w:w="7371" w:type="dxa"/>
            <w:shd w:val="clear" w:color="auto" w:fill="auto"/>
          </w:tcPr>
          <w:p w14:paraId="4DBA4407" w14:textId="77777777" w:rsidR="001B4185" w:rsidRPr="002C2818" w:rsidRDefault="001B4185" w:rsidP="001B4185">
            <w:pPr>
              <w:spacing w:before="40" w:after="40" w:line="240" w:lineRule="auto"/>
            </w:pPr>
            <w:r w:rsidRPr="002C2818">
              <w:t>: C.O.M.A. de las Obras de Ampliación asociadas al tramo “i”</w:t>
            </w:r>
          </w:p>
        </w:tc>
      </w:tr>
    </w:tbl>
    <w:p w14:paraId="48C4DBFF" w14:textId="77777777" w:rsidR="00CD6359" w:rsidRDefault="00CD6359" w:rsidP="001B4185"/>
    <w:p w14:paraId="4338924A" w14:textId="77777777" w:rsidR="001B4185" w:rsidRPr="00EE2F47" w:rsidRDefault="001B4185" w:rsidP="001B4185">
      <w:r w:rsidRPr="00EE2F47">
        <w:t>Por su parte, las Bases establecen que el A.V.I. de los tramos, tanto de Instalaciones Existentes como de Obras de Ampliación, se determinará mediante la expresión:</w:t>
      </w:r>
    </w:p>
    <w:p w14:paraId="6C50F3C0" w14:textId="77777777" w:rsidR="001B4185" w:rsidRPr="00C636E3" w:rsidRDefault="00F5226B" w:rsidP="001B4185">
      <w:pPr>
        <w:spacing w:after="0"/>
        <w:jc w:val="center"/>
      </w:pPr>
      <m:oMathPara>
        <m:oMath>
          <m:sSub>
            <m:sSubPr>
              <m:ctrlPr>
                <w:rPr>
                  <w:rFonts w:ascii="Cambria Math" w:hAnsi="Cambria Math"/>
                </w:rPr>
              </m:ctrlPr>
            </m:sSubPr>
            <m:e>
              <m:sSub>
                <m:sSubPr>
                  <m:ctrlPr>
                    <w:rPr>
                      <w:rFonts w:ascii="Cambria Math" w:hAnsi="Cambria Math"/>
                    </w:rPr>
                  </m:ctrlPr>
                </m:sSubPr>
                <m:e>
                  <m:r>
                    <w:rPr>
                      <w:rFonts w:ascii="Cambria Math" w:hAnsi="Cambria Math"/>
                    </w:rPr>
                    <m:t>(A.V.I.</m:t>
                  </m:r>
                </m:e>
                <m:sub>
                  <m:r>
                    <w:rPr>
                      <w:rFonts w:ascii="Cambria Math" w:hAnsi="Cambria Math"/>
                    </w:rPr>
                    <m:t>TO</m:t>
                  </m:r>
                </m:sub>
              </m:sSub>
              <m:r>
                <w:rPr>
                  <w:rFonts w:ascii="Cambria Math" w:hAnsi="Cambria Math"/>
                </w:rPr>
                <m:t>)</m:t>
              </m:r>
            </m:e>
            <m:sub>
              <m:r>
                <w:rPr>
                  <w:rFonts w:ascii="Cambria Math" w:hAnsi="Cambria Math"/>
                </w:rPr>
                <m:t>i</m:t>
              </m:r>
            </m:sub>
          </m:sSub>
          <m:r>
            <w:rPr>
              <w:rFonts w:ascii="Cambria Math" w:hAnsi="Cambria Math"/>
            </w:rPr>
            <m:t>=</m:t>
          </m:r>
          <m:nary>
            <m:naryPr>
              <m:chr m:val="∑"/>
              <m:limLoc m:val="undOvr"/>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IEI-i</m:t>
                  </m:r>
                </m:sub>
              </m:sSub>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rPr>
                      </m:ctrlPr>
                    </m:sSubPr>
                    <m:e>
                      <m:r>
                        <w:rPr>
                          <w:rFonts w:ascii="Cambria Math" w:hAnsi="Cambria Math"/>
                        </w:rPr>
                        <m:t>(V.I.)</m:t>
                      </m:r>
                    </m:e>
                    <m:sub>
                      <m:r>
                        <w:rPr>
                          <w:rFonts w:ascii="Cambria Math" w:hAnsi="Cambria Math"/>
                        </w:rPr>
                        <m:t>ij</m:t>
                      </m:r>
                    </m:sub>
                  </m:sSub>
                </m:e>
              </m:d>
            </m:e>
          </m:nary>
        </m:oMath>
      </m:oMathPara>
    </w:p>
    <w:p w14:paraId="78A408E7" w14:textId="77777777" w:rsidR="001B4185" w:rsidRPr="00EE2F47" w:rsidRDefault="001B4185" w:rsidP="001B4185">
      <w:r w:rsidRPr="00EE2F47">
        <w:t>Donde:</w:t>
      </w:r>
    </w:p>
    <w:tbl>
      <w:tblPr>
        <w:tblW w:w="8926" w:type="dxa"/>
        <w:jc w:val="center"/>
        <w:tblLook w:val="04A0" w:firstRow="1" w:lastRow="0" w:firstColumn="1" w:lastColumn="0" w:noHBand="0" w:noVBand="1"/>
      </w:tblPr>
      <w:tblGrid>
        <w:gridCol w:w="1413"/>
        <w:gridCol w:w="7513"/>
      </w:tblGrid>
      <w:tr w:rsidR="001B4185" w:rsidRPr="002C2818" w14:paraId="34CC7B2E" w14:textId="77777777">
        <w:trPr>
          <w:jc w:val="center"/>
        </w:trPr>
        <w:tc>
          <w:tcPr>
            <w:tcW w:w="1413" w:type="dxa"/>
            <w:shd w:val="clear" w:color="auto" w:fill="auto"/>
          </w:tcPr>
          <w:p w14:paraId="47F6855F" w14:textId="77777777" w:rsidR="001B4185" w:rsidRPr="002C2818" w:rsidRDefault="001B4185" w:rsidP="001B4185">
            <w:pPr>
              <w:spacing w:after="0" w:line="240" w:lineRule="auto"/>
            </w:pPr>
            <w:r w:rsidRPr="002C2818">
              <w:t>(A.V.I.</w:t>
            </w:r>
            <w:r w:rsidRPr="002C2818">
              <w:rPr>
                <w:vertAlign w:val="subscript"/>
              </w:rPr>
              <w:t>TO</w:t>
            </w:r>
            <w:r w:rsidRPr="002C2818">
              <w:t>)</w:t>
            </w:r>
            <w:r w:rsidRPr="002C2818">
              <w:rPr>
                <w:vertAlign w:val="subscript"/>
              </w:rPr>
              <w:t>i</w:t>
            </w:r>
          </w:p>
        </w:tc>
        <w:tc>
          <w:tcPr>
            <w:tcW w:w="7513" w:type="dxa"/>
            <w:shd w:val="clear" w:color="auto" w:fill="auto"/>
          </w:tcPr>
          <w:p w14:paraId="5767664D" w14:textId="77777777" w:rsidR="001B4185" w:rsidRPr="002C2818" w:rsidRDefault="001B4185" w:rsidP="001B4185">
            <w:pPr>
              <w:spacing w:after="0" w:line="240" w:lineRule="auto"/>
            </w:pPr>
            <w:r w:rsidRPr="002C2818">
              <w:t>: A.V.I. del tramo “i” asociado al tipo de obra “TO”.</w:t>
            </w:r>
          </w:p>
        </w:tc>
      </w:tr>
      <w:tr w:rsidR="001B4185" w:rsidRPr="002C2818" w14:paraId="41C91E02" w14:textId="77777777">
        <w:trPr>
          <w:jc w:val="center"/>
        </w:trPr>
        <w:tc>
          <w:tcPr>
            <w:tcW w:w="1413" w:type="dxa"/>
            <w:shd w:val="clear" w:color="auto" w:fill="auto"/>
          </w:tcPr>
          <w:p w14:paraId="239E5A12" w14:textId="77777777" w:rsidR="001B4185" w:rsidRPr="002C2818" w:rsidRDefault="001B4185" w:rsidP="001B4185">
            <w:pPr>
              <w:spacing w:after="0" w:line="240" w:lineRule="auto"/>
            </w:pPr>
            <w:r w:rsidRPr="002C2818">
              <w:t>N</w:t>
            </w:r>
            <w:r w:rsidRPr="002C2818">
              <w:rPr>
                <w:vertAlign w:val="subscript"/>
              </w:rPr>
              <w:t>IEI‐i</w:t>
            </w:r>
          </w:p>
        </w:tc>
        <w:tc>
          <w:tcPr>
            <w:tcW w:w="7513" w:type="dxa"/>
            <w:shd w:val="clear" w:color="auto" w:fill="auto"/>
          </w:tcPr>
          <w:p w14:paraId="0CF22D86" w14:textId="77777777" w:rsidR="001B4185" w:rsidRPr="002C2818" w:rsidRDefault="001B4185" w:rsidP="001B4185">
            <w:pPr>
              <w:spacing w:after="0" w:line="240" w:lineRule="auto"/>
            </w:pPr>
            <w:r w:rsidRPr="002C2818">
              <w:t>: Número de instalaciones económicamente identificables contenidas en el tramo “i”</w:t>
            </w:r>
            <w:r w:rsidRPr="002C2818">
              <w:rPr>
                <w:rStyle w:val="Refdenotaalpie"/>
              </w:rPr>
              <w:footnoteReference w:id="31"/>
            </w:r>
          </w:p>
        </w:tc>
      </w:tr>
      <w:tr w:rsidR="001B4185" w:rsidRPr="002C2818" w14:paraId="6A74F8DD" w14:textId="77777777">
        <w:trPr>
          <w:jc w:val="center"/>
        </w:trPr>
        <w:tc>
          <w:tcPr>
            <w:tcW w:w="1413" w:type="dxa"/>
            <w:shd w:val="clear" w:color="auto" w:fill="auto"/>
          </w:tcPr>
          <w:p w14:paraId="5B9112A2" w14:textId="77777777" w:rsidR="001B4185" w:rsidRPr="002C2818" w:rsidRDefault="001B4185" w:rsidP="001B4185">
            <w:pPr>
              <w:spacing w:after="0" w:line="240" w:lineRule="auto"/>
            </w:pPr>
            <w:r w:rsidRPr="002C2818">
              <w:t>(V.I.)</w:t>
            </w:r>
            <w:r w:rsidRPr="002C2818">
              <w:rPr>
                <w:vertAlign w:val="subscript"/>
              </w:rPr>
              <w:t>ij</w:t>
            </w:r>
          </w:p>
        </w:tc>
        <w:tc>
          <w:tcPr>
            <w:tcW w:w="7513" w:type="dxa"/>
            <w:shd w:val="clear" w:color="auto" w:fill="auto"/>
          </w:tcPr>
          <w:p w14:paraId="6784BDDF" w14:textId="77777777" w:rsidR="001B4185" w:rsidRPr="002C2818" w:rsidRDefault="001B4185" w:rsidP="001B4185">
            <w:pPr>
              <w:spacing w:after="0" w:line="240" w:lineRule="auto"/>
            </w:pPr>
            <w:r w:rsidRPr="002C2818">
              <w:t>: V.I. de la instalación económicamente identificable “j” asociada al tramo “i”.</w:t>
            </w:r>
          </w:p>
        </w:tc>
      </w:tr>
      <w:tr w:rsidR="001B4185" w:rsidRPr="002C2818" w14:paraId="6BC83EAA" w14:textId="77777777">
        <w:trPr>
          <w:jc w:val="center"/>
        </w:trPr>
        <w:tc>
          <w:tcPr>
            <w:tcW w:w="1413" w:type="dxa"/>
            <w:shd w:val="clear" w:color="auto" w:fill="auto"/>
          </w:tcPr>
          <w:p w14:paraId="247C22DC" w14:textId="77777777" w:rsidR="001B4185" w:rsidRPr="002C2818" w:rsidRDefault="001B4185" w:rsidP="001B4185">
            <w:pPr>
              <w:spacing w:after="0" w:line="240" w:lineRule="auto"/>
            </w:pPr>
            <w:r w:rsidRPr="002C2818">
              <w:t>a</w:t>
            </w:r>
            <w:r w:rsidRPr="002C2818">
              <w:rPr>
                <w:vertAlign w:val="subscript"/>
              </w:rPr>
              <w:t>j</w:t>
            </w:r>
          </w:p>
        </w:tc>
        <w:tc>
          <w:tcPr>
            <w:tcW w:w="7513" w:type="dxa"/>
            <w:shd w:val="clear" w:color="auto" w:fill="auto"/>
          </w:tcPr>
          <w:p w14:paraId="49520CF7" w14:textId="77777777" w:rsidR="001B4185" w:rsidRPr="002C2818" w:rsidRDefault="001B4185" w:rsidP="001B4185">
            <w:pPr>
              <w:spacing w:after="0" w:line="240" w:lineRule="auto"/>
            </w:pPr>
            <w:r w:rsidRPr="002C2818">
              <w:t>: Factor de recuperación del capital de la instalación económicamente identificable “j”.</w:t>
            </w:r>
          </w:p>
        </w:tc>
      </w:tr>
    </w:tbl>
    <w:p w14:paraId="7C18DEEA" w14:textId="77777777" w:rsidR="001B4185" w:rsidRDefault="001B4185" w:rsidP="001B4185">
      <w:pPr>
        <w:spacing w:after="120"/>
      </w:pPr>
    </w:p>
    <w:p w14:paraId="612CAB38" w14:textId="77777777" w:rsidR="001B4185" w:rsidRPr="00EE2F47" w:rsidRDefault="001B4185" w:rsidP="001B4185">
      <w:r w:rsidRPr="00EE2F47">
        <w:t>Finalmente, el factor de recuperación del capital aj de cada instalación identificable “j” se determinará mediante la expresión:</w:t>
      </w:r>
    </w:p>
    <w:p w14:paraId="09B1790F" w14:textId="77777777" w:rsidR="001B4185" w:rsidRPr="00C636E3" w:rsidRDefault="00F5226B" w:rsidP="001B4185">
      <w:pPr>
        <w:spacing w:after="0"/>
        <w:jc w:val="center"/>
      </w:pPr>
      <m:oMathPara>
        <m:oMath>
          <m:sSub>
            <m:sSubPr>
              <m:ctrlPr>
                <w:rPr>
                  <w:rFonts w:ascii="Cambria Math" w:hAnsi="Cambria Math"/>
                </w:rPr>
              </m:ctrlPr>
            </m:sSubPr>
            <m:e>
              <m:r>
                <w:rPr>
                  <w:rFonts w:ascii="Cambria Math" w:hAnsi="Cambria Math"/>
                </w:rPr>
                <m:t>a</m:t>
              </m:r>
            </m:e>
            <m:sub>
              <m:r>
                <w:rPr>
                  <w:rFonts w:ascii="Cambria Math" w:hAnsi="Cambria Math"/>
                </w:rPr>
                <m:t>j</m:t>
              </m:r>
            </m:sub>
          </m:sSub>
          <m:r>
            <w:rPr>
              <w:rFonts w:ascii="Cambria Math" w:hAnsi="Cambria Math"/>
            </w:rPr>
            <m:t>=</m:t>
          </m:r>
          <m:f>
            <m:fPr>
              <m:ctrlPr>
                <w:rPr>
                  <w:rFonts w:ascii="Cambria Math" w:hAnsi="Cambria Math"/>
                </w:rPr>
              </m:ctrlPr>
            </m:fPr>
            <m:num>
              <m:r>
                <w:rPr>
                  <w:rFonts w:ascii="Cambria Math" w:hAnsi="Cambria Math"/>
                </w:rPr>
                <m:t>r×</m:t>
              </m:r>
              <m:sSup>
                <m:sSupPr>
                  <m:ctrlPr>
                    <w:rPr>
                      <w:rFonts w:ascii="Cambria Math" w:hAnsi="Cambria Math"/>
                    </w:rPr>
                  </m:ctrlPr>
                </m:sSupPr>
                <m:e>
                  <m:r>
                    <w:rPr>
                      <w:rFonts w:ascii="Cambria Math" w:hAnsi="Cambria Math"/>
                    </w:rPr>
                    <m:t>(1+r)</m:t>
                  </m:r>
                </m:e>
                <m:sup>
                  <m:sSub>
                    <m:sSubPr>
                      <m:ctrlPr>
                        <w:rPr>
                          <w:rFonts w:ascii="Cambria Math" w:hAnsi="Cambria Math"/>
                        </w:rPr>
                      </m:ctrlPr>
                    </m:sSubPr>
                    <m:e>
                      <m:r>
                        <w:rPr>
                          <w:rFonts w:ascii="Cambria Math" w:hAnsi="Cambria Math"/>
                        </w:rPr>
                        <m:t>VU</m:t>
                      </m:r>
                    </m:e>
                    <m:sub>
                      <m:r>
                        <w:rPr>
                          <w:rFonts w:ascii="Cambria Math" w:hAnsi="Cambria Math"/>
                        </w:rPr>
                        <m:t>j</m:t>
                      </m:r>
                    </m:sub>
                  </m:sSub>
                </m:sup>
              </m:sSup>
            </m:num>
            <m:den>
              <m:sSup>
                <m:sSupPr>
                  <m:ctrlPr>
                    <w:rPr>
                      <w:rFonts w:ascii="Cambria Math" w:hAnsi="Cambria Math"/>
                    </w:rPr>
                  </m:ctrlPr>
                </m:sSupPr>
                <m:e>
                  <m:r>
                    <w:rPr>
                      <w:rFonts w:ascii="Cambria Math" w:hAnsi="Cambria Math"/>
                    </w:rPr>
                    <m:t>(1+r)</m:t>
                  </m:r>
                </m:e>
                <m:sup>
                  <m:sSub>
                    <m:sSubPr>
                      <m:ctrlPr>
                        <w:rPr>
                          <w:rFonts w:ascii="Cambria Math" w:hAnsi="Cambria Math"/>
                        </w:rPr>
                      </m:ctrlPr>
                    </m:sSubPr>
                    <m:e>
                      <m:r>
                        <w:rPr>
                          <w:rFonts w:ascii="Cambria Math" w:hAnsi="Cambria Math"/>
                        </w:rPr>
                        <m:t>VU</m:t>
                      </m:r>
                    </m:e>
                    <m:sub>
                      <m:r>
                        <w:rPr>
                          <w:rFonts w:ascii="Cambria Math" w:hAnsi="Cambria Math"/>
                        </w:rPr>
                        <m:t>j</m:t>
                      </m:r>
                    </m:sub>
                  </m:sSub>
                </m:sup>
              </m:sSup>
              <m:r>
                <w:rPr>
                  <w:rFonts w:ascii="Cambria Math" w:hAnsi="Cambria Math"/>
                </w:rPr>
                <m:t>-1</m:t>
              </m:r>
            </m:den>
          </m:f>
        </m:oMath>
      </m:oMathPara>
    </w:p>
    <w:p w14:paraId="787DF5A2" w14:textId="77777777" w:rsidR="001B4185" w:rsidRPr="00EE2F47" w:rsidRDefault="001B4185" w:rsidP="001B4185">
      <w:r w:rsidRPr="00EE2F47">
        <w:t>Donde:</w:t>
      </w:r>
    </w:p>
    <w:tbl>
      <w:tblPr>
        <w:tblW w:w="0" w:type="auto"/>
        <w:jc w:val="center"/>
        <w:tblLook w:val="04A0" w:firstRow="1" w:lastRow="0" w:firstColumn="1" w:lastColumn="0" w:noHBand="0" w:noVBand="1"/>
      </w:tblPr>
      <w:tblGrid>
        <w:gridCol w:w="1413"/>
        <w:gridCol w:w="7415"/>
      </w:tblGrid>
      <w:tr w:rsidR="001B4185" w:rsidRPr="002C2818" w14:paraId="7ECF6099" w14:textId="77777777">
        <w:trPr>
          <w:jc w:val="center"/>
        </w:trPr>
        <w:tc>
          <w:tcPr>
            <w:tcW w:w="1413" w:type="dxa"/>
            <w:shd w:val="clear" w:color="auto" w:fill="auto"/>
          </w:tcPr>
          <w:p w14:paraId="1345491B" w14:textId="77777777" w:rsidR="001B4185" w:rsidRPr="002C2818" w:rsidRDefault="001B4185" w:rsidP="001B4185">
            <w:pPr>
              <w:spacing w:after="0" w:line="240" w:lineRule="auto"/>
            </w:pPr>
            <w:r w:rsidRPr="002C2818">
              <w:t>r</w:t>
            </w:r>
          </w:p>
        </w:tc>
        <w:tc>
          <w:tcPr>
            <w:tcW w:w="7415" w:type="dxa"/>
            <w:shd w:val="clear" w:color="auto" w:fill="auto"/>
          </w:tcPr>
          <w:p w14:paraId="64125105" w14:textId="77777777" w:rsidR="001B4185" w:rsidRDefault="001B4185" w:rsidP="001B4185">
            <w:pPr>
              <w:spacing w:after="0" w:line="240" w:lineRule="auto"/>
            </w:pPr>
            <w:r w:rsidRPr="002C2818">
              <w:t>: Tasa de descuento a que hace referencia el artículo 118° de la Ley.</w:t>
            </w:r>
          </w:p>
          <w:p w14:paraId="2DBB2035" w14:textId="77777777" w:rsidR="003129F9" w:rsidRPr="002C2818" w:rsidRDefault="003129F9" w:rsidP="001B4185">
            <w:pPr>
              <w:spacing w:after="0" w:line="240" w:lineRule="auto"/>
            </w:pPr>
          </w:p>
        </w:tc>
      </w:tr>
      <w:tr w:rsidR="001B4185" w:rsidRPr="002C2818" w14:paraId="72F6F67F" w14:textId="77777777">
        <w:trPr>
          <w:jc w:val="center"/>
        </w:trPr>
        <w:tc>
          <w:tcPr>
            <w:tcW w:w="1413" w:type="dxa"/>
            <w:shd w:val="clear" w:color="auto" w:fill="auto"/>
          </w:tcPr>
          <w:p w14:paraId="74B9DB7E" w14:textId="77777777" w:rsidR="001B4185" w:rsidRPr="002C2818" w:rsidRDefault="001B4185" w:rsidP="001B4185">
            <w:pPr>
              <w:spacing w:after="0" w:line="240" w:lineRule="auto"/>
            </w:pPr>
            <w:r w:rsidRPr="002C2818">
              <w:t>VUj</w:t>
            </w:r>
          </w:p>
        </w:tc>
        <w:tc>
          <w:tcPr>
            <w:tcW w:w="7415" w:type="dxa"/>
            <w:shd w:val="clear" w:color="auto" w:fill="auto"/>
          </w:tcPr>
          <w:p w14:paraId="1926722D" w14:textId="77777777" w:rsidR="001B4185" w:rsidRPr="002C2818" w:rsidRDefault="001B4185" w:rsidP="001B4185">
            <w:pPr>
              <w:spacing w:after="0" w:line="240" w:lineRule="auto"/>
            </w:pPr>
            <w:r w:rsidRPr="002C2818">
              <w:t>: Vida útil de la instalación económicamente identificable “j” expresada en años.</w:t>
            </w:r>
          </w:p>
        </w:tc>
      </w:tr>
    </w:tbl>
    <w:p w14:paraId="075B514A" w14:textId="77777777" w:rsidR="001B4185" w:rsidRPr="00EE2F47" w:rsidRDefault="001B4185" w:rsidP="001B4185">
      <w:pPr>
        <w:spacing w:after="120"/>
      </w:pPr>
    </w:p>
    <w:p w14:paraId="554A2DC4" w14:textId="175250FD" w:rsidR="001B4185" w:rsidRPr="00EE2F47" w:rsidRDefault="001B4185" w:rsidP="001B4185">
      <w:r w:rsidRPr="00EE2F47">
        <w:t xml:space="preserve">De acuerdo a las disposiciones de la LGSE, las Bases indican que, para el caso de las Obras de Ampliación, el término </w:t>
      </w:r>
      <w:r>
        <w:t>“</w:t>
      </w:r>
      <w:r w:rsidRPr="00EE2F47">
        <w:t>a</w:t>
      </w:r>
      <w:r w:rsidRPr="00047802">
        <w:rPr>
          <w:vertAlign w:val="subscript"/>
        </w:rPr>
        <w:t>j</w:t>
      </w:r>
      <w:r>
        <w:t>”</w:t>
      </w:r>
      <w:r w:rsidRPr="00EE2F47">
        <w:t xml:space="preserve"> se mantendrá constante por cinco períodos tarifarios a partir de su entrada en operación, y se determinará empleando la tasa de descuento utilizada en el Estudio vigente al momento de la adjudicación.</w:t>
      </w:r>
    </w:p>
    <w:p w14:paraId="19CAA6A6" w14:textId="77777777" w:rsidR="001B4185" w:rsidRDefault="001B4185" w:rsidP="001B4185">
      <w:r w:rsidRPr="00EE2F47">
        <w:t>Los valores de VUj corresponden a los indicados en el señalado Informe Técnico Definitivo de vida útil al que hace referencia el Artículo 104° de la ley.</w:t>
      </w:r>
    </w:p>
    <w:p w14:paraId="690A3F09" w14:textId="77777777" w:rsidR="00F55404" w:rsidRDefault="00F55404" w:rsidP="001B4185"/>
    <w:p w14:paraId="49212A30" w14:textId="77777777" w:rsidR="00F55404" w:rsidRDefault="00F55404" w:rsidP="001B4185"/>
    <w:p w14:paraId="56B4CFC2" w14:textId="77777777" w:rsidR="001B4185" w:rsidRPr="00EE2F47" w:rsidRDefault="001B4185" w:rsidP="00F55404">
      <w:pPr>
        <w:pStyle w:val="Ttulo3"/>
      </w:pPr>
      <w:bookmarkStart w:id="339" w:name="_Toc27147807"/>
      <w:bookmarkStart w:id="340" w:name="_Toc34687281"/>
      <w:r w:rsidRPr="00EE2F47">
        <w:t>Ajuste por Efectos de Impuesto a la Renta</w:t>
      </w:r>
      <w:bookmarkEnd w:id="339"/>
      <w:bookmarkEnd w:id="340"/>
    </w:p>
    <w:p w14:paraId="71931E1D" w14:textId="77777777" w:rsidR="001B4185" w:rsidRPr="00EE2F47" w:rsidRDefault="001B4185" w:rsidP="001B4185">
      <w:r w:rsidRPr="00EE2F47">
        <w:t xml:space="preserve">El </w:t>
      </w:r>
      <w:bookmarkStart w:id="341" w:name="OLE_LINK7"/>
      <w:r w:rsidRPr="00EE2F47">
        <w:t xml:space="preserve">ajuste por efectos de impuesto a la renta (A.E.I.R.) </w:t>
      </w:r>
      <w:bookmarkEnd w:id="341"/>
      <w:r w:rsidRPr="00EE2F47">
        <w:t>señalado en el punto anterior, se determinará mediante la siguiente expresión, establecida en la Resolución Exenta N°380</w:t>
      </w:r>
      <w:r w:rsidRPr="002238EE">
        <w:rPr>
          <w:rStyle w:val="Refdenotaalpie"/>
        </w:rPr>
        <w:footnoteReference w:id="32"/>
      </w:r>
      <w:r w:rsidRPr="00EE2F47">
        <w:t>:</w:t>
      </w:r>
    </w:p>
    <w:p w14:paraId="33F73A2B" w14:textId="77777777" w:rsidR="001B4185" w:rsidRPr="00C636E3" w:rsidRDefault="00F5226B" w:rsidP="001B4185">
      <w:pPr>
        <w:spacing w:after="0"/>
        <w:jc w:val="center"/>
      </w:pPr>
      <m:oMathPara>
        <m:oMath>
          <m:sSub>
            <m:sSubPr>
              <m:ctrlPr>
                <w:rPr>
                  <w:rFonts w:ascii="Cambria Math" w:hAnsi="Cambria Math"/>
                </w:rPr>
              </m:ctrlPr>
            </m:sSubPr>
            <m:e>
              <m:r>
                <w:rPr>
                  <w:rFonts w:ascii="Cambria Math" w:hAnsi="Cambria Math"/>
                </w:rPr>
                <m:t>(A.E.I.R.)</m:t>
              </m:r>
            </m:e>
            <m:sub>
              <m:r>
                <w:rPr>
                  <w:rFonts w:ascii="Cambria Math" w:hAnsi="Cambria Math"/>
                </w:rPr>
                <m:t>i</m:t>
              </m:r>
            </m:sub>
          </m:sSub>
          <m:r>
            <w:rPr>
              <w:rFonts w:ascii="Cambria Math" w:hAnsi="Cambria Math"/>
            </w:rPr>
            <m:t>=</m:t>
          </m:r>
          <m:f>
            <m:fPr>
              <m:ctrlPr>
                <w:rPr>
                  <w:rFonts w:ascii="Cambria Math" w:hAnsi="Cambria Math"/>
                </w:rPr>
              </m:ctrlPr>
            </m:fPr>
            <m:num>
              <m:r>
                <w:rPr>
                  <w:rFonts w:ascii="Cambria Math" w:hAnsi="Cambria Math"/>
                </w:rPr>
                <m:t>t×</m:t>
              </m:r>
              <m:d>
                <m:dPr>
                  <m:begChr m:val="["/>
                  <m:endChr m:val="]"/>
                  <m:ctrlPr>
                    <w:rPr>
                      <w:rFonts w:ascii="Cambria Math" w:hAnsi="Cambria Math"/>
                    </w:rPr>
                  </m:ctrlPr>
                </m:dPr>
                <m:e>
                  <m:sSub>
                    <m:sSubPr>
                      <m:ctrlPr>
                        <w:rPr>
                          <w:rFonts w:ascii="Cambria Math" w:hAnsi="Cambria Math"/>
                        </w:rPr>
                      </m:ctrlPr>
                    </m:sSubPr>
                    <m:e>
                      <m:r>
                        <w:rPr>
                          <w:rFonts w:ascii="Cambria Math" w:hAnsi="Cambria Math"/>
                        </w:rPr>
                        <m:t>(A.V.I.)</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i</m:t>
                      </m:r>
                    </m:sub>
                  </m:sSub>
                </m:e>
              </m:d>
            </m:num>
            <m:den>
              <m:r>
                <w:rPr>
                  <w:rFonts w:ascii="Cambria Math" w:hAnsi="Cambria Math"/>
                </w:rPr>
                <m:t>(1-t)</m:t>
              </m:r>
            </m:den>
          </m:f>
        </m:oMath>
      </m:oMathPara>
    </w:p>
    <w:p w14:paraId="2E7F525F" w14:textId="77777777" w:rsidR="001B4185" w:rsidRPr="00EE2F47" w:rsidRDefault="001B4185" w:rsidP="001B4185">
      <w:r w:rsidRPr="00EE2F47">
        <w:t>Donde:</w:t>
      </w:r>
    </w:p>
    <w:tbl>
      <w:tblPr>
        <w:tblW w:w="0" w:type="auto"/>
        <w:jc w:val="center"/>
        <w:tblLayout w:type="fixed"/>
        <w:tblCellMar>
          <w:left w:w="57" w:type="dxa"/>
          <w:right w:w="57" w:type="dxa"/>
        </w:tblCellMar>
        <w:tblLook w:val="04A0" w:firstRow="1" w:lastRow="0" w:firstColumn="1" w:lastColumn="0" w:noHBand="0" w:noVBand="1"/>
      </w:tblPr>
      <w:tblGrid>
        <w:gridCol w:w="1134"/>
        <w:gridCol w:w="567"/>
        <w:gridCol w:w="5103"/>
        <w:gridCol w:w="2835"/>
      </w:tblGrid>
      <w:tr w:rsidR="001B4185" w:rsidRPr="002C2818" w14:paraId="67D1E0E5" w14:textId="77777777">
        <w:trPr>
          <w:jc w:val="center"/>
        </w:trPr>
        <w:tc>
          <w:tcPr>
            <w:tcW w:w="1134" w:type="dxa"/>
            <w:shd w:val="clear" w:color="auto" w:fill="auto"/>
          </w:tcPr>
          <w:p w14:paraId="6587DCAD" w14:textId="77777777" w:rsidR="001B4185" w:rsidRPr="002C2818" w:rsidRDefault="001B4185" w:rsidP="001B4185">
            <w:r w:rsidRPr="002C2818">
              <w:t>t      :</w:t>
            </w:r>
          </w:p>
        </w:tc>
        <w:tc>
          <w:tcPr>
            <w:tcW w:w="8505" w:type="dxa"/>
            <w:gridSpan w:val="3"/>
            <w:shd w:val="clear" w:color="auto" w:fill="auto"/>
          </w:tcPr>
          <w:p w14:paraId="2829D4B5" w14:textId="77777777" w:rsidR="001B4185" w:rsidRPr="002C2818" w:rsidRDefault="001B4185" w:rsidP="001B4185">
            <w:r w:rsidRPr="002C2818">
              <w:t>Tasa de impuestos a las utilidades de primera categoría aplicables a la empresa eficiente. En caso de existir más de un régimen tributario, se considerará aquel régimen que resulte más conveniente económicamente para la empresa eficiente.</w:t>
            </w:r>
          </w:p>
        </w:tc>
      </w:tr>
      <w:tr w:rsidR="001B4185" w:rsidRPr="002C2818" w14:paraId="2081F210" w14:textId="77777777">
        <w:trPr>
          <w:jc w:val="center"/>
        </w:trPr>
        <w:tc>
          <w:tcPr>
            <w:tcW w:w="1134" w:type="dxa"/>
            <w:shd w:val="clear" w:color="auto" w:fill="auto"/>
          </w:tcPr>
          <w:p w14:paraId="79AD936B" w14:textId="77777777" w:rsidR="001B4185" w:rsidRPr="002C2818" w:rsidRDefault="001B4185" w:rsidP="001B4185">
            <w:r w:rsidRPr="002C2818">
              <w:t>Di    :</w:t>
            </w:r>
          </w:p>
        </w:tc>
        <w:tc>
          <w:tcPr>
            <w:tcW w:w="8505" w:type="dxa"/>
            <w:gridSpan w:val="3"/>
            <w:shd w:val="clear" w:color="auto" w:fill="auto"/>
          </w:tcPr>
          <w:p w14:paraId="12FD7519" w14:textId="77777777" w:rsidR="001B4185" w:rsidRPr="002C2818" w:rsidRDefault="001B4185" w:rsidP="001B4185">
            <w:r w:rsidRPr="002C2818">
              <w:t>Depreciación anual de los activos del tramo “i” determinada para efectos de la valorización de los impuestos a la renta que le correspondería pagar a la empresa eficiente, la cual se define de la siguiente forma</w:t>
            </w:r>
            <w:r w:rsidR="00773553">
              <w:rPr>
                <w:rStyle w:val="Refdenotaalpie"/>
              </w:rPr>
              <w:footnoteReference w:id="33"/>
            </w:r>
            <w:r w:rsidRPr="002C2818">
              <w:t>:</w:t>
            </w:r>
          </w:p>
        </w:tc>
      </w:tr>
      <w:tr w:rsidR="00F038F7" w:rsidRPr="002C2818" w14:paraId="2FE57157" w14:textId="77777777">
        <w:trPr>
          <w:jc w:val="center"/>
        </w:trPr>
        <w:tc>
          <w:tcPr>
            <w:tcW w:w="1134" w:type="dxa"/>
            <w:shd w:val="clear" w:color="auto" w:fill="auto"/>
          </w:tcPr>
          <w:p w14:paraId="34300935" w14:textId="77777777" w:rsidR="00F038F7" w:rsidRPr="002C2818" w:rsidRDefault="00F038F7" w:rsidP="001B4185"/>
        </w:tc>
        <w:tc>
          <w:tcPr>
            <w:tcW w:w="8505" w:type="dxa"/>
            <w:gridSpan w:val="3"/>
            <w:shd w:val="clear" w:color="auto" w:fill="auto"/>
          </w:tcPr>
          <w:p w14:paraId="31DE1557" w14:textId="77777777" w:rsidR="00F038F7" w:rsidRPr="00C636E3" w:rsidRDefault="00F5226B" w:rsidP="00F038F7">
            <w:pPr>
              <w:jc w:val="center"/>
            </w:pPr>
            <m:oMathPara>
              <m:oMath>
                <m:sSub>
                  <m:sSubPr>
                    <m:ctrlPr>
                      <w:rPr>
                        <w:rFonts w:ascii="Cambria Math" w:hAnsi="Cambria Math"/>
                      </w:rPr>
                    </m:ctrlPr>
                  </m:sSubPr>
                  <m:e>
                    <m:r>
                      <w:rPr>
                        <w:rFonts w:ascii="Cambria Math" w:hAnsi="Cambria Math"/>
                      </w:rPr>
                      <m:t>D</m:t>
                    </m:r>
                  </m:e>
                  <m:sub>
                    <m:r>
                      <w:rPr>
                        <w:rFonts w:ascii="Cambria Math" w:hAnsi="Cambria Math"/>
                      </w:rPr>
                      <m:t>i</m:t>
                    </m:r>
                  </m:sub>
                </m:sSub>
                <m:r>
                  <w:rPr>
                    <w:rFonts w:ascii="Cambria Math" w:hAnsi="Cambria Math"/>
                  </w:rPr>
                  <m:t>=</m:t>
                </m:r>
                <m:nary>
                  <m:naryPr>
                    <m:chr m:val="∑"/>
                    <m:limLoc m:val="undOvr"/>
                    <m:ctrlPr>
                      <w:rPr>
                        <w:rFonts w:ascii="Cambria Math" w:hAnsi="Cambria Math"/>
                      </w:rPr>
                    </m:ctrlPr>
                  </m:naryPr>
                  <m:sub>
                    <m:r>
                      <w:rPr>
                        <w:rFonts w:ascii="Cambria Math" w:hAnsi="Cambria Math"/>
                      </w:rPr>
                      <m:t>j=1</m:t>
                    </m:r>
                  </m:sub>
                  <m:sup>
                    <m:sSub>
                      <m:sSubPr>
                        <m:ctrlPr>
                          <w:rPr>
                            <w:rFonts w:ascii="Cambria Math" w:hAnsi="Cambria Math"/>
                          </w:rPr>
                        </m:ctrlPr>
                      </m:sSubPr>
                      <m:e>
                        <m:r>
                          <w:rPr>
                            <w:rFonts w:ascii="Cambria Math" w:hAnsi="Cambria Math"/>
                          </w:rPr>
                          <m:t>N</m:t>
                        </m:r>
                      </m:e>
                      <m:sub>
                        <m:r>
                          <w:rPr>
                            <w:rFonts w:ascii="Cambria Math" w:hAnsi="Cambria Math"/>
                          </w:rPr>
                          <m:t>IEI-i</m:t>
                        </m:r>
                      </m:sub>
                    </m:sSub>
                  </m:sup>
                  <m:e>
                    <m:sSub>
                      <m:sSubPr>
                        <m:ctrlPr>
                          <w:rPr>
                            <w:rFonts w:ascii="Cambria Math" w:hAnsi="Cambria Math"/>
                          </w:rPr>
                        </m:ctrlPr>
                      </m:sSubPr>
                      <m:e>
                        <m:r>
                          <w:rPr>
                            <w:rFonts w:ascii="Cambria Math" w:hAnsi="Cambria Math"/>
                          </w:rPr>
                          <m:t>d</m:t>
                        </m:r>
                      </m:e>
                      <m:sub>
                        <m:r>
                          <w:rPr>
                            <w:rFonts w:ascii="Cambria Math" w:hAnsi="Cambria Math"/>
                          </w:rPr>
                          <m:t>ij</m:t>
                        </m:r>
                      </m:sub>
                    </m:sSub>
                  </m:e>
                </m:nary>
              </m:oMath>
            </m:oMathPara>
          </w:p>
        </w:tc>
      </w:tr>
      <w:tr w:rsidR="001B4185" w:rsidRPr="002C2818" w14:paraId="1BBAA567" w14:textId="77777777">
        <w:trPr>
          <w:trHeight w:val="998"/>
          <w:jc w:val="center"/>
        </w:trPr>
        <w:tc>
          <w:tcPr>
            <w:tcW w:w="6804" w:type="dxa"/>
            <w:gridSpan w:val="3"/>
            <w:vMerge w:val="restart"/>
            <w:shd w:val="clear" w:color="auto" w:fill="auto"/>
          </w:tcPr>
          <w:p w14:paraId="1039DC11" w14:textId="77777777" w:rsidR="001B4185" w:rsidRDefault="00F038F7" w:rsidP="00F038F7">
            <w:r>
              <w:t xml:space="preserve">                        Con</w:t>
            </w:r>
          </w:p>
          <w:p w14:paraId="16BC3A44" w14:textId="77777777" w:rsidR="00F038F7" w:rsidRPr="00C636E3" w:rsidRDefault="00F5226B" w:rsidP="00F038F7">
            <w:pPr>
              <w:jc w:val="right"/>
            </w:pPr>
            <m:oMathPara>
              <m:oMath>
                <m:sSub>
                  <m:sSubPr>
                    <m:ctrlPr>
                      <w:rPr>
                        <w:rFonts w:ascii="Cambria Math" w:hAnsi="Cambria Math"/>
                      </w:rPr>
                    </m:ctrlPr>
                  </m:sSubPr>
                  <m:e>
                    <m:r>
                      <w:rPr>
                        <w:rFonts w:ascii="Cambria Math" w:hAnsi="Cambria Math"/>
                      </w:rPr>
                      <m:t>d</m:t>
                    </m:r>
                  </m:e>
                  <m:sub>
                    <m:r>
                      <w:rPr>
                        <w:rFonts w:ascii="Cambria Math" w:hAnsi="Cambria Math"/>
                      </w:rPr>
                      <m:t>ij</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d>
                          <m:dPr>
                            <m:begChr m:val="["/>
                            <m:endChr m:val="]"/>
                            <m:ctrlPr>
                              <w:rPr>
                                <w:rFonts w:ascii="Cambria Math" w:hAnsi="Cambria Math"/>
                              </w:rPr>
                            </m:ctrlPr>
                          </m:dPr>
                          <m:e>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V.I.)</m:t>
                                    </m:r>
                                  </m:e>
                                  <m:sub>
                                    <m:r>
                                      <w:rPr>
                                        <w:rFonts w:ascii="Cambria Math" w:hAnsi="Cambria Math"/>
                                      </w:rPr>
                                      <m:t>ij</m:t>
                                    </m:r>
                                  </m:sub>
                                </m:sSub>
                              </m:num>
                              <m:den>
                                <m:sSub>
                                  <m:sSubPr>
                                    <m:ctrlPr>
                                      <w:rPr>
                                        <w:rFonts w:ascii="Cambria Math" w:hAnsi="Cambria Math"/>
                                      </w:rPr>
                                    </m:ctrlPr>
                                  </m:sSubPr>
                                  <m:e>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SII</m:t>
                                        </m:r>
                                      </m:sub>
                                    </m:sSub>
                                  </m:e>
                                  <m:sub>
                                    <m:r>
                                      <w:rPr>
                                        <w:rFonts w:ascii="Cambria Math" w:hAnsi="Cambria Math"/>
                                      </w:rPr>
                                      <m:t>j</m:t>
                                    </m:r>
                                  </m:sub>
                                </m:sSub>
                              </m:den>
                            </m:f>
                          </m:e>
                        </m:d>
                      </m:e>
                      <m:e>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(V.I.)</m:t>
                                    </m:r>
                                  </m:e>
                                  <m:sub>
                                    <m:r>
                                      <w:rPr>
                                        <w:rFonts w:ascii="Cambria Math" w:hAnsi="Cambria Math"/>
                                      </w:rPr>
                                      <m:t>ij</m:t>
                                    </m:r>
                                  </m:sub>
                                </m:sSub>
                              </m:num>
                              <m:den>
                                <m:f>
                                  <m:fPr>
                                    <m:ctrlPr>
                                      <w:rPr>
                                        <w:rFonts w:ascii="Cambria Math" w:hAnsi="Cambria Math"/>
                                      </w:rPr>
                                    </m:ctrlPr>
                                  </m:fPr>
                                  <m:num>
                                    <m:sSub>
                                      <m:sSubPr>
                                        <m:ctrlPr>
                                          <w:rPr>
                                            <w:rFonts w:ascii="Cambria Math" w:hAnsi="Cambria Math"/>
                                          </w:rPr>
                                        </m:ctrlPr>
                                      </m:sSubPr>
                                      <m:e>
                                        <m:r>
                                          <w:rPr>
                                            <w:rFonts w:ascii="Cambria Math" w:hAnsi="Cambria Math"/>
                                          </w:rPr>
                                          <m:t>VU_SII</m:t>
                                        </m:r>
                                      </m:e>
                                      <m:sub>
                                        <m:r>
                                          <w:rPr>
                                            <w:rFonts w:ascii="Cambria Math" w:hAnsi="Cambria Math"/>
                                          </w:rPr>
                                          <m:t>j</m:t>
                                        </m:r>
                                      </m:sub>
                                    </m:sSub>
                                  </m:num>
                                  <m:den>
                                    <m:sSup>
                                      <m:sSupPr>
                                        <m:ctrlPr>
                                          <w:rPr>
                                            <w:rFonts w:ascii="Cambria Math" w:hAnsi="Cambria Math"/>
                                          </w:rPr>
                                        </m:ctrlPr>
                                      </m:sSupPr>
                                      <m:e>
                                        <m:r>
                                          <w:rPr>
                                            <w:rFonts w:ascii="Cambria Math" w:hAnsi="Cambria Math"/>
                                          </w:rPr>
                                          <m:t>(1+r)</m:t>
                                        </m:r>
                                      </m:e>
                                      <m:sup>
                                        <m:r>
                                          <w:rPr>
                                            <w:rFonts w:ascii="Cambria Math" w:hAnsi="Cambria Math"/>
                                          </w:rPr>
                                          <m:t>(</m:t>
                                        </m:r>
                                        <m:sSub>
                                          <m:sSubPr>
                                            <m:ctrlPr>
                                              <w:rPr>
                                                <w:rFonts w:ascii="Cambria Math" w:hAnsi="Cambria Math"/>
                                              </w:rPr>
                                            </m:ctrlPr>
                                          </m:sSubPr>
                                          <m:e>
                                            <m:r>
                                              <w:rPr>
                                                <w:rFonts w:ascii="Cambria Math" w:hAnsi="Cambria Math"/>
                                              </w:rPr>
                                              <m:t>VU</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VU_SII</m:t>
                                            </m:r>
                                          </m:e>
                                          <m:sub>
                                            <m:r>
                                              <w:rPr>
                                                <w:rFonts w:ascii="Cambria Math" w:hAnsi="Cambria Math"/>
                                              </w:rPr>
                                              <m:t>j</m:t>
                                            </m:r>
                                          </m:sub>
                                        </m:sSub>
                                        <m:r>
                                          <w:rPr>
                                            <w:rFonts w:ascii="Cambria Math" w:hAnsi="Cambria Math"/>
                                          </w:rPr>
                                          <m:t>)</m:t>
                                        </m:r>
                                      </m:sup>
                                    </m:sSup>
                                  </m:den>
                                </m:f>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(1+r)</m:t>
                                        </m:r>
                                      </m:e>
                                      <m:sup>
                                        <m:sSub>
                                          <m:sSubPr>
                                            <m:ctrlPr>
                                              <w:rPr>
                                                <w:rFonts w:ascii="Cambria Math" w:hAnsi="Cambria Math"/>
                                              </w:rPr>
                                            </m:ctrlPr>
                                          </m:sSubPr>
                                          <m:e>
                                            <m:r>
                                              <w:rPr>
                                                <w:rFonts w:ascii="Cambria Math" w:hAnsi="Cambria Math"/>
                                              </w:rPr>
                                              <m:t>VU</m:t>
                                            </m:r>
                                          </m:e>
                                          <m:sub>
                                            <m:r>
                                              <w:rPr>
                                                <w:rFonts w:ascii="Cambria Math" w:hAnsi="Cambria Math"/>
                                              </w:rPr>
                                              <m:t>j</m:t>
                                            </m:r>
                                          </m:sub>
                                        </m:sSub>
                                      </m:sup>
                                    </m:sSup>
                                    <m:r>
                                      <w:rPr>
                                        <w:rFonts w:ascii="Cambria Math" w:hAnsi="Cambria Math"/>
                                      </w:rPr>
                                      <m:t>-1</m:t>
                                    </m:r>
                                  </m:num>
                                  <m:den>
                                    <m:sSup>
                                      <m:sSupPr>
                                        <m:ctrlPr>
                                          <w:rPr>
                                            <w:rFonts w:ascii="Cambria Math" w:hAnsi="Cambria Math"/>
                                          </w:rPr>
                                        </m:ctrlPr>
                                      </m:sSupPr>
                                      <m:e>
                                        <m:r>
                                          <w:rPr>
                                            <w:rFonts w:ascii="Cambria Math" w:hAnsi="Cambria Math"/>
                                          </w:rPr>
                                          <m:t>(1+r)</m:t>
                                        </m:r>
                                      </m:e>
                                      <m:sup>
                                        <m:sSub>
                                          <m:sSubPr>
                                            <m:ctrlPr>
                                              <w:rPr>
                                                <w:rFonts w:ascii="Cambria Math" w:hAnsi="Cambria Math"/>
                                              </w:rPr>
                                            </m:ctrlPr>
                                          </m:sSubPr>
                                          <m:e>
                                            <m:r>
                                              <w:rPr>
                                                <w:rFonts w:ascii="Cambria Math" w:hAnsi="Cambria Math"/>
                                              </w:rPr>
                                              <m:t>VU_SII</m:t>
                                            </m:r>
                                          </m:e>
                                          <m:sub>
                                            <m:r>
                                              <w:rPr>
                                                <w:rFonts w:ascii="Cambria Math" w:hAnsi="Cambria Math"/>
                                              </w:rPr>
                                              <m:t>j</m:t>
                                            </m:r>
                                          </m:sub>
                                        </m:sSub>
                                      </m:sup>
                                    </m:sSup>
                                    <m:r>
                                      <w:rPr>
                                        <w:rFonts w:ascii="Cambria Math" w:hAnsi="Cambria Math"/>
                                      </w:rPr>
                                      <m:t>-1</m:t>
                                    </m:r>
                                  </m:den>
                                </m:f>
                              </m:den>
                            </m:f>
                          </m:e>
                        </m:d>
                      </m:e>
                    </m:eqArr>
                  </m:e>
                </m:d>
              </m:oMath>
            </m:oMathPara>
          </w:p>
        </w:tc>
        <w:tc>
          <w:tcPr>
            <w:tcW w:w="2835" w:type="dxa"/>
            <w:shd w:val="clear" w:color="auto" w:fill="auto"/>
          </w:tcPr>
          <w:p w14:paraId="4E13FE1F" w14:textId="77777777" w:rsidR="00F038F7" w:rsidRDefault="00F038F7" w:rsidP="001B4185"/>
          <w:p w14:paraId="7008C6AC" w14:textId="77777777" w:rsidR="001B4185" w:rsidRPr="00C636E3" w:rsidRDefault="00C636E3" w:rsidP="001B4185">
            <m:oMathPara>
              <m:oMathParaPr>
                <m:jc m:val="right"/>
              </m:oMathParaPr>
              <m:oMath>
                <m:r>
                  <w:rPr>
                    <w:rFonts w:ascii="Cambria Math" w:hAnsi="Cambria Math"/>
                  </w:rPr>
                  <m:t xml:space="preserve">si </m:t>
                </m:r>
                <m:sSub>
                  <m:sSubPr>
                    <m:ctrlPr>
                      <w:rPr>
                        <w:rFonts w:ascii="Cambria Math" w:hAnsi="Cambria Math"/>
                      </w:rPr>
                    </m:ctrlPr>
                  </m:sSubPr>
                  <m:e>
                    <m:r>
                      <w:rPr>
                        <w:rFonts w:ascii="Cambria Math" w:hAnsi="Cambria Math"/>
                      </w:rPr>
                      <m:t>VU</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VU_SII</m:t>
                    </m:r>
                  </m:e>
                  <m:sub>
                    <m:r>
                      <w:rPr>
                        <w:rFonts w:ascii="Cambria Math" w:hAnsi="Cambria Math"/>
                      </w:rPr>
                      <m:t>j</m:t>
                    </m:r>
                  </m:sub>
                </m:sSub>
              </m:oMath>
            </m:oMathPara>
          </w:p>
        </w:tc>
      </w:tr>
      <w:tr w:rsidR="001B4185" w:rsidRPr="002C2818" w14:paraId="0B955351" w14:textId="77777777">
        <w:trPr>
          <w:trHeight w:val="999"/>
          <w:jc w:val="center"/>
        </w:trPr>
        <w:tc>
          <w:tcPr>
            <w:tcW w:w="6804" w:type="dxa"/>
            <w:gridSpan w:val="3"/>
            <w:vMerge/>
            <w:shd w:val="clear" w:color="auto" w:fill="auto"/>
          </w:tcPr>
          <w:p w14:paraId="62683011" w14:textId="77777777" w:rsidR="001B4185" w:rsidRPr="002C2818" w:rsidRDefault="001B4185" w:rsidP="001B4185">
            <w:pPr>
              <w:rPr>
                <w:rFonts w:cs="Calibri"/>
              </w:rPr>
            </w:pPr>
          </w:p>
        </w:tc>
        <w:tc>
          <w:tcPr>
            <w:tcW w:w="2835" w:type="dxa"/>
            <w:shd w:val="clear" w:color="auto" w:fill="auto"/>
          </w:tcPr>
          <w:p w14:paraId="5208D93C" w14:textId="77777777" w:rsidR="00F038F7" w:rsidRDefault="00F038F7" w:rsidP="001B4185"/>
          <w:p w14:paraId="3882C391" w14:textId="77777777" w:rsidR="001B4185" w:rsidRPr="00C636E3" w:rsidRDefault="00C636E3" w:rsidP="001B4185">
            <m:oMathPara>
              <m:oMathParaPr>
                <m:jc m:val="right"/>
              </m:oMathParaPr>
              <m:oMath>
                <m:r>
                  <w:rPr>
                    <w:rFonts w:ascii="Cambria Math" w:hAnsi="Cambria Math"/>
                  </w:rPr>
                  <m:t xml:space="preserve">si </m:t>
                </m:r>
                <m:sSub>
                  <m:sSubPr>
                    <m:ctrlPr>
                      <w:rPr>
                        <w:rFonts w:ascii="Cambria Math" w:hAnsi="Cambria Math"/>
                      </w:rPr>
                    </m:ctrlPr>
                  </m:sSubPr>
                  <m:e>
                    <m:r>
                      <w:rPr>
                        <w:rFonts w:ascii="Cambria Math" w:hAnsi="Cambria Math"/>
                      </w:rPr>
                      <m:t>VU</m:t>
                    </m:r>
                  </m:e>
                  <m:sub>
                    <m:r>
                      <w:rPr>
                        <w:rFonts w:ascii="Cambria Math" w:hAnsi="Cambria Math"/>
                      </w:rPr>
                      <m:t>j</m:t>
                    </m:r>
                  </m:sub>
                </m:sSub>
                <m:r>
                  <w:rPr>
                    <w:rFonts w:ascii="Cambria Math" w:hAnsi="Cambria Math"/>
                  </w:rPr>
                  <m:t>&gt;</m:t>
                </m:r>
                <m:sSub>
                  <m:sSubPr>
                    <m:ctrlPr>
                      <w:rPr>
                        <w:rFonts w:ascii="Cambria Math" w:hAnsi="Cambria Math"/>
                      </w:rPr>
                    </m:ctrlPr>
                  </m:sSubPr>
                  <m:e>
                    <m:r>
                      <w:rPr>
                        <w:rFonts w:ascii="Cambria Math" w:hAnsi="Cambria Math"/>
                      </w:rPr>
                      <m:t>VU_SII</m:t>
                    </m:r>
                  </m:e>
                  <m:sub>
                    <m:r>
                      <w:rPr>
                        <w:rFonts w:ascii="Cambria Math" w:hAnsi="Cambria Math"/>
                      </w:rPr>
                      <m:t>j</m:t>
                    </m:r>
                  </m:sub>
                </m:sSub>
              </m:oMath>
            </m:oMathPara>
          </w:p>
        </w:tc>
      </w:tr>
      <w:tr w:rsidR="001B4185" w:rsidRPr="002C2818" w14:paraId="69293504" w14:textId="77777777">
        <w:trPr>
          <w:jc w:val="center"/>
        </w:trPr>
        <w:tc>
          <w:tcPr>
            <w:tcW w:w="1701" w:type="dxa"/>
            <w:gridSpan w:val="2"/>
            <w:shd w:val="clear" w:color="auto" w:fill="auto"/>
          </w:tcPr>
          <w:p w14:paraId="1CB794E4" w14:textId="77777777" w:rsidR="00101270" w:rsidRDefault="00101270" w:rsidP="001B4185">
            <w:pPr>
              <w:rPr>
                <w:rFonts w:ascii="Cambria Math" w:hAnsi="Cambria Math" w:cs="Cambria Math"/>
              </w:rPr>
            </w:pPr>
          </w:p>
          <w:p w14:paraId="7185AFFA" w14:textId="77777777" w:rsidR="00101270" w:rsidRDefault="00101270" w:rsidP="001B4185">
            <w:pPr>
              <w:rPr>
                <w:rFonts w:ascii="Cambria Math" w:hAnsi="Cambria Math" w:cs="Cambria Math"/>
              </w:rPr>
            </w:pPr>
          </w:p>
          <w:p w14:paraId="5F337A21" w14:textId="77777777" w:rsidR="00101270" w:rsidRDefault="00101270" w:rsidP="001B4185">
            <w:pPr>
              <w:rPr>
                <w:rFonts w:ascii="Cambria Math" w:hAnsi="Cambria Math" w:cs="Cambria Math"/>
              </w:rPr>
            </w:pPr>
          </w:p>
          <w:p w14:paraId="7AAA0265" w14:textId="30BD09F3" w:rsidR="001B4185" w:rsidRPr="002C2818" w:rsidRDefault="001B4185" w:rsidP="001B4185">
            <w:r w:rsidRPr="002C2818">
              <w:rPr>
                <w:rFonts w:ascii="Cambria Math" w:hAnsi="Cambria Math" w:cs="Cambria Math"/>
              </w:rPr>
              <w:t>𝑉𝑈</w:t>
            </w:r>
            <w:r w:rsidRPr="002C2818">
              <w:t>_</w:t>
            </w:r>
            <w:r w:rsidRPr="002C2818">
              <w:rPr>
                <w:rFonts w:ascii="Cambria Math" w:hAnsi="Cambria Math" w:cs="Cambria Math"/>
              </w:rPr>
              <w:t>𝑆𝐼𝐼</w:t>
            </w:r>
            <w:r w:rsidRPr="002C2818">
              <w:t xml:space="preserve">j :  </w:t>
            </w:r>
          </w:p>
        </w:tc>
        <w:tc>
          <w:tcPr>
            <w:tcW w:w="7938" w:type="dxa"/>
            <w:gridSpan w:val="2"/>
            <w:shd w:val="clear" w:color="auto" w:fill="auto"/>
          </w:tcPr>
          <w:p w14:paraId="672AD0D4" w14:textId="77777777" w:rsidR="00D46075" w:rsidRDefault="00D46075" w:rsidP="001B4185"/>
          <w:p w14:paraId="709A43D5" w14:textId="77777777" w:rsidR="001B4185" w:rsidRPr="002C2818" w:rsidRDefault="001B4185" w:rsidP="001B4185">
            <w:r w:rsidRPr="002C2818">
              <w:t xml:space="preserve">Vida útil normal fijada por el Servicio de Impuestos Internos mediante Resolución Nº 43 del 26 de diciembre de 2002 y sus modificaciones o la que la reemplace, para dicha instalación económicamente identificable “j”, expresada en años. </w:t>
            </w:r>
          </w:p>
        </w:tc>
      </w:tr>
      <w:tr w:rsidR="001B4185" w:rsidRPr="002C2818" w14:paraId="04670FBF" w14:textId="77777777">
        <w:trPr>
          <w:jc w:val="center"/>
        </w:trPr>
        <w:tc>
          <w:tcPr>
            <w:tcW w:w="1701" w:type="dxa"/>
            <w:gridSpan w:val="2"/>
            <w:shd w:val="clear" w:color="auto" w:fill="auto"/>
          </w:tcPr>
          <w:p w14:paraId="6CE3D75B" w14:textId="77777777" w:rsidR="001B4185" w:rsidRPr="002C2818" w:rsidRDefault="001B4185" w:rsidP="001B4185">
            <w:r w:rsidRPr="002C2818">
              <w:rPr>
                <w:rFonts w:ascii="Cambria Math" w:hAnsi="Cambria Math" w:cs="Cambria Math"/>
              </w:rPr>
              <w:t>𝑉𝑈</w:t>
            </w:r>
            <w:r w:rsidRPr="002C2818">
              <w:t>j        :</w:t>
            </w:r>
          </w:p>
        </w:tc>
        <w:tc>
          <w:tcPr>
            <w:tcW w:w="7938" w:type="dxa"/>
            <w:gridSpan w:val="2"/>
            <w:shd w:val="clear" w:color="auto" w:fill="auto"/>
          </w:tcPr>
          <w:p w14:paraId="7BC9B664" w14:textId="77777777" w:rsidR="001B4185" w:rsidRPr="002C2818" w:rsidRDefault="001B4185" w:rsidP="001B4185">
            <w:r w:rsidRPr="002C2818">
              <w:t>Vida útil de la instalación económicamente identificable “j” expresada en años.</w:t>
            </w:r>
          </w:p>
        </w:tc>
      </w:tr>
      <w:tr w:rsidR="001B4185" w:rsidRPr="002C2818" w14:paraId="4A5C4CF3" w14:textId="77777777">
        <w:trPr>
          <w:jc w:val="center"/>
        </w:trPr>
        <w:tc>
          <w:tcPr>
            <w:tcW w:w="1701" w:type="dxa"/>
            <w:gridSpan w:val="2"/>
            <w:shd w:val="clear" w:color="auto" w:fill="auto"/>
          </w:tcPr>
          <w:p w14:paraId="00D3B7C8" w14:textId="77777777" w:rsidR="001B4185" w:rsidRPr="002C2818" w:rsidRDefault="001B4185" w:rsidP="001B4185">
            <w:r w:rsidRPr="002C2818">
              <w:rPr>
                <w:rFonts w:ascii="Cambria Math" w:hAnsi="Cambria Math" w:cs="Cambria Math"/>
              </w:rPr>
              <w:t>𝑟</w:t>
            </w:r>
            <w:r w:rsidRPr="002C2818">
              <w:t xml:space="preserve">             :</w:t>
            </w:r>
          </w:p>
        </w:tc>
        <w:tc>
          <w:tcPr>
            <w:tcW w:w="7938" w:type="dxa"/>
            <w:gridSpan w:val="2"/>
            <w:shd w:val="clear" w:color="auto" w:fill="auto"/>
          </w:tcPr>
          <w:p w14:paraId="553E1945" w14:textId="77777777" w:rsidR="001B4185" w:rsidRPr="00C82269" w:rsidRDefault="001B4185" w:rsidP="001B4185">
            <w:r w:rsidRPr="002C2818">
              <w:t>Tasa de descuento a que hace referencia el artículo 118° de la Ley.</w:t>
            </w:r>
          </w:p>
        </w:tc>
      </w:tr>
    </w:tbl>
    <w:p w14:paraId="03A61B7D" w14:textId="2BB5A235" w:rsidR="00F55404" w:rsidRDefault="00F55404" w:rsidP="00F55404">
      <w:bookmarkStart w:id="342" w:name="_Toc27147810"/>
    </w:p>
    <w:p w14:paraId="16794CE0" w14:textId="77777777" w:rsidR="00FD6857" w:rsidRPr="003C0294" w:rsidRDefault="003C0294" w:rsidP="003C0294">
      <w:pPr>
        <w:pStyle w:val="Ttulo2"/>
        <w:rPr>
          <w:sz w:val="24"/>
          <w:szCs w:val="24"/>
        </w:rPr>
      </w:pPr>
      <w:bookmarkStart w:id="343" w:name="_Toc34687282"/>
      <w:r w:rsidRPr="003C0294">
        <w:rPr>
          <w:sz w:val="24"/>
          <w:szCs w:val="24"/>
        </w:rPr>
        <w:t>Tasa de Descuento</w:t>
      </w:r>
      <w:bookmarkEnd w:id="343"/>
    </w:p>
    <w:p w14:paraId="4686E545" w14:textId="77777777" w:rsidR="003C0294" w:rsidRDefault="003C0294" w:rsidP="00F55404">
      <w:r w:rsidRPr="00EE2F47">
        <w:t xml:space="preserve">De acuerdo a las señaladas disposiciones legales, la tasa de descuento a utilizar para determinar el V.A.T.T. aplicable al cuadrienio 2020-2023 corresponde al </w:t>
      </w:r>
      <w:r w:rsidRPr="003C0294">
        <w:rPr>
          <w:b/>
          <w:bCs/>
        </w:rPr>
        <w:t>7,00%</w:t>
      </w:r>
      <w:r w:rsidRPr="003C0294">
        <w:t xml:space="preserve"> después de impuestos</w:t>
      </w:r>
      <w:r w:rsidRPr="00EE2F47">
        <w:t>, según se consigna en el Informe Técnico de la CNE a que se refiere el Artículo 119°, y que contiene el valor de ésta, así como el de sus diferentes componentes</w:t>
      </w:r>
      <w:r w:rsidRPr="00532572">
        <w:rPr>
          <w:rStyle w:val="Refdenotaalpie"/>
        </w:rPr>
        <w:footnoteReference w:id="34"/>
      </w:r>
    </w:p>
    <w:p w14:paraId="4016753D" w14:textId="77777777" w:rsidR="00F55404" w:rsidRDefault="00FD6857" w:rsidP="006B5F45">
      <w:pPr>
        <w:pStyle w:val="Ttulo2"/>
      </w:pPr>
      <w:bookmarkStart w:id="344" w:name="_Toc34687283"/>
      <w:r>
        <w:rPr>
          <w:sz w:val="24"/>
          <w:szCs w:val="24"/>
        </w:rPr>
        <w:t xml:space="preserve">Vida Útil de las Instalaciones y </w:t>
      </w:r>
      <w:r w:rsidR="001B4185" w:rsidRPr="00F55404">
        <w:rPr>
          <w:sz w:val="24"/>
          <w:szCs w:val="24"/>
        </w:rPr>
        <w:t>Resolución Exenta N°412</w:t>
      </w:r>
      <w:bookmarkEnd w:id="342"/>
      <w:bookmarkEnd w:id="344"/>
    </w:p>
    <w:p w14:paraId="389C7196" w14:textId="77777777" w:rsidR="001B4185" w:rsidRPr="00EE2F47" w:rsidRDefault="001B4185" w:rsidP="001B4185">
      <w:r w:rsidRPr="00EE2F47">
        <w:t>El 5 de junio de 2018 la CNE emitió la Resolución Exenta N°412 que “Aprueba Informe Técnico Definitivo de Vidas Útiles a que se refiere el artículo 104° de la Ley General de Servicios Eléctricos y determina las vidas útiles de las instalaciones de transmisión que indica, aplicables por tres períodos tarifarios consecutivos”</w:t>
      </w:r>
      <w:r w:rsidR="00847C84">
        <w:rPr>
          <w:rStyle w:val="Refdenotaalpie"/>
        </w:rPr>
        <w:footnoteReference w:id="35"/>
      </w:r>
      <w:r w:rsidRPr="00EE2F47">
        <w:t>.</w:t>
      </w:r>
    </w:p>
    <w:p w14:paraId="64BE6BD2" w14:textId="77777777" w:rsidR="001B4185" w:rsidRDefault="001B4185" w:rsidP="001B4185">
      <w:r w:rsidRPr="00EE2F47">
        <w:t>El Informe Técnico señalado analiza las 15 categorías de instalaciones establecidas en el Artículo 5° de la Resolución N°380, determinando para cada una de ellas la correspondiente vida útil establecida en años. Las mismas son las siguientes:</w:t>
      </w:r>
    </w:p>
    <w:p w14:paraId="0CBA66BA" w14:textId="77777777" w:rsidR="003C0294" w:rsidRDefault="003C0294" w:rsidP="001B4185"/>
    <w:p w14:paraId="384ACCFC" w14:textId="0235CE6A" w:rsidR="001B4185" w:rsidRPr="003E08AB" w:rsidRDefault="001B4185" w:rsidP="00853220">
      <w:pPr>
        <w:spacing w:after="120"/>
        <w:jc w:val="center"/>
        <w:rPr>
          <w:b/>
          <w:bCs/>
          <w:sz w:val="20"/>
          <w:szCs w:val="20"/>
        </w:rPr>
      </w:pPr>
      <w:bookmarkStart w:id="345" w:name="_Toc27147881"/>
      <w:r>
        <w:rPr>
          <w:b/>
          <w:bCs/>
          <w:sz w:val="20"/>
          <w:szCs w:val="20"/>
        </w:rPr>
        <w:t>Tabla Nº</w:t>
      </w:r>
      <w:r w:rsidRPr="00635F7D">
        <w:rPr>
          <w:b/>
          <w:bCs/>
          <w:sz w:val="20"/>
          <w:szCs w:val="20"/>
        </w:rPr>
        <w:t xml:space="preserve"> </w:t>
      </w:r>
      <w:r>
        <w:rPr>
          <w:b/>
          <w:bCs/>
          <w:sz w:val="20"/>
          <w:szCs w:val="20"/>
        </w:rPr>
        <w:fldChar w:fldCharType="begin"/>
      </w:r>
      <w:r>
        <w:rPr>
          <w:b/>
          <w:bCs/>
          <w:sz w:val="20"/>
          <w:szCs w:val="20"/>
        </w:rPr>
        <w:instrText xml:space="preserve"> SEQ Tabla_Nº \* ARABIC </w:instrText>
      </w:r>
      <w:r>
        <w:rPr>
          <w:b/>
          <w:bCs/>
          <w:sz w:val="20"/>
          <w:szCs w:val="20"/>
        </w:rPr>
        <w:fldChar w:fldCharType="separate"/>
      </w:r>
      <w:r w:rsidR="00F14BED">
        <w:rPr>
          <w:b/>
          <w:bCs/>
          <w:noProof/>
          <w:sz w:val="20"/>
          <w:szCs w:val="20"/>
        </w:rPr>
        <w:t>2</w:t>
      </w:r>
      <w:r>
        <w:rPr>
          <w:b/>
          <w:bCs/>
          <w:sz w:val="20"/>
          <w:szCs w:val="20"/>
        </w:rPr>
        <w:fldChar w:fldCharType="end"/>
      </w:r>
      <w:r w:rsidRPr="00635F7D">
        <w:rPr>
          <w:b/>
          <w:bCs/>
          <w:sz w:val="20"/>
          <w:szCs w:val="20"/>
        </w:rPr>
        <w:t xml:space="preserve"> </w:t>
      </w:r>
      <w:r w:rsidRPr="00684304">
        <w:rPr>
          <w:b/>
          <w:bCs/>
          <w:sz w:val="20"/>
          <w:szCs w:val="20"/>
        </w:rPr>
        <w:t>Vida Útil por Categoría de Elemento (años). Res. Exta. N°412</w:t>
      </w:r>
      <w:bookmarkEnd w:id="3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51"/>
        <w:gridCol w:w="7088"/>
        <w:gridCol w:w="1701"/>
      </w:tblGrid>
      <w:tr w:rsidR="001B4185" w:rsidRPr="002C2818" w14:paraId="487C1ED0" w14:textId="77777777">
        <w:trPr>
          <w:jc w:val="center"/>
        </w:trPr>
        <w:tc>
          <w:tcPr>
            <w:tcW w:w="851" w:type="dxa"/>
            <w:shd w:val="clear" w:color="auto" w:fill="D0CECE"/>
            <w:vAlign w:val="center"/>
          </w:tcPr>
          <w:p w14:paraId="28A6A17C" w14:textId="77777777" w:rsidR="001B4185" w:rsidRPr="002C2818" w:rsidRDefault="001B4185" w:rsidP="001B4185">
            <w:pPr>
              <w:spacing w:before="20" w:after="20" w:line="240" w:lineRule="auto"/>
              <w:jc w:val="center"/>
              <w:rPr>
                <w:rFonts w:cs="Calibri"/>
                <w:b/>
                <w:bCs/>
                <w:sz w:val="20"/>
                <w:szCs w:val="20"/>
              </w:rPr>
            </w:pPr>
            <w:r w:rsidRPr="002C2818">
              <w:rPr>
                <w:rFonts w:cs="Calibri"/>
                <w:b/>
                <w:bCs/>
                <w:sz w:val="20"/>
                <w:szCs w:val="20"/>
              </w:rPr>
              <w:t>N°</w:t>
            </w:r>
          </w:p>
        </w:tc>
        <w:tc>
          <w:tcPr>
            <w:tcW w:w="7088" w:type="dxa"/>
            <w:shd w:val="clear" w:color="auto" w:fill="D0CECE"/>
            <w:vAlign w:val="center"/>
          </w:tcPr>
          <w:p w14:paraId="1B8DE5E5" w14:textId="77777777" w:rsidR="001B4185" w:rsidRPr="002C2818" w:rsidRDefault="001B4185" w:rsidP="001B4185">
            <w:pPr>
              <w:spacing w:before="20" w:after="20" w:line="240" w:lineRule="auto"/>
              <w:jc w:val="center"/>
              <w:rPr>
                <w:rFonts w:cs="Calibri"/>
                <w:b/>
                <w:bCs/>
                <w:sz w:val="20"/>
                <w:szCs w:val="20"/>
              </w:rPr>
            </w:pPr>
            <w:r w:rsidRPr="002C2818">
              <w:rPr>
                <w:rFonts w:cs="Calibri"/>
                <w:b/>
                <w:bCs/>
                <w:sz w:val="20"/>
                <w:szCs w:val="20"/>
              </w:rPr>
              <w:t>Categoría de elementos</w:t>
            </w:r>
          </w:p>
        </w:tc>
        <w:tc>
          <w:tcPr>
            <w:tcW w:w="1701" w:type="dxa"/>
            <w:shd w:val="clear" w:color="auto" w:fill="D0CECE"/>
            <w:vAlign w:val="center"/>
          </w:tcPr>
          <w:p w14:paraId="2DB93F7C" w14:textId="77777777" w:rsidR="001B4185" w:rsidRPr="002C2818" w:rsidRDefault="001B4185" w:rsidP="001B4185">
            <w:pPr>
              <w:spacing w:before="20" w:after="20" w:line="240" w:lineRule="auto"/>
              <w:jc w:val="center"/>
              <w:rPr>
                <w:rFonts w:cs="Calibri"/>
                <w:b/>
                <w:bCs/>
                <w:sz w:val="20"/>
                <w:szCs w:val="20"/>
              </w:rPr>
            </w:pPr>
            <w:r w:rsidRPr="002C2818">
              <w:rPr>
                <w:rFonts w:cs="Calibri"/>
                <w:b/>
                <w:bCs/>
                <w:sz w:val="20"/>
                <w:szCs w:val="20"/>
              </w:rPr>
              <w:t>Vida útil</w:t>
            </w:r>
          </w:p>
          <w:p w14:paraId="36C541DA" w14:textId="77777777" w:rsidR="001B4185" w:rsidRPr="002C2818" w:rsidRDefault="001B4185" w:rsidP="001B4185">
            <w:pPr>
              <w:spacing w:before="20" w:after="20" w:line="240" w:lineRule="auto"/>
              <w:jc w:val="center"/>
              <w:rPr>
                <w:rFonts w:cs="Calibri"/>
                <w:b/>
                <w:bCs/>
                <w:sz w:val="20"/>
                <w:szCs w:val="20"/>
              </w:rPr>
            </w:pPr>
            <w:r w:rsidRPr="002C2818">
              <w:rPr>
                <w:rFonts w:cs="Calibri"/>
                <w:b/>
                <w:bCs/>
                <w:sz w:val="20"/>
                <w:szCs w:val="20"/>
              </w:rPr>
              <w:t>[Años]</w:t>
            </w:r>
          </w:p>
        </w:tc>
      </w:tr>
      <w:tr w:rsidR="001B4185" w:rsidRPr="002C2818" w14:paraId="3FF98A41" w14:textId="77777777">
        <w:trPr>
          <w:jc w:val="center"/>
        </w:trPr>
        <w:tc>
          <w:tcPr>
            <w:tcW w:w="851" w:type="dxa"/>
            <w:shd w:val="clear" w:color="auto" w:fill="auto"/>
            <w:vAlign w:val="center"/>
          </w:tcPr>
          <w:p w14:paraId="5CB6EA80"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w:t>
            </w:r>
          </w:p>
        </w:tc>
        <w:tc>
          <w:tcPr>
            <w:tcW w:w="7088" w:type="dxa"/>
            <w:shd w:val="clear" w:color="auto" w:fill="auto"/>
            <w:vAlign w:val="center"/>
          </w:tcPr>
          <w:p w14:paraId="704F21A4" w14:textId="77777777" w:rsidR="001B4185" w:rsidRPr="002C2818" w:rsidRDefault="001B4185" w:rsidP="001B4185">
            <w:pPr>
              <w:spacing w:before="20" w:after="20" w:line="240" w:lineRule="auto"/>
              <w:rPr>
                <w:rFonts w:cs="Calibri"/>
                <w:sz w:val="20"/>
                <w:szCs w:val="20"/>
              </w:rPr>
            </w:pPr>
            <w:r w:rsidRPr="002C2818">
              <w:rPr>
                <w:rFonts w:cs="Calibri"/>
                <w:sz w:val="20"/>
                <w:szCs w:val="20"/>
              </w:rPr>
              <w:t>Derechos relacionados con el uso de suelo y medio ambiente</w:t>
            </w:r>
          </w:p>
        </w:tc>
        <w:tc>
          <w:tcPr>
            <w:tcW w:w="1701" w:type="dxa"/>
            <w:shd w:val="clear" w:color="auto" w:fill="auto"/>
            <w:vAlign w:val="center"/>
          </w:tcPr>
          <w:p w14:paraId="26CA750F"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Perpetuidad</w:t>
            </w:r>
          </w:p>
        </w:tc>
      </w:tr>
      <w:tr w:rsidR="001B4185" w:rsidRPr="002C2818" w14:paraId="1BFB0226" w14:textId="77777777">
        <w:trPr>
          <w:jc w:val="center"/>
        </w:trPr>
        <w:tc>
          <w:tcPr>
            <w:tcW w:w="851" w:type="dxa"/>
            <w:shd w:val="clear" w:color="auto" w:fill="auto"/>
            <w:vAlign w:val="center"/>
          </w:tcPr>
          <w:p w14:paraId="6339B63B"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2</w:t>
            </w:r>
          </w:p>
        </w:tc>
        <w:tc>
          <w:tcPr>
            <w:tcW w:w="7088" w:type="dxa"/>
            <w:shd w:val="clear" w:color="auto" w:fill="auto"/>
            <w:vAlign w:val="center"/>
          </w:tcPr>
          <w:p w14:paraId="3810CE60" w14:textId="77777777" w:rsidR="001B4185" w:rsidRPr="002C2818" w:rsidRDefault="001B4185" w:rsidP="001B4185">
            <w:pPr>
              <w:spacing w:before="20" w:after="20" w:line="240" w:lineRule="auto"/>
              <w:rPr>
                <w:rFonts w:cs="Calibri"/>
                <w:sz w:val="20"/>
                <w:szCs w:val="20"/>
              </w:rPr>
            </w:pPr>
            <w:r w:rsidRPr="002C2818">
              <w:rPr>
                <w:rFonts w:cs="Calibri"/>
                <w:sz w:val="20"/>
                <w:szCs w:val="20"/>
              </w:rPr>
              <w:t>Obras civiles</w:t>
            </w:r>
          </w:p>
        </w:tc>
        <w:tc>
          <w:tcPr>
            <w:tcW w:w="1701" w:type="dxa"/>
            <w:shd w:val="clear" w:color="auto" w:fill="auto"/>
            <w:vAlign w:val="center"/>
          </w:tcPr>
          <w:p w14:paraId="77CA03A6"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50</w:t>
            </w:r>
          </w:p>
        </w:tc>
      </w:tr>
      <w:tr w:rsidR="001B4185" w:rsidRPr="002C2818" w14:paraId="03917482" w14:textId="77777777">
        <w:trPr>
          <w:jc w:val="center"/>
        </w:trPr>
        <w:tc>
          <w:tcPr>
            <w:tcW w:w="851" w:type="dxa"/>
            <w:shd w:val="clear" w:color="auto" w:fill="auto"/>
            <w:vAlign w:val="center"/>
          </w:tcPr>
          <w:p w14:paraId="078E359D"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3</w:t>
            </w:r>
          </w:p>
        </w:tc>
        <w:tc>
          <w:tcPr>
            <w:tcW w:w="7088" w:type="dxa"/>
            <w:shd w:val="clear" w:color="auto" w:fill="auto"/>
            <w:vAlign w:val="center"/>
          </w:tcPr>
          <w:p w14:paraId="75AB7849" w14:textId="77777777" w:rsidR="001B4185" w:rsidRPr="002C2818" w:rsidRDefault="001B4185" w:rsidP="001B4185">
            <w:pPr>
              <w:spacing w:before="20" w:after="20" w:line="240" w:lineRule="auto"/>
              <w:rPr>
                <w:rFonts w:cs="Calibri"/>
                <w:sz w:val="20"/>
                <w:szCs w:val="20"/>
              </w:rPr>
            </w:pPr>
            <w:r w:rsidRPr="002C2818">
              <w:rPr>
                <w:rFonts w:cs="Calibri"/>
                <w:sz w:val="20"/>
                <w:szCs w:val="20"/>
              </w:rPr>
              <w:t>Estructuras de líneas y/o subestaciones</w:t>
            </w:r>
          </w:p>
        </w:tc>
        <w:tc>
          <w:tcPr>
            <w:tcW w:w="1701" w:type="dxa"/>
            <w:shd w:val="clear" w:color="auto" w:fill="auto"/>
            <w:vAlign w:val="center"/>
          </w:tcPr>
          <w:p w14:paraId="4E3287D2"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50</w:t>
            </w:r>
          </w:p>
        </w:tc>
      </w:tr>
      <w:tr w:rsidR="001B4185" w:rsidRPr="002C2818" w14:paraId="6722F8B6" w14:textId="77777777">
        <w:trPr>
          <w:jc w:val="center"/>
        </w:trPr>
        <w:tc>
          <w:tcPr>
            <w:tcW w:w="851" w:type="dxa"/>
            <w:shd w:val="clear" w:color="auto" w:fill="auto"/>
            <w:vAlign w:val="center"/>
          </w:tcPr>
          <w:p w14:paraId="7E2F644F"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4</w:t>
            </w:r>
          </w:p>
        </w:tc>
        <w:tc>
          <w:tcPr>
            <w:tcW w:w="7088" w:type="dxa"/>
            <w:shd w:val="clear" w:color="auto" w:fill="auto"/>
            <w:vAlign w:val="center"/>
          </w:tcPr>
          <w:p w14:paraId="7B2816AB" w14:textId="77777777" w:rsidR="001B4185" w:rsidRPr="002C2818" w:rsidRDefault="001B4185" w:rsidP="001B4185">
            <w:pPr>
              <w:spacing w:before="20" w:after="20" w:line="240" w:lineRule="auto"/>
              <w:rPr>
                <w:rFonts w:cs="Calibri"/>
                <w:sz w:val="20"/>
                <w:szCs w:val="20"/>
              </w:rPr>
            </w:pPr>
            <w:r w:rsidRPr="002C2818">
              <w:rPr>
                <w:rFonts w:cs="Calibri"/>
                <w:sz w:val="20"/>
                <w:szCs w:val="20"/>
              </w:rPr>
              <w:t>Elementos de sujeción y aislación</w:t>
            </w:r>
          </w:p>
        </w:tc>
        <w:tc>
          <w:tcPr>
            <w:tcW w:w="1701" w:type="dxa"/>
            <w:shd w:val="clear" w:color="auto" w:fill="auto"/>
            <w:vAlign w:val="center"/>
          </w:tcPr>
          <w:p w14:paraId="4BFA9495"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30</w:t>
            </w:r>
          </w:p>
        </w:tc>
      </w:tr>
      <w:tr w:rsidR="001B4185" w:rsidRPr="002C2818" w14:paraId="32C25961" w14:textId="77777777">
        <w:trPr>
          <w:jc w:val="center"/>
        </w:trPr>
        <w:tc>
          <w:tcPr>
            <w:tcW w:w="851" w:type="dxa"/>
            <w:shd w:val="clear" w:color="auto" w:fill="auto"/>
            <w:vAlign w:val="center"/>
          </w:tcPr>
          <w:p w14:paraId="43AC3D20"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w:t>
            </w:r>
          </w:p>
        </w:tc>
        <w:tc>
          <w:tcPr>
            <w:tcW w:w="7088" w:type="dxa"/>
            <w:shd w:val="clear" w:color="auto" w:fill="auto"/>
            <w:vAlign w:val="center"/>
          </w:tcPr>
          <w:p w14:paraId="41B1DAC1" w14:textId="77777777" w:rsidR="001B4185" w:rsidRPr="002C2818" w:rsidRDefault="001B4185" w:rsidP="001B4185">
            <w:pPr>
              <w:spacing w:before="20" w:after="20" w:line="240" w:lineRule="auto"/>
              <w:rPr>
                <w:rFonts w:cs="Calibri"/>
                <w:sz w:val="20"/>
                <w:szCs w:val="20"/>
              </w:rPr>
            </w:pPr>
            <w:r w:rsidRPr="002C2818">
              <w:rPr>
                <w:rFonts w:cs="Calibri"/>
                <w:sz w:val="20"/>
                <w:szCs w:val="20"/>
              </w:rPr>
              <w:t>Equipamiento electromecánico y electromagnético</w:t>
            </w:r>
          </w:p>
        </w:tc>
        <w:tc>
          <w:tcPr>
            <w:tcW w:w="1701" w:type="dxa"/>
            <w:shd w:val="clear" w:color="auto" w:fill="auto"/>
            <w:vAlign w:val="center"/>
          </w:tcPr>
          <w:p w14:paraId="5F21E7B1"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40</w:t>
            </w:r>
          </w:p>
        </w:tc>
      </w:tr>
      <w:tr w:rsidR="001B4185" w:rsidRPr="002C2818" w14:paraId="7F0EFB32" w14:textId="77777777">
        <w:trPr>
          <w:jc w:val="center"/>
        </w:trPr>
        <w:tc>
          <w:tcPr>
            <w:tcW w:w="851" w:type="dxa"/>
            <w:shd w:val="clear" w:color="auto" w:fill="auto"/>
            <w:vAlign w:val="center"/>
          </w:tcPr>
          <w:p w14:paraId="64EB9D2D"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6</w:t>
            </w:r>
          </w:p>
        </w:tc>
        <w:tc>
          <w:tcPr>
            <w:tcW w:w="7088" w:type="dxa"/>
            <w:shd w:val="clear" w:color="auto" w:fill="auto"/>
            <w:vAlign w:val="center"/>
          </w:tcPr>
          <w:p w14:paraId="3DF9B75E" w14:textId="77777777" w:rsidR="001B4185" w:rsidRPr="002C2818" w:rsidRDefault="001B4185" w:rsidP="001B4185">
            <w:pPr>
              <w:spacing w:before="20" w:after="20" w:line="240" w:lineRule="auto"/>
              <w:rPr>
                <w:rFonts w:cs="Calibri"/>
                <w:sz w:val="20"/>
                <w:szCs w:val="20"/>
              </w:rPr>
            </w:pPr>
            <w:r w:rsidRPr="002C2818">
              <w:rPr>
                <w:rFonts w:cs="Calibri"/>
                <w:sz w:val="20"/>
                <w:szCs w:val="20"/>
              </w:rPr>
              <w:t>Conductores y cables de guardias</w:t>
            </w:r>
          </w:p>
        </w:tc>
        <w:tc>
          <w:tcPr>
            <w:tcW w:w="1701" w:type="dxa"/>
            <w:shd w:val="clear" w:color="auto" w:fill="auto"/>
            <w:vAlign w:val="center"/>
          </w:tcPr>
          <w:p w14:paraId="2FFC59D5"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50</w:t>
            </w:r>
          </w:p>
        </w:tc>
      </w:tr>
      <w:tr w:rsidR="001B4185" w:rsidRPr="002C2818" w14:paraId="5A1BD386" w14:textId="77777777">
        <w:trPr>
          <w:jc w:val="center"/>
        </w:trPr>
        <w:tc>
          <w:tcPr>
            <w:tcW w:w="851" w:type="dxa"/>
            <w:shd w:val="clear" w:color="auto" w:fill="auto"/>
            <w:vAlign w:val="center"/>
          </w:tcPr>
          <w:p w14:paraId="7CC79D8E"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7</w:t>
            </w:r>
          </w:p>
        </w:tc>
        <w:tc>
          <w:tcPr>
            <w:tcW w:w="7088" w:type="dxa"/>
            <w:shd w:val="clear" w:color="auto" w:fill="auto"/>
            <w:vAlign w:val="center"/>
          </w:tcPr>
          <w:p w14:paraId="10F43C1C" w14:textId="77777777" w:rsidR="001B4185" w:rsidRPr="002C2818" w:rsidRDefault="001B4185" w:rsidP="001B4185">
            <w:pPr>
              <w:spacing w:before="20" w:after="20" w:line="240" w:lineRule="auto"/>
              <w:rPr>
                <w:rFonts w:cs="Calibri"/>
                <w:sz w:val="20"/>
                <w:szCs w:val="20"/>
              </w:rPr>
            </w:pPr>
            <w:r w:rsidRPr="002C2818">
              <w:rPr>
                <w:rFonts w:cs="Calibri"/>
                <w:sz w:val="20"/>
                <w:szCs w:val="20"/>
              </w:rPr>
              <w:t>Protecciones electromecánicas y/o electromagnéticas</w:t>
            </w:r>
          </w:p>
        </w:tc>
        <w:tc>
          <w:tcPr>
            <w:tcW w:w="1701" w:type="dxa"/>
            <w:shd w:val="clear" w:color="auto" w:fill="auto"/>
            <w:vAlign w:val="center"/>
          </w:tcPr>
          <w:p w14:paraId="04B2CAD4"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20</w:t>
            </w:r>
          </w:p>
        </w:tc>
      </w:tr>
      <w:tr w:rsidR="001B4185" w:rsidRPr="002C2818" w14:paraId="5C4C243F" w14:textId="77777777">
        <w:trPr>
          <w:jc w:val="center"/>
        </w:trPr>
        <w:tc>
          <w:tcPr>
            <w:tcW w:w="851" w:type="dxa"/>
            <w:shd w:val="clear" w:color="auto" w:fill="auto"/>
            <w:vAlign w:val="center"/>
          </w:tcPr>
          <w:p w14:paraId="788E9178"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8</w:t>
            </w:r>
          </w:p>
        </w:tc>
        <w:tc>
          <w:tcPr>
            <w:tcW w:w="7088" w:type="dxa"/>
            <w:shd w:val="clear" w:color="auto" w:fill="auto"/>
            <w:vAlign w:val="center"/>
          </w:tcPr>
          <w:p w14:paraId="106FA7FA" w14:textId="77777777" w:rsidR="001B4185" w:rsidRPr="002C2818" w:rsidRDefault="001B4185" w:rsidP="001B4185">
            <w:pPr>
              <w:spacing w:before="20" w:after="20" w:line="240" w:lineRule="auto"/>
              <w:rPr>
                <w:rFonts w:cs="Calibri"/>
                <w:sz w:val="20"/>
                <w:szCs w:val="20"/>
              </w:rPr>
            </w:pPr>
            <w:r w:rsidRPr="002C2818">
              <w:rPr>
                <w:rFonts w:cs="Calibri"/>
                <w:sz w:val="20"/>
                <w:szCs w:val="20"/>
              </w:rPr>
              <w:t>Protecciones digitales</w:t>
            </w:r>
          </w:p>
        </w:tc>
        <w:tc>
          <w:tcPr>
            <w:tcW w:w="1701" w:type="dxa"/>
            <w:shd w:val="clear" w:color="auto" w:fill="auto"/>
            <w:vAlign w:val="center"/>
          </w:tcPr>
          <w:p w14:paraId="268BCD35"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15</w:t>
            </w:r>
          </w:p>
        </w:tc>
      </w:tr>
      <w:tr w:rsidR="001B4185" w:rsidRPr="002C2818" w14:paraId="77F80277" w14:textId="77777777">
        <w:trPr>
          <w:jc w:val="center"/>
        </w:trPr>
        <w:tc>
          <w:tcPr>
            <w:tcW w:w="851" w:type="dxa"/>
            <w:shd w:val="clear" w:color="auto" w:fill="auto"/>
            <w:vAlign w:val="center"/>
          </w:tcPr>
          <w:p w14:paraId="7017755A"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9</w:t>
            </w:r>
          </w:p>
        </w:tc>
        <w:tc>
          <w:tcPr>
            <w:tcW w:w="7088" w:type="dxa"/>
            <w:shd w:val="clear" w:color="auto" w:fill="auto"/>
            <w:vAlign w:val="center"/>
          </w:tcPr>
          <w:p w14:paraId="4EFDF02F" w14:textId="77777777" w:rsidR="001B4185" w:rsidRPr="002C2818" w:rsidRDefault="001B4185" w:rsidP="001B4185">
            <w:pPr>
              <w:spacing w:before="20" w:after="20" w:line="240" w:lineRule="auto"/>
              <w:rPr>
                <w:rFonts w:cs="Calibri"/>
                <w:sz w:val="20"/>
                <w:szCs w:val="20"/>
              </w:rPr>
            </w:pPr>
            <w:r w:rsidRPr="002C2818">
              <w:rPr>
                <w:rFonts w:cs="Calibri"/>
                <w:sz w:val="20"/>
                <w:szCs w:val="20"/>
              </w:rPr>
              <w:t>Equipos de control, telecomando, medición, comunicaciones y respaldo</w:t>
            </w:r>
          </w:p>
        </w:tc>
        <w:tc>
          <w:tcPr>
            <w:tcW w:w="1701" w:type="dxa"/>
            <w:shd w:val="clear" w:color="auto" w:fill="auto"/>
            <w:vAlign w:val="center"/>
          </w:tcPr>
          <w:p w14:paraId="7EF429E4"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10</w:t>
            </w:r>
          </w:p>
        </w:tc>
      </w:tr>
      <w:tr w:rsidR="001B4185" w:rsidRPr="002C2818" w14:paraId="6A736D33" w14:textId="77777777">
        <w:trPr>
          <w:jc w:val="center"/>
        </w:trPr>
        <w:tc>
          <w:tcPr>
            <w:tcW w:w="851" w:type="dxa"/>
            <w:shd w:val="clear" w:color="auto" w:fill="auto"/>
            <w:vAlign w:val="center"/>
          </w:tcPr>
          <w:p w14:paraId="00838C24"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10</w:t>
            </w:r>
          </w:p>
        </w:tc>
        <w:tc>
          <w:tcPr>
            <w:tcW w:w="7088" w:type="dxa"/>
            <w:shd w:val="clear" w:color="auto" w:fill="auto"/>
            <w:vAlign w:val="center"/>
          </w:tcPr>
          <w:p w14:paraId="51A3ECC3" w14:textId="77777777" w:rsidR="001B4185" w:rsidRPr="002C2818" w:rsidRDefault="001B4185" w:rsidP="001B4185">
            <w:pPr>
              <w:spacing w:before="20" w:after="20" w:line="240" w:lineRule="auto"/>
              <w:rPr>
                <w:rFonts w:cs="Calibri"/>
                <w:sz w:val="20"/>
                <w:szCs w:val="20"/>
              </w:rPr>
            </w:pPr>
            <w:r w:rsidRPr="002C2818">
              <w:rPr>
                <w:rFonts w:cs="Calibri"/>
                <w:sz w:val="20"/>
                <w:szCs w:val="20"/>
              </w:rPr>
              <w:t>Otros elementos secundarios de subestaciones o radioestaciones</w:t>
            </w:r>
          </w:p>
        </w:tc>
        <w:tc>
          <w:tcPr>
            <w:tcW w:w="1701" w:type="dxa"/>
            <w:shd w:val="clear" w:color="auto" w:fill="auto"/>
            <w:vAlign w:val="center"/>
          </w:tcPr>
          <w:p w14:paraId="18BECAB6"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40</w:t>
            </w:r>
          </w:p>
        </w:tc>
      </w:tr>
      <w:tr w:rsidR="001B4185" w:rsidRPr="002C2818" w14:paraId="0701F182" w14:textId="77777777">
        <w:trPr>
          <w:jc w:val="center"/>
        </w:trPr>
        <w:tc>
          <w:tcPr>
            <w:tcW w:w="851" w:type="dxa"/>
            <w:shd w:val="clear" w:color="auto" w:fill="auto"/>
            <w:vAlign w:val="center"/>
          </w:tcPr>
          <w:p w14:paraId="6931297F"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11</w:t>
            </w:r>
          </w:p>
        </w:tc>
        <w:tc>
          <w:tcPr>
            <w:tcW w:w="7088" w:type="dxa"/>
            <w:shd w:val="clear" w:color="auto" w:fill="auto"/>
            <w:vAlign w:val="center"/>
          </w:tcPr>
          <w:p w14:paraId="1E11E387" w14:textId="77777777" w:rsidR="001B4185" w:rsidRPr="002C2818" w:rsidRDefault="001B4185" w:rsidP="001B4185">
            <w:pPr>
              <w:spacing w:before="20" w:after="20" w:line="240" w:lineRule="auto"/>
              <w:rPr>
                <w:rFonts w:cs="Calibri"/>
                <w:sz w:val="20"/>
                <w:szCs w:val="20"/>
              </w:rPr>
            </w:pPr>
            <w:r w:rsidRPr="002C2818">
              <w:rPr>
                <w:rFonts w:cs="Calibri"/>
                <w:sz w:val="20"/>
                <w:szCs w:val="20"/>
              </w:rPr>
              <w:t>Bienes inmuebles distintos a terrenos</w:t>
            </w:r>
          </w:p>
        </w:tc>
        <w:tc>
          <w:tcPr>
            <w:tcW w:w="1701" w:type="dxa"/>
            <w:shd w:val="clear" w:color="auto" w:fill="auto"/>
            <w:vAlign w:val="center"/>
          </w:tcPr>
          <w:p w14:paraId="2F526538"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50</w:t>
            </w:r>
          </w:p>
        </w:tc>
      </w:tr>
      <w:tr w:rsidR="001B4185" w:rsidRPr="002C2818" w14:paraId="52FE9195" w14:textId="77777777">
        <w:trPr>
          <w:jc w:val="center"/>
        </w:trPr>
        <w:tc>
          <w:tcPr>
            <w:tcW w:w="851" w:type="dxa"/>
            <w:shd w:val="clear" w:color="auto" w:fill="auto"/>
            <w:vAlign w:val="center"/>
          </w:tcPr>
          <w:p w14:paraId="709ACBBC"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12</w:t>
            </w:r>
          </w:p>
        </w:tc>
        <w:tc>
          <w:tcPr>
            <w:tcW w:w="7088" w:type="dxa"/>
            <w:shd w:val="clear" w:color="auto" w:fill="auto"/>
            <w:vAlign w:val="center"/>
          </w:tcPr>
          <w:p w14:paraId="7D86DE62" w14:textId="77777777" w:rsidR="001B4185" w:rsidRPr="002C2818" w:rsidRDefault="001B4185" w:rsidP="001B4185">
            <w:pPr>
              <w:spacing w:before="20" w:after="20" w:line="240" w:lineRule="auto"/>
              <w:rPr>
                <w:rFonts w:cs="Calibri"/>
                <w:sz w:val="20"/>
                <w:szCs w:val="20"/>
              </w:rPr>
            </w:pPr>
            <w:r w:rsidRPr="002C2818">
              <w:rPr>
                <w:rFonts w:cs="Calibri"/>
                <w:sz w:val="20"/>
                <w:szCs w:val="20"/>
              </w:rPr>
              <w:t>Equipamiento de operación y mantenimiento no fungible</w:t>
            </w:r>
          </w:p>
        </w:tc>
        <w:tc>
          <w:tcPr>
            <w:tcW w:w="1701" w:type="dxa"/>
            <w:shd w:val="clear" w:color="auto" w:fill="auto"/>
            <w:vAlign w:val="center"/>
          </w:tcPr>
          <w:p w14:paraId="3A0E55CE"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15</w:t>
            </w:r>
          </w:p>
        </w:tc>
      </w:tr>
      <w:tr w:rsidR="001B4185" w:rsidRPr="002C2818" w14:paraId="4A498416" w14:textId="77777777">
        <w:trPr>
          <w:jc w:val="center"/>
        </w:trPr>
        <w:tc>
          <w:tcPr>
            <w:tcW w:w="851" w:type="dxa"/>
            <w:shd w:val="clear" w:color="auto" w:fill="auto"/>
            <w:vAlign w:val="center"/>
          </w:tcPr>
          <w:p w14:paraId="0B23E17E"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13</w:t>
            </w:r>
          </w:p>
        </w:tc>
        <w:tc>
          <w:tcPr>
            <w:tcW w:w="7088" w:type="dxa"/>
            <w:shd w:val="clear" w:color="auto" w:fill="auto"/>
            <w:vAlign w:val="center"/>
          </w:tcPr>
          <w:p w14:paraId="7A8E4283" w14:textId="77777777" w:rsidR="001B4185" w:rsidRPr="002C2818" w:rsidRDefault="001B4185" w:rsidP="001B4185">
            <w:pPr>
              <w:spacing w:before="20" w:after="20" w:line="240" w:lineRule="auto"/>
              <w:rPr>
                <w:rFonts w:cs="Calibri"/>
                <w:sz w:val="20"/>
                <w:szCs w:val="20"/>
              </w:rPr>
            </w:pPr>
            <w:r w:rsidRPr="002C2818">
              <w:rPr>
                <w:rFonts w:cs="Calibri"/>
                <w:sz w:val="20"/>
                <w:szCs w:val="20"/>
              </w:rPr>
              <w:t>Equipamiento de oficina no fungible</w:t>
            </w:r>
          </w:p>
        </w:tc>
        <w:tc>
          <w:tcPr>
            <w:tcW w:w="1701" w:type="dxa"/>
            <w:shd w:val="clear" w:color="auto" w:fill="auto"/>
            <w:vAlign w:val="center"/>
          </w:tcPr>
          <w:p w14:paraId="3E9A8E15"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15</w:t>
            </w:r>
          </w:p>
        </w:tc>
      </w:tr>
      <w:tr w:rsidR="001B4185" w:rsidRPr="002C2818" w14:paraId="0AC77B87" w14:textId="77777777">
        <w:trPr>
          <w:jc w:val="center"/>
        </w:trPr>
        <w:tc>
          <w:tcPr>
            <w:tcW w:w="851" w:type="dxa"/>
            <w:shd w:val="clear" w:color="auto" w:fill="auto"/>
            <w:vAlign w:val="center"/>
          </w:tcPr>
          <w:p w14:paraId="015D0C46"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14</w:t>
            </w:r>
          </w:p>
        </w:tc>
        <w:tc>
          <w:tcPr>
            <w:tcW w:w="7088" w:type="dxa"/>
            <w:shd w:val="clear" w:color="auto" w:fill="auto"/>
            <w:vAlign w:val="center"/>
          </w:tcPr>
          <w:p w14:paraId="69AC8975" w14:textId="77777777" w:rsidR="001B4185" w:rsidRPr="002C2818" w:rsidRDefault="001B4185" w:rsidP="001B4185">
            <w:pPr>
              <w:spacing w:before="20" w:after="20" w:line="240" w:lineRule="auto"/>
              <w:rPr>
                <w:rFonts w:cs="Calibri"/>
                <w:sz w:val="20"/>
                <w:szCs w:val="20"/>
              </w:rPr>
            </w:pPr>
            <w:r w:rsidRPr="002C2818">
              <w:rPr>
                <w:rFonts w:cs="Calibri"/>
                <w:sz w:val="20"/>
                <w:szCs w:val="20"/>
              </w:rPr>
              <w:t>Equipamiento computacional y sistemas de vigilancia</w:t>
            </w:r>
          </w:p>
        </w:tc>
        <w:tc>
          <w:tcPr>
            <w:tcW w:w="1701" w:type="dxa"/>
            <w:shd w:val="clear" w:color="auto" w:fill="auto"/>
            <w:vAlign w:val="center"/>
          </w:tcPr>
          <w:p w14:paraId="1B2237E8"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w:t>
            </w:r>
          </w:p>
        </w:tc>
      </w:tr>
      <w:tr w:rsidR="001B4185" w:rsidRPr="002C2818" w14:paraId="1D177B41" w14:textId="77777777">
        <w:trPr>
          <w:jc w:val="center"/>
        </w:trPr>
        <w:tc>
          <w:tcPr>
            <w:tcW w:w="851" w:type="dxa"/>
            <w:shd w:val="clear" w:color="auto" w:fill="auto"/>
            <w:vAlign w:val="center"/>
          </w:tcPr>
          <w:p w14:paraId="21DA9F05"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15</w:t>
            </w:r>
          </w:p>
        </w:tc>
        <w:tc>
          <w:tcPr>
            <w:tcW w:w="7088" w:type="dxa"/>
            <w:shd w:val="clear" w:color="auto" w:fill="auto"/>
            <w:vAlign w:val="center"/>
          </w:tcPr>
          <w:p w14:paraId="5B134667" w14:textId="77777777" w:rsidR="001B4185" w:rsidRPr="002C2818" w:rsidRDefault="001B4185" w:rsidP="001B4185">
            <w:pPr>
              <w:spacing w:before="20" w:after="20" w:line="240" w:lineRule="auto"/>
              <w:rPr>
                <w:rFonts w:cs="Calibri"/>
                <w:sz w:val="20"/>
                <w:szCs w:val="20"/>
              </w:rPr>
            </w:pPr>
            <w:r w:rsidRPr="002C2818">
              <w:rPr>
                <w:rFonts w:cs="Calibri"/>
                <w:sz w:val="20"/>
                <w:szCs w:val="20"/>
              </w:rPr>
              <w:t>Vehículos</w:t>
            </w:r>
          </w:p>
        </w:tc>
        <w:tc>
          <w:tcPr>
            <w:tcW w:w="1701" w:type="dxa"/>
            <w:shd w:val="clear" w:color="auto" w:fill="auto"/>
            <w:vAlign w:val="center"/>
          </w:tcPr>
          <w:p w14:paraId="0D80B11E" w14:textId="77777777" w:rsidR="001B4185" w:rsidRPr="002C2818" w:rsidRDefault="001B4185" w:rsidP="001B4185">
            <w:pPr>
              <w:spacing w:before="20" w:after="20" w:line="240" w:lineRule="auto"/>
              <w:jc w:val="center"/>
              <w:rPr>
                <w:rFonts w:cs="Calibri"/>
                <w:sz w:val="20"/>
                <w:szCs w:val="20"/>
              </w:rPr>
            </w:pPr>
            <w:r w:rsidRPr="002C2818">
              <w:rPr>
                <w:rFonts w:cs="Calibri"/>
                <w:sz w:val="20"/>
                <w:szCs w:val="20"/>
              </w:rPr>
              <w:t>5</w:t>
            </w:r>
          </w:p>
        </w:tc>
      </w:tr>
    </w:tbl>
    <w:p w14:paraId="28E03EA9" w14:textId="77777777" w:rsidR="001B4185" w:rsidRPr="00EE2F47" w:rsidRDefault="001B4185" w:rsidP="001B4185"/>
    <w:p w14:paraId="3DD0AF43" w14:textId="77777777" w:rsidR="001B4185" w:rsidRDefault="001B4185" w:rsidP="001B4185">
      <w:r w:rsidRPr="00EE2F47">
        <w:t>En consistencia con las disposiciones legales, el Informe Técnico señala que las vidas útiles de los elementos de transmisión indicadas, agrupadas de acuerdo al señalado conjunto mínimo de instalaciones económicamente identificables, se aplicarán por tres periodos tarifarios consecutivos, es decir, para los estudios de valorización de los sistemas de transmisión en el periodo comprendido entre enero 2020 y diciembre de 2031.</w:t>
      </w:r>
    </w:p>
    <w:p w14:paraId="09E07D54" w14:textId="77777777" w:rsidR="001B4185" w:rsidRDefault="001B4185" w:rsidP="001B4185">
      <w:r>
        <w:t>De esta forma, las instalaciones componen un tramo -transporte y subestación- serán vinculadas a cada una de las categorías establecidas en el Artículo 5° de la Resolución N°380, correspondiéndoles así la vida útil en años que para cada una de ellas estableció la Resolución N°412.</w:t>
      </w:r>
    </w:p>
    <w:p w14:paraId="0434A6C8" w14:textId="77777777" w:rsidR="001B4185" w:rsidRPr="006764E9" w:rsidRDefault="001B4185" w:rsidP="006764E9">
      <w:pPr>
        <w:pStyle w:val="Ttulo2"/>
        <w:rPr>
          <w:sz w:val="24"/>
          <w:szCs w:val="24"/>
        </w:rPr>
      </w:pPr>
      <w:bookmarkStart w:id="346" w:name="_Toc27147811"/>
      <w:bookmarkStart w:id="347" w:name="_Toc34687284"/>
      <w:r w:rsidRPr="006764E9">
        <w:rPr>
          <w:sz w:val="24"/>
          <w:szCs w:val="24"/>
        </w:rPr>
        <w:t>Resolución Nº 43 del Servicio de Impuestos Internos, 2002</w:t>
      </w:r>
      <w:bookmarkEnd w:id="346"/>
      <w:bookmarkEnd w:id="347"/>
    </w:p>
    <w:p w14:paraId="72EF0106" w14:textId="77777777" w:rsidR="001B4185" w:rsidRPr="00EE2F47" w:rsidRDefault="001B4185" w:rsidP="001B4185">
      <w:r w:rsidRPr="00EE2F47">
        <w:t>La Resolución Exenta N°43 del Servicio de Impuestos Internos (SII), del 26 de diciembre del 2002, fija la vida útil normal a los bienes físicos del activo inmovilizado para los efectos de su depreciación, conforme a las normas del N°5 del Artículo 31 de la Ley de la Renta, contenida en el Artículo 1° del DL N°824, de 1974.</w:t>
      </w:r>
    </w:p>
    <w:p w14:paraId="56073020" w14:textId="77777777" w:rsidR="001B4185" w:rsidRDefault="001B4185" w:rsidP="001B4185">
      <w:r w:rsidRPr="00EE2F47">
        <w:t xml:space="preserve">Por ejemplo, para activos correspondientes a Empresas Eléctricas, la </w:t>
      </w:r>
      <w:bookmarkStart w:id="348" w:name="_Hlk21012688"/>
      <w:r w:rsidRPr="00EE2F47">
        <w:t xml:space="preserve">Res. Exta. N°43 </w:t>
      </w:r>
      <w:bookmarkEnd w:id="348"/>
      <w:r w:rsidRPr="00EE2F47">
        <w:t>fija las siguientes</w:t>
      </w:r>
      <w:r w:rsidRPr="008B5C5A">
        <w:rPr>
          <w:rStyle w:val="Refdenotaalpie"/>
        </w:rPr>
        <w:footnoteReference w:id="36"/>
      </w:r>
      <w:r w:rsidRPr="00EE2F47">
        <w:t>:</w:t>
      </w:r>
    </w:p>
    <w:p w14:paraId="6CCE19A8" w14:textId="3BA4DD3D" w:rsidR="001B4185" w:rsidRPr="003E08AB" w:rsidRDefault="001B4185" w:rsidP="001B4185">
      <w:pPr>
        <w:spacing w:after="120"/>
        <w:jc w:val="center"/>
        <w:rPr>
          <w:b/>
          <w:bCs/>
          <w:sz w:val="20"/>
          <w:szCs w:val="20"/>
        </w:rPr>
      </w:pPr>
      <w:bookmarkStart w:id="349" w:name="_Toc27147882"/>
      <w:bookmarkStart w:id="350" w:name="_Hlk25659675"/>
      <w:r>
        <w:rPr>
          <w:b/>
          <w:bCs/>
          <w:sz w:val="20"/>
          <w:szCs w:val="20"/>
        </w:rPr>
        <w:t>Tabla Nº</w:t>
      </w:r>
      <w:r w:rsidRPr="00635F7D">
        <w:rPr>
          <w:b/>
          <w:bCs/>
          <w:sz w:val="20"/>
          <w:szCs w:val="20"/>
        </w:rPr>
        <w:t xml:space="preserve"> </w:t>
      </w:r>
      <w:r>
        <w:rPr>
          <w:b/>
          <w:bCs/>
          <w:sz w:val="20"/>
          <w:szCs w:val="20"/>
        </w:rPr>
        <w:fldChar w:fldCharType="begin"/>
      </w:r>
      <w:r>
        <w:rPr>
          <w:b/>
          <w:bCs/>
          <w:sz w:val="20"/>
          <w:szCs w:val="20"/>
        </w:rPr>
        <w:instrText xml:space="preserve"> SEQ Tabla_Nº \* ARABIC </w:instrText>
      </w:r>
      <w:r>
        <w:rPr>
          <w:b/>
          <w:bCs/>
          <w:sz w:val="20"/>
          <w:szCs w:val="20"/>
        </w:rPr>
        <w:fldChar w:fldCharType="separate"/>
      </w:r>
      <w:r w:rsidR="00F14BED">
        <w:rPr>
          <w:b/>
          <w:bCs/>
          <w:noProof/>
          <w:sz w:val="20"/>
          <w:szCs w:val="20"/>
        </w:rPr>
        <w:t>3</w:t>
      </w:r>
      <w:r>
        <w:rPr>
          <w:b/>
          <w:bCs/>
          <w:sz w:val="20"/>
          <w:szCs w:val="20"/>
        </w:rPr>
        <w:fldChar w:fldCharType="end"/>
      </w:r>
      <w:r w:rsidRPr="00635F7D">
        <w:rPr>
          <w:b/>
          <w:bCs/>
          <w:sz w:val="20"/>
          <w:szCs w:val="20"/>
        </w:rPr>
        <w:t xml:space="preserve"> </w:t>
      </w:r>
      <w:r w:rsidRPr="000759A7">
        <w:rPr>
          <w:b/>
          <w:bCs/>
          <w:sz w:val="20"/>
          <w:szCs w:val="20"/>
        </w:rPr>
        <w:t>Nómina de bienes según actividades</w:t>
      </w:r>
      <w:r>
        <w:rPr>
          <w:b/>
          <w:bCs/>
          <w:sz w:val="20"/>
          <w:szCs w:val="20"/>
        </w:rPr>
        <w:t xml:space="preserve"> empresas eléctricas</w:t>
      </w:r>
      <w:bookmarkEnd w:id="3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505"/>
        <w:gridCol w:w="1134"/>
      </w:tblGrid>
      <w:tr w:rsidR="001B4185" w:rsidRPr="002C2818" w14:paraId="1AC27B6B" w14:textId="77777777">
        <w:trPr>
          <w:tblHeader/>
          <w:jc w:val="center"/>
        </w:trPr>
        <w:tc>
          <w:tcPr>
            <w:tcW w:w="8505" w:type="dxa"/>
            <w:shd w:val="clear" w:color="auto" w:fill="D0CECE"/>
            <w:vAlign w:val="center"/>
          </w:tcPr>
          <w:bookmarkEnd w:id="350"/>
          <w:p w14:paraId="39BB40A9" w14:textId="77777777" w:rsidR="001B4185" w:rsidRPr="002C2818" w:rsidRDefault="001B4185" w:rsidP="002E20CA">
            <w:pPr>
              <w:numPr>
                <w:ilvl w:val="0"/>
                <w:numId w:val="10"/>
              </w:numPr>
              <w:spacing w:after="0" w:line="240" w:lineRule="auto"/>
              <w:ind w:left="0" w:firstLine="0"/>
              <w:jc w:val="center"/>
              <w:rPr>
                <w:rFonts w:cs="Calibri"/>
                <w:b/>
                <w:bCs/>
                <w:sz w:val="20"/>
                <w:szCs w:val="20"/>
              </w:rPr>
            </w:pPr>
            <w:r w:rsidRPr="002C2818">
              <w:rPr>
                <w:rFonts w:cs="Calibri"/>
                <w:b/>
                <w:bCs/>
                <w:sz w:val="20"/>
                <w:szCs w:val="20"/>
              </w:rPr>
              <w:t>SECTOR ENERGÉTICO</w:t>
            </w:r>
          </w:p>
          <w:p w14:paraId="5FAC6C55" w14:textId="77777777" w:rsidR="001B4185" w:rsidRPr="002C2818" w:rsidRDefault="001B4185" w:rsidP="001B4185">
            <w:pPr>
              <w:spacing w:after="0" w:line="240" w:lineRule="auto"/>
              <w:jc w:val="center"/>
              <w:rPr>
                <w:rFonts w:cs="Calibri"/>
                <w:b/>
                <w:bCs/>
                <w:sz w:val="20"/>
                <w:szCs w:val="20"/>
              </w:rPr>
            </w:pPr>
            <w:r w:rsidRPr="002C2818">
              <w:rPr>
                <w:rFonts w:cs="Calibri"/>
                <w:b/>
                <w:bCs/>
                <w:sz w:val="20"/>
                <w:szCs w:val="20"/>
              </w:rPr>
              <w:t>E.1 EMPRESAS ELÉCTRICAS</w:t>
            </w:r>
          </w:p>
          <w:p w14:paraId="74C4EA05" w14:textId="77777777" w:rsidR="001B4185" w:rsidRPr="002C2818" w:rsidRDefault="001B4185" w:rsidP="001B4185">
            <w:pPr>
              <w:spacing w:after="0" w:line="240" w:lineRule="auto"/>
              <w:jc w:val="center"/>
              <w:rPr>
                <w:rFonts w:cs="Calibri"/>
                <w:b/>
                <w:bCs/>
                <w:sz w:val="20"/>
                <w:szCs w:val="20"/>
                <w:lang w:val="es-CL"/>
              </w:rPr>
            </w:pPr>
            <w:r w:rsidRPr="002C2818">
              <w:rPr>
                <w:rFonts w:cs="Calibri"/>
                <w:b/>
                <w:bCs/>
                <w:sz w:val="20"/>
                <w:szCs w:val="20"/>
              </w:rPr>
              <w:t>NOMINA DE BIENES SEGÚN ACTIVIDADES</w:t>
            </w:r>
          </w:p>
        </w:tc>
        <w:tc>
          <w:tcPr>
            <w:tcW w:w="1134" w:type="dxa"/>
            <w:shd w:val="clear" w:color="auto" w:fill="D0CECE"/>
            <w:vAlign w:val="center"/>
          </w:tcPr>
          <w:p w14:paraId="4152A64C" w14:textId="77777777" w:rsidR="001B4185" w:rsidRPr="002C2818" w:rsidRDefault="001B4185" w:rsidP="001B4185">
            <w:pPr>
              <w:spacing w:after="0" w:line="240" w:lineRule="auto"/>
              <w:jc w:val="center"/>
              <w:rPr>
                <w:rFonts w:cs="Calibri"/>
                <w:b/>
                <w:bCs/>
                <w:sz w:val="20"/>
                <w:szCs w:val="20"/>
              </w:rPr>
            </w:pPr>
            <w:r w:rsidRPr="002C2818">
              <w:rPr>
                <w:rFonts w:cs="Calibri"/>
                <w:b/>
                <w:bCs/>
                <w:sz w:val="20"/>
                <w:szCs w:val="20"/>
              </w:rPr>
              <w:t>NUEVA VIDA ÚTIL NORMAL</w:t>
            </w:r>
          </w:p>
        </w:tc>
      </w:tr>
      <w:tr w:rsidR="001B4185" w:rsidRPr="002C2818" w14:paraId="6AE9C174" w14:textId="77777777">
        <w:trPr>
          <w:jc w:val="center"/>
        </w:trPr>
        <w:tc>
          <w:tcPr>
            <w:tcW w:w="8505" w:type="dxa"/>
            <w:shd w:val="clear" w:color="auto" w:fill="auto"/>
            <w:vAlign w:val="bottom"/>
          </w:tcPr>
          <w:p w14:paraId="32056820" w14:textId="77777777" w:rsidR="001B4185" w:rsidRPr="002C2818" w:rsidRDefault="001B4185" w:rsidP="001B4185">
            <w:pPr>
              <w:spacing w:after="0" w:line="240" w:lineRule="auto"/>
              <w:rPr>
                <w:rFonts w:cs="Calibri"/>
                <w:sz w:val="20"/>
                <w:szCs w:val="20"/>
              </w:rPr>
            </w:pPr>
            <w:r w:rsidRPr="002C2818">
              <w:rPr>
                <w:rFonts w:cs="Calibri"/>
                <w:sz w:val="20"/>
                <w:szCs w:val="20"/>
              </w:rPr>
              <w:t>1) Equipos de generación y eléctricos utilizados en la generación.</w:t>
            </w:r>
          </w:p>
        </w:tc>
        <w:tc>
          <w:tcPr>
            <w:tcW w:w="1134" w:type="dxa"/>
            <w:shd w:val="clear" w:color="auto" w:fill="auto"/>
            <w:vAlign w:val="bottom"/>
          </w:tcPr>
          <w:p w14:paraId="14786C91"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0D89554C" w14:textId="77777777">
        <w:trPr>
          <w:jc w:val="center"/>
        </w:trPr>
        <w:tc>
          <w:tcPr>
            <w:tcW w:w="8505" w:type="dxa"/>
            <w:shd w:val="clear" w:color="auto" w:fill="auto"/>
            <w:vAlign w:val="bottom"/>
          </w:tcPr>
          <w:p w14:paraId="24AF639F" w14:textId="77777777" w:rsidR="001B4185" w:rsidRPr="002C2818" w:rsidRDefault="001B4185" w:rsidP="001B4185">
            <w:pPr>
              <w:spacing w:after="0" w:line="240" w:lineRule="auto"/>
              <w:rPr>
                <w:rFonts w:cs="Calibri"/>
                <w:sz w:val="20"/>
                <w:szCs w:val="20"/>
              </w:rPr>
            </w:pPr>
            <w:r w:rsidRPr="002C2818">
              <w:rPr>
                <w:rFonts w:cs="Calibri"/>
                <w:sz w:val="20"/>
                <w:szCs w:val="20"/>
              </w:rPr>
              <w:t>2) Obras civiles hidráulicas y otros relacionados con la generación.</w:t>
            </w:r>
          </w:p>
        </w:tc>
        <w:tc>
          <w:tcPr>
            <w:tcW w:w="1134" w:type="dxa"/>
            <w:shd w:val="clear" w:color="auto" w:fill="auto"/>
            <w:vAlign w:val="bottom"/>
          </w:tcPr>
          <w:p w14:paraId="778D9490" w14:textId="77777777" w:rsidR="001B4185" w:rsidRPr="002C2818" w:rsidRDefault="001B4185" w:rsidP="001B4185">
            <w:pPr>
              <w:spacing w:after="0" w:line="240" w:lineRule="auto"/>
              <w:jc w:val="center"/>
              <w:rPr>
                <w:rFonts w:cs="Calibri"/>
                <w:sz w:val="20"/>
                <w:szCs w:val="20"/>
                <w:lang w:val="es-CL"/>
              </w:rPr>
            </w:pPr>
          </w:p>
        </w:tc>
      </w:tr>
      <w:tr w:rsidR="001B4185" w:rsidRPr="002C2818" w14:paraId="7DFD9D75" w14:textId="77777777">
        <w:trPr>
          <w:jc w:val="center"/>
        </w:trPr>
        <w:tc>
          <w:tcPr>
            <w:tcW w:w="8505" w:type="dxa"/>
            <w:shd w:val="clear" w:color="auto" w:fill="auto"/>
            <w:vAlign w:val="bottom"/>
          </w:tcPr>
          <w:p w14:paraId="6899F72F" w14:textId="77777777" w:rsidR="001B4185" w:rsidRPr="002C2818" w:rsidRDefault="001B4185" w:rsidP="001B4185">
            <w:pPr>
              <w:spacing w:after="0" w:line="240" w:lineRule="auto"/>
              <w:rPr>
                <w:rFonts w:cs="Calibri"/>
                <w:sz w:val="20"/>
                <w:szCs w:val="20"/>
              </w:rPr>
            </w:pPr>
            <w:r w:rsidRPr="002C2818">
              <w:rPr>
                <w:rFonts w:cs="Calibri"/>
                <w:sz w:val="20"/>
                <w:szCs w:val="20"/>
              </w:rPr>
              <w:t>-   Bocatomas, muros de presa.</w:t>
            </w:r>
          </w:p>
        </w:tc>
        <w:tc>
          <w:tcPr>
            <w:tcW w:w="1134" w:type="dxa"/>
            <w:shd w:val="clear" w:color="auto" w:fill="auto"/>
            <w:vAlign w:val="bottom"/>
          </w:tcPr>
          <w:p w14:paraId="75ACB737"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50</w:t>
            </w:r>
          </w:p>
        </w:tc>
      </w:tr>
      <w:tr w:rsidR="001B4185" w:rsidRPr="002C2818" w14:paraId="0488F043" w14:textId="77777777">
        <w:trPr>
          <w:jc w:val="center"/>
        </w:trPr>
        <w:tc>
          <w:tcPr>
            <w:tcW w:w="8505" w:type="dxa"/>
            <w:shd w:val="clear" w:color="auto" w:fill="auto"/>
            <w:vAlign w:val="bottom"/>
          </w:tcPr>
          <w:p w14:paraId="058E81AD" w14:textId="77777777" w:rsidR="001B4185" w:rsidRPr="002C2818" w:rsidRDefault="001B4185" w:rsidP="001B4185">
            <w:pPr>
              <w:spacing w:after="0" w:line="240" w:lineRule="auto"/>
              <w:rPr>
                <w:rFonts w:cs="Calibri"/>
                <w:sz w:val="20"/>
                <w:szCs w:val="20"/>
              </w:rPr>
            </w:pPr>
            <w:r w:rsidRPr="002C2818">
              <w:rPr>
                <w:rFonts w:cs="Calibri"/>
                <w:sz w:val="20"/>
                <w:szCs w:val="20"/>
              </w:rPr>
              <w:t>-   Descargas</w:t>
            </w:r>
          </w:p>
        </w:tc>
        <w:tc>
          <w:tcPr>
            <w:tcW w:w="1134" w:type="dxa"/>
            <w:shd w:val="clear" w:color="auto" w:fill="auto"/>
            <w:vAlign w:val="bottom"/>
          </w:tcPr>
          <w:p w14:paraId="47117A2D"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30</w:t>
            </w:r>
          </w:p>
        </w:tc>
      </w:tr>
      <w:tr w:rsidR="001B4185" w:rsidRPr="002C2818" w14:paraId="3484AEF6" w14:textId="77777777">
        <w:trPr>
          <w:jc w:val="center"/>
        </w:trPr>
        <w:tc>
          <w:tcPr>
            <w:tcW w:w="8505" w:type="dxa"/>
            <w:shd w:val="clear" w:color="auto" w:fill="auto"/>
            <w:vAlign w:val="bottom"/>
          </w:tcPr>
          <w:p w14:paraId="1475DAA3" w14:textId="77777777" w:rsidR="001B4185" w:rsidRPr="002C2818" w:rsidRDefault="001B4185" w:rsidP="001B4185">
            <w:pPr>
              <w:spacing w:after="0" w:line="240" w:lineRule="auto"/>
              <w:rPr>
                <w:rFonts w:cs="Calibri"/>
                <w:sz w:val="20"/>
                <w:szCs w:val="20"/>
              </w:rPr>
            </w:pPr>
            <w:r w:rsidRPr="002C2818">
              <w:rPr>
                <w:rFonts w:cs="Calibri"/>
                <w:sz w:val="20"/>
                <w:szCs w:val="20"/>
              </w:rPr>
              <w:t>-   Túneles, piques, pretiles, evacuaciones, cámaras de carga, tuberías de presión.</w:t>
            </w:r>
          </w:p>
        </w:tc>
        <w:tc>
          <w:tcPr>
            <w:tcW w:w="1134" w:type="dxa"/>
            <w:shd w:val="clear" w:color="auto" w:fill="auto"/>
            <w:vAlign w:val="bottom"/>
          </w:tcPr>
          <w:p w14:paraId="08515DB5"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37F9B372" w14:textId="77777777">
        <w:trPr>
          <w:jc w:val="center"/>
        </w:trPr>
        <w:tc>
          <w:tcPr>
            <w:tcW w:w="8505" w:type="dxa"/>
            <w:shd w:val="clear" w:color="auto" w:fill="auto"/>
            <w:vAlign w:val="bottom"/>
          </w:tcPr>
          <w:p w14:paraId="6138F4C6" w14:textId="77777777" w:rsidR="001B4185" w:rsidRPr="002C2818" w:rsidRDefault="001B4185" w:rsidP="001B4185">
            <w:pPr>
              <w:spacing w:after="0" w:line="240" w:lineRule="auto"/>
              <w:rPr>
                <w:rFonts w:cs="Calibri"/>
                <w:sz w:val="20"/>
                <w:szCs w:val="20"/>
              </w:rPr>
            </w:pPr>
            <w:r w:rsidRPr="002C2818">
              <w:rPr>
                <w:rFonts w:cs="Calibri"/>
                <w:sz w:val="20"/>
                <w:szCs w:val="20"/>
              </w:rPr>
              <w:t>-   Canales</w:t>
            </w:r>
          </w:p>
        </w:tc>
        <w:tc>
          <w:tcPr>
            <w:tcW w:w="1134" w:type="dxa"/>
            <w:shd w:val="clear" w:color="auto" w:fill="auto"/>
            <w:vAlign w:val="bottom"/>
          </w:tcPr>
          <w:p w14:paraId="61132EDD"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18</w:t>
            </w:r>
          </w:p>
        </w:tc>
      </w:tr>
      <w:tr w:rsidR="001B4185" w:rsidRPr="002C2818" w14:paraId="6CA0E09F" w14:textId="77777777">
        <w:trPr>
          <w:jc w:val="center"/>
        </w:trPr>
        <w:tc>
          <w:tcPr>
            <w:tcW w:w="8505" w:type="dxa"/>
            <w:shd w:val="clear" w:color="auto" w:fill="auto"/>
            <w:vAlign w:val="bottom"/>
          </w:tcPr>
          <w:p w14:paraId="0165EA1E" w14:textId="77777777" w:rsidR="001B4185" w:rsidRPr="002C2818" w:rsidRDefault="001B4185" w:rsidP="001B4185">
            <w:pPr>
              <w:spacing w:after="0" w:line="240" w:lineRule="auto"/>
              <w:rPr>
                <w:rFonts w:cs="Calibri"/>
                <w:sz w:val="20"/>
                <w:szCs w:val="20"/>
              </w:rPr>
            </w:pPr>
            <w:r w:rsidRPr="002C2818">
              <w:rPr>
                <w:rFonts w:cs="Calibri"/>
                <w:sz w:val="20"/>
                <w:szCs w:val="20"/>
              </w:rPr>
              <w:t>-   Sifones, captaciones, estanques y chimeneas de equilibrio.</w:t>
            </w:r>
          </w:p>
        </w:tc>
        <w:tc>
          <w:tcPr>
            <w:tcW w:w="1134" w:type="dxa"/>
            <w:shd w:val="clear" w:color="auto" w:fill="auto"/>
            <w:vAlign w:val="bottom"/>
          </w:tcPr>
          <w:p w14:paraId="3DD3423D"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02287D8F" w14:textId="77777777">
        <w:trPr>
          <w:jc w:val="center"/>
        </w:trPr>
        <w:tc>
          <w:tcPr>
            <w:tcW w:w="8505" w:type="dxa"/>
            <w:shd w:val="clear" w:color="auto" w:fill="auto"/>
            <w:vAlign w:val="bottom"/>
          </w:tcPr>
          <w:p w14:paraId="72D61D7C" w14:textId="77777777" w:rsidR="001B4185" w:rsidRPr="002C2818" w:rsidRDefault="001B4185" w:rsidP="001B4185">
            <w:pPr>
              <w:spacing w:after="0" w:line="240" w:lineRule="auto"/>
              <w:rPr>
                <w:rFonts w:cs="Calibri"/>
                <w:sz w:val="20"/>
                <w:szCs w:val="20"/>
              </w:rPr>
            </w:pPr>
            <w:r w:rsidRPr="002C2818">
              <w:rPr>
                <w:rFonts w:cs="Calibri"/>
                <w:sz w:val="20"/>
                <w:szCs w:val="20"/>
              </w:rPr>
              <w:t>-   Desarenador</w:t>
            </w:r>
          </w:p>
        </w:tc>
        <w:tc>
          <w:tcPr>
            <w:tcW w:w="1134" w:type="dxa"/>
            <w:shd w:val="clear" w:color="auto" w:fill="auto"/>
            <w:vAlign w:val="bottom"/>
          </w:tcPr>
          <w:p w14:paraId="1B360347"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8</w:t>
            </w:r>
          </w:p>
        </w:tc>
      </w:tr>
      <w:tr w:rsidR="001B4185" w:rsidRPr="002C2818" w14:paraId="36CC4B51" w14:textId="77777777">
        <w:trPr>
          <w:jc w:val="center"/>
        </w:trPr>
        <w:tc>
          <w:tcPr>
            <w:tcW w:w="8505" w:type="dxa"/>
            <w:shd w:val="clear" w:color="auto" w:fill="auto"/>
            <w:vAlign w:val="bottom"/>
          </w:tcPr>
          <w:p w14:paraId="6665845B" w14:textId="77777777" w:rsidR="001B4185" w:rsidRPr="002C2818" w:rsidRDefault="001B4185" w:rsidP="001B4185">
            <w:pPr>
              <w:spacing w:after="0" w:line="240" w:lineRule="auto"/>
              <w:rPr>
                <w:rFonts w:cs="Calibri"/>
                <w:sz w:val="20"/>
                <w:szCs w:val="20"/>
              </w:rPr>
            </w:pPr>
            <w:r w:rsidRPr="002C2818">
              <w:rPr>
                <w:rFonts w:cs="Calibri"/>
                <w:sz w:val="20"/>
                <w:szCs w:val="20"/>
              </w:rPr>
              <w:t>3) Líneas de distribución de alta tensión y baja tensión, líneas de transmisión, cables de transmisión, cables de poder.</w:t>
            </w:r>
          </w:p>
        </w:tc>
        <w:tc>
          <w:tcPr>
            <w:tcW w:w="1134" w:type="dxa"/>
            <w:shd w:val="clear" w:color="auto" w:fill="auto"/>
            <w:vAlign w:val="bottom"/>
          </w:tcPr>
          <w:p w14:paraId="5F9373BF"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0A442ABF" w14:textId="77777777">
        <w:trPr>
          <w:jc w:val="center"/>
        </w:trPr>
        <w:tc>
          <w:tcPr>
            <w:tcW w:w="8505" w:type="dxa"/>
            <w:shd w:val="clear" w:color="auto" w:fill="auto"/>
            <w:vAlign w:val="bottom"/>
          </w:tcPr>
          <w:p w14:paraId="56722F9A" w14:textId="77777777" w:rsidR="001B4185" w:rsidRPr="002C2818" w:rsidRDefault="001B4185" w:rsidP="001B4185">
            <w:pPr>
              <w:spacing w:after="0" w:line="240" w:lineRule="auto"/>
              <w:rPr>
                <w:rFonts w:cs="Calibri"/>
                <w:sz w:val="20"/>
                <w:szCs w:val="20"/>
              </w:rPr>
            </w:pPr>
            <w:r w:rsidRPr="002C2818">
              <w:rPr>
                <w:rFonts w:cs="Calibri"/>
                <w:sz w:val="20"/>
                <w:szCs w:val="20"/>
              </w:rPr>
              <w:t>4) Líneas de alta tensión – Transporte.</w:t>
            </w:r>
          </w:p>
        </w:tc>
        <w:tc>
          <w:tcPr>
            <w:tcW w:w="1134" w:type="dxa"/>
            <w:shd w:val="clear" w:color="auto" w:fill="auto"/>
            <w:vAlign w:val="bottom"/>
          </w:tcPr>
          <w:p w14:paraId="7599043A" w14:textId="77777777" w:rsidR="001B4185" w:rsidRPr="002C2818" w:rsidRDefault="001B4185" w:rsidP="001B4185">
            <w:pPr>
              <w:spacing w:after="0" w:line="240" w:lineRule="auto"/>
              <w:jc w:val="center"/>
              <w:rPr>
                <w:rFonts w:cs="Calibri"/>
                <w:sz w:val="20"/>
                <w:szCs w:val="20"/>
                <w:lang w:val="es-CL"/>
              </w:rPr>
            </w:pPr>
          </w:p>
        </w:tc>
      </w:tr>
      <w:tr w:rsidR="001B4185" w:rsidRPr="002C2818" w14:paraId="381584EC" w14:textId="77777777">
        <w:trPr>
          <w:jc w:val="center"/>
        </w:trPr>
        <w:tc>
          <w:tcPr>
            <w:tcW w:w="8505" w:type="dxa"/>
            <w:shd w:val="clear" w:color="auto" w:fill="auto"/>
            <w:vAlign w:val="bottom"/>
          </w:tcPr>
          <w:p w14:paraId="742896A8"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w:t>
            </w:r>
          </w:p>
        </w:tc>
        <w:tc>
          <w:tcPr>
            <w:tcW w:w="1134" w:type="dxa"/>
            <w:shd w:val="clear" w:color="auto" w:fill="auto"/>
            <w:vAlign w:val="bottom"/>
          </w:tcPr>
          <w:p w14:paraId="5428B0DA"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4FA4F7C3" w14:textId="77777777">
        <w:trPr>
          <w:jc w:val="center"/>
        </w:trPr>
        <w:tc>
          <w:tcPr>
            <w:tcW w:w="8505" w:type="dxa"/>
            <w:shd w:val="clear" w:color="auto" w:fill="auto"/>
            <w:vAlign w:val="bottom"/>
          </w:tcPr>
          <w:p w14:paraId="2C991087" w14:textId="77777777" w:rsidR="001B4185" w:rsidRPr="002C2818" w:rsidRDefault="001B4185" w:rsidP="001B4185">
            <w:pPr>
              <w:spacing w:after="0" w:line="240" w:lineRule="auto"/>
              <w:rPr>
                <w:rFonts w:cs="Calibri"/>
                <w:sz w:val="20"/>
                <w:szCs w:val="20"/>
              </w:rPr>
            </w:pPr>
            <w:r w:rsidRPr="002C2818">
              <w:rPr>
                <w:rFonts w:cs="Calibri"/>
                <w:sz w:val="20"/>
                <w:szCs w:val="20"/>
              </w:rPr>
              <w:t>-  Conductores</w:t>
            </w:r>
          </w:p>
        </w:tc>
        <w:tc>
          <w:tcPr>
            <w:tcW w:w="1134" w:type="dxa"/>
            <w:shd w:val="clear" w:color="auto" w:fill="auto"/>
            <w:vAlign w:val="bottom"/>
          </w:tcPr>
          <w:p w14:paraId="071BC6C4"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7BDEE6DE" w14:textId="77777777">
        <w:trPr>
          <w:jc w:val="center"/>
        </w:trPr>
        <w:tc>
          <w:tcPr>
            <w:tcW w:w="8505" w:type="dxa"/>
            <w:shd w:val="clear" w:color="auto" w:fill="auto"/>
            <w:vAlign w:val="bottom"/>
          </w:tcPr>
          <w:p w14:paraId="06C1D447" w14:textId="77777777" w:rsidR="001B4185" w:rsidRPr="002C2818" w:rsidRDefault="001B4185" w:rsidP="001B4185">
            <w:pPr>
              <w:spacing w:after="0" w:line="240" w:lineRule="auto"/>
              <w:rPr>
                <w:rFonts w:cs="Calibri"/>
                <w:sz w:val="20"/>
                <w:szCs w:val="20"/>
              </w:rPr>
            </w:pPr>
            <w:r w:rsidRPr="002C2818">
              <w:rPr>
                <w:rFonts w:cs="Calibri"/>
                <w:sz w:val="20"/>
                <w:szCs w:val="20"/>
              </w:rPr>
              <w:t>-   Apoyos de suspensión y apoyos de amarres.</w:t>
            </w:r>
          </w:p>
        </w:tc>
        <w:tc>
          <w:tcPr>
            <w:tcW w:w="1134" w:type="dxa"/>
            <w:shd w:val="clear" w:color="auto" w:fill="auto"/>
            <w:vAlign w:val="bottom"/>
          </w:tcPr>
          <w:p w14:paraId="54F95280"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4F3E26DB" w14:textId="77777777">
        <w:trPr>
          <w:jc w:val="center"/>
        </w:trPr>
        <w:tc>
          <w:tcPr>
            <w:tcW w:w="8505" w:type="dxa"/>
            <w:shd w:val="clear" w:color="auto" w:fill="auto"/>
            <w:vAlign w:val="bottom"/>
          </w:tcPr>
          <w:p w14:paraId="314BC1D8" w14:textId="77777777" w:rsidR="001B4185" w:rsidRPr="002C2818" w:rsidRDefault="001B4185" w:rsidP="001B4185">
            <w:pPr>
              <w:spacing w:after="0" w:line="240" w:lineRule="auto"/>
              <w:rPr>
                <w:rFonts w:cs="Calibri"/>
                <w:sz w:val="20"/>
                <w:szCs w:val="20"/>
              </w:rPr>
            </w:pPr>
            <w:r w:rsidRPr="002C2818">
              <w:rPr>
                <w:rFonts w:cs="Calibri"/>
                <w:sz w:val="20"/>
                <w:szCs w:val="20"/>
              </w:rPr>
              <w:t>5) Cables de alta tensión – Transporte.</w:t>
            </w:r>
          </w:p>
        </w:tc>
        <w:tc>
          <w:tcPr>
            <w:tcW w:w="1134" w:type="dxa"/>
            <w:shd w:val="clear" w:color="auto" w:fill="auto"/>
            <w:vAlign w:val="bottom"/>
          </w:tcPr>
          <w:p w14:paraId="42584439" w14:textId="77777777" w:rsidR="001B4185" w:rsidRPr="002C2818" w:rsidRDefault="001B4185" w:rsidP="001B4185">
            <w:pPr>
              <w:spacing w:after="0" w:line="240" w:lineRule="auto"/>
              <w:jc w:val="center"/>
              <w:rPr>
                <w:rFonts w:cs="Calibri"/>
                <w:sz w:val="20"/>
                <w:szCs w:val="20"/>
                <w:lang w:val="es-CL"/>
              </w:rPr>
            </w:pPr>
          </w:p>
        </w:tc>
      </w:tr>
      <w:tr w:rsidR="001B4185" w:rsidRPr="002C2818" w14:paraId="26E4ED11" w14:textId="77777777">
        <w:trPr>
          <w:jc w:val="center"/>
        </w:trPr>
        <w:tc>
          <w:tcPr>
            <w:tcW w:w="8505" w:type="dxa"/>
            <w:shd w:val="clear" w:color="auto" w:fill="auto"/>
            <w:vAlign w:val="bottom"/>
          </w:tcPr>
          <w:p w14:paraId="1E658BD5"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w:t>
            </w:r>
          </w:p>
        </w:tc>
        <w:tc>
          <w:tcPr>
            <w:tcW w:w="1134" w:type="dxa"/>
            <w:shd w:val="clear" w:color="auto" w:fill="auto"/>
            <w:vAlign w:val="bottom"/>
          </w:tcPr>
          <w:p w14:paraId="38B22FEA"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020C8B6C" w14:textId="77777777">
        <w:trPr>
          <w:jc w:val="center"/>
        </w:trPr>
        <w:tc>
          <w:tcPr>
            <w:tcW w:w="8505" w:type="dxa"/>
            <w:shd w:val="clear" w:color="auto" w:fill="auto"/>
            <w:vAlign w:val="bottom"/>
          </w:tcPr>
          <w:p w14:paraId="37675C79" w14:textId="77777777" w:rsidR="001B4185" w:rsidRPr="002C2818" w:rsidRDefault="001B4185" w:rsidP="001B4185">
            <w:pPr>
              <w:spacing w:after="0" w:line="240" w:lineRule="auto"/>
              <w:rPr>
                <w:rFonts w:cs="Calibri"/>
                <w:sz w:val="20"/>
                <w:szCs w:val="20"/>
              </w:rPr>
            </w:pPr>
            <w:r w:rsidRPr="002C2818">
              <w:rPr>
                <w:rFonts w:cs="Calibri"/>
                <w:sz w:val="20"/>
                <w:szCs w:val="20"/>
              </w:rPr>
              <w:t>-   Conductores</w:t>
            </w:r>
          </w:p>
        </w:tc>
        <w:tc>
          <w:tcPr>
            <w:tcW w:w="1134" w:type="dxa"/>
            <w:shd w:val="clear" w:color="auto" w:fill="auto"/>
            <w:vAlign w:val="bottom"/>
          </w:tcPr>
          <w:p w14:paraId="135369BF"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220516D8" w14:textId="77777777">
        <w:trPr>
          <w:jc w:val="center"/>
        </w:trPr>
        <w:tc>
          <w:tcPr>
            <w:tcW w:w="8505" w:type="dxa"/>
            <w:shd w:val="clear" w:color="auto" w:fill="auto"/>
            <w:vAlign w:val="bottom"/>
          </w:tcPr>
          <w:p w14:paraId="364D6934" w14:textId="77777777" w:rsidR="001B4185" w:rsidRPr="002C2818" w:rsidRDefault="001B4185" w:rsidP="001B4185">
            <w:pPr>
              <w:spacing w:after="0" w:line="240" w:lineRule="auto"/>
              <w:rPr>
                <w:rFonts w:cs="Calibri"/>
                <w:sz w:val="20"/>
                <w:szCs w:val="20"/>
              </w:rPr>
            </w:pPr>
            <w:r w:rsidRPr="002C2818">
              <w:rPr>
                <w:rFonts w:cs="Calibri"/>
                <w:sz w:val="20"/>
                <w:szCs w:val="20"/>
              </w:rPr>
              <w:t>6) Subestaciones – Transporte.</w:t>
            </w:r>
          </w:p>
        </w:tc>
        <w:tc>
          <w:tcPr>
            <w:tcW w:w="1134" w:type="dxa"/>
            <w:shd w:val="clear" w:color="auto" w:fill="auto"/>
            <w:vAlign w:val="bottom"/>
          </w:tcPr>
          <w:p w14:paraId="52C9C7DC" w14:textId="77777777" w:rsidR="001B4185" w:rsidRPr="002C2818" w:rsidRDefault="001B4185" w:rsidP="001B4185">
            <w:pPr>
              <w:spacing w:after="0" w:line="240" w:lineRule="auto"/>
              <w:jc w:val="center"/>
              <w:rPr>
                <w:rFonts w:cs="Calibri"/>
                <w:sz w:val="20"/>
                <w:szCs w:val="20"/>
              </w:rPr>
            </w:pPr>
          </w:p>
        </w:tc>
      </w:tr>
      <w:tr w:rsidR="001B4185" w:rsidRPr="002C2818" w14:paraId="52EB6364" w14:textId="77777777">
        <w:trPr>
          <w:jc w:val="center"/>
        </w:trPr>
        <w:tc>
          <w:tcPr>
            <w:tcW w:w="8505" w:type="dxa"/>
            <w:shd w:val="clear" w:color="auto" w:fill="auto"/>
            <w:vAlign w:val="bottom"/>
          </w:tcPr>
          <w:p w14:paraId="384A20BB"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w:t>
            </w:r>
          </w:p>
        </w:tc>
        <w:tc>
          <w:tcPr>
            <w:tcW w:w="1134" w:type="dxa"/>
            <w:shd w:val="clear" w:color="auto" w:fill="auto"/>
            <w:vAlign w:val="bottom"/>
          </w:tcPr>
          <w:p w14:paraId="0ED66B9F"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25</w:t>
            </w:r>
          </w:p>
        </w:tc>
      </w:tr>
      <w:tr w:rsidR="001B4185" w:rsidRPr="002C2818" w14:paraId="7F98FB15" w14:textId="77777777">
        <w:trPr>
          <w:jc w:val="center"/>
        </w:trPr>
        <w:tc>
          <w:tcPr>
            <w:tcW w:w="8505" w:type="dxa"/>
            <w:shd w:val="clear" w:color="auto" w:fill="auto"/>
            <w:vAlign w:val="bottom"/>
          </w:tcPr>
          <w:p w14:paraId="2B50C8BF" w14:textId="77777777" w:rsidR="001B4185" w:rsidRPr="002C2818" w:rsidRDefault="001B4185" w:rsidP="001B4185">
            <w:pPr>
              <w:spacing w:after="0" w:line="240" w:lineRule="auto"/>
              <w:rPr>
                <w:rFonts w:cs="Calibri"/>
                <w:sz w:val="20"/>
                <w:szCs w:val="20"/>
              </w:rPr>
            </w:pPr>
            <w:r w:rsidRPr="002C2818">
              <w:rPr>
                <w:rFonts w:cs="Calibri"/>
                <w:sz w:val="20"/>
                <w:szCs w:val="20"/>
              </w:rPr>
              <w:t>-   Construcciones y casetas de entronque (estaciones de bombeo, reactancias compensación).</w:t>
            </w:r>
          </w:p>
        </w:tc>
        <w:tc>
          <w:tcPr>
            <w:tcW w:w="1134" w:type="dxa"/>
            <w:shd w:val="clear" w:color="auto" w:fill="auto"/>
            <w:vAlign w:val="bottom"/>
          </w:tcPr>
          <w:p w14:paraId="553223E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7C80EE33" w14:textId="77777777">
        <w:trPr>
          <w:jc w:val="center"/>
        </w:trPr>
        <w:tc>
          <w:tcPr>
            <w:tcW w:w="8505" w:type="dxa"/>
            <w:shd w:val="clear" w:color="auto" w:fill="auto"/>
            <w:vAlign w:val="bottom"/>
          </w:tcPr>
          <w:p w14:paraId="2AE5597A" w14:textId="77777777" w:rsidR="001B4185" w:rsidRPr="002C2818" w:rsidRDefault="001B4185" w:rsidP="001B4185">
            <w:pPr>
              <w:spacing w:after="0" w:line="240" w:lineRule="auto"/>
              <w:rPr>
                <w:rFonts w:cs="Calibri"/>
                <w:sz w:val="20"/>
                <w:szCs w:val="20"/>
              </w:rPr>
            </w:pPr>
            <w:r w:rsidRPr="002C2818">
              <w:rPr>
                <w:rFonts w:cs="Calibri"/>
                <w:sz w:val="20"/>
                <w:szCs w:val="20"/>
              </w:rPr>
              <w:t>-   Transformadores, celdas de transformadores, celdas de líneas, equipos auxiliares y equipos de telecomandos.</w:t>
            </w:r>
          </w:p>
        </w:tc>
        <w:tc>
          <w:tcPr>
            <w:tcW w:w="1134" w:type="dxa"/>
            <w:shd w:val="clear" w:color="auto" w:fill="auto"/>
            <w:vAlign w:val="bottom"/>
          </w:tcPr>
          <w:p w14:paraId="3BA6791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4B25D5B6" w14:textId="77777777">
        <w:trPr>
          <w:jc w:val="center"/>
        </w:trPr>
        <w:tc>
          <w:tcPr>
            <w:tcW w:w="8505" w:type="dxa"/>
            <w:shd w:val="clear" w:color="auto" w:fill="auto"/>
            <w:vAlign w:val="center"/>
          </w:tcPr>
          <w:p w14:paraId="793F2238" w14:textId="77777777" w:rsidR="001B4185" w:rsidRPr="002C2818" w:rsidRDefault="001B4185" w:rsidP="001B4185">
            <w:pPr>
              <w:spacing w:after="0" w:line="240" w:lineRule="auto"/>
              <w:rPr>
                <w:rFonts w:cs="Calibri"/>
                <w:sz w:val="20"/>
                <w:szCs w:val="20"/>
              </w:rPr>
            </w:pPr>
            <w:r w:rsidRPr="002C2818">
              <w:rPr>
                <w:rFonts w:cs="Calibri"/>
                <w:sz w:val="20"/>
                <w:szCs w:val="20"/>
              </w:rPr>
              <w:t>7) Líneas de alta tensión – Distribución.</w:t>
            </w:r>
          </w:p>
        </w:tc>
        <w:tc>
          <w:tcPr>
            <w:tcW w:w="1134" w:type="dxa"/>
            <w:shd w:val="clear" w:color="auto" w:fill="auto"/>
            <w:vAlign w:val="bottom"/>
          </w:tcPr>
          <w:p w14:paraId="0610BCC0" w14:textId="77777777" w:rsidR="001B4185" w:rsidRPr="002C2818" w:rsidRDefault="001B4185" w:rsidP="001B4185">
            <w:pPr>
              <w:spacing w:after="0" w:line="240" w:lineRule="auto"/>
              <w:jc w:val="center"/>
              <w:rPr>
                <w:rFonts w:cs="Calibri"/>
                <w:sz w:val="20"/>
                <w:szCs w:val="20"/>
                <w:lang w:val="es-CL"/>
              </w:rPr>
            </w:pPr>
          </w:p>
        </w:tc>
      </w:tr>
      <w:tr w:rsidR="001B4185" w:rsidRPr="002C2818" w14:paraId="6C625257" w14:textId="77777777">
        <w:trPr>
          <w:jc w:val="center"/>
        </w:trPr>
        <w:tc>
          <w:tcPr>
            <w:tcW w:w="8505" w:type="dxa"/>
            <w:shd w:val="clear" w:color="auto" w:fill="auto"/>
            <w:vAlign w:val="bottom"/>
          </w:tcPr>
          <w:p w14:paraId="0584774B"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w:t>
            </w:r>
          </w:p>
        </w:tc>
        <w:tc>
          <w:tcPr>
            <w:tcW w:w="1134" w:type="dxa"/>
            <w:shd w:val="clear" w:color="auto" w:fill="auto"/>
            <w:vAlign w:val="bottom"/>
          </w:tcPr>
          <w:p w14:paraId="45E1395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27BC6CC3" w14:textId="77777777">
        <w:trPr>
          <w:jc w:val="center"/>
        </w:trPr>
        <w:tc>
          <w:tcPr>
            <w:tcW w:w="8505" w:type="dxa"/>
            <w:shd w:val="clear" w:color="auto" w:fill="auto"/>
            <w:vAlign w:val="bottom"/>
          </w:tcPr>
          <w:p w14:paraId="12FDBE3B" w14:textId="77777777" w:rsidR="001B4185" w:rsidRPr="002C2818" w:rsidRDefault="001B4185" w:rsidP="001B4185">
            <w:pPr>
              <w:spacing w:after="0" w:line="240" w:lineRule="auto"/>
              <w:rPr>
                <w:rFonts w:cs="Calibri"/>
                <w:sz w:val="20"/>
                <w:szCs w:val="20"/>
              </w:rPr>
            </w:pPr>
            <w:r w:rsidRPr="002C2818">
              <w:rPr>
                <w:rFonts w:cs="Calibri"/>
                <w:sz w:val="20"/>
                <w:szCs w:val="20"/>
              </w:rPr>
              <w:t>-   Conductores</w:t>
            </w:r>
          </w:p>
        </w:tc>
        <w:tc>
          <w:tcPr>
            <w:tcW w:w="1134" w:type="dxa"/>
            <w:shd w:val="clear" w:color="auto" w:fill="auto"/>
            <w:vAlign w:val="bottom"/>
          </w:tcPr>
          <w:p w14:paraId="2B77A332"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732CA1F4" w14:textId="77777777">
        <w:trPr>
          <w:jc w:val="center"/>
        </w:trPr>
        <w:tc>
          <w:tcPr>
            <w:tcW w:w="8505" w:type="dxa"/>
            <w:shd w:val="clear" w:color="auto" w:fill="auto"/>
            <w:vAlign w:val="bottom"/>
          </w:tcPr>
          <w:p w14:paraId="02A54624" w14:textId="77777777" w:rsidR="001B4185" w:rsidRPr="002C2818" w:rsidRDefault="001B4185" w:rsidP="001B4185">
            <w:pPr>
              <w:spacing w:after="0" w:line="240" w:lineRule="auto"/>
              <w:rPr>
                <w:rFonts w:cs="Calibri"/>
                <w:sz w:val="20"/>
                <w:szCs w:val="20"/>
              </w:rPr>
            </w:pPr>
            <w:r w:rsidRPr="002C2818">
              <w:rPr>
                <w:rFonts w:cs="Calibri"/>
                <w:sz w:val="20"/>
                <w:szCs w:val="20"/>
              </w:rPr>
              <w:t>-   Apoyos de suspensión, apoyos de amarres y remodelación de líneas.</w:t>
            </w:r>
          </w:p>
        </w:tc>
        <w:tc>
          <w:tcPr>
            <w:tcW w:w="1134" w:type="dxa"/>
            <w:shd w:val="clear" w:color="auto" w:fill="auto"/>
            <w:vAlign w:val="bottom"/>
          </w:tcPr>
          <w:p w14:paraId="198089A1"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5F5BA50F" w14:textId="77777777">
        <w:trPr>
          <w:jc w:val="center"/>
        </w:trPr>
        <w:tc>
          <w:tcPr>
            <w:tcW w:w="8505" w:type="dxa"/>
            <w:shd w:val="clear" w:color="auto" w:fill="auto"/>
            <w:vAlign w:val="bottom"/>
          </w:tcPr>
          <w:p w14:paraId="124E14E4" w14:textId="77777777" w:rsidR="001B4185" w:rsidRPr="002C2818" w:rsidRDefault="001B4185" w:rsidP="001B4185">
            <w:pPr>
              <w:spacing w:after="0" w:line="240" w:lineRule="auto"/>
              <w:rPr>
                <w:rFonts w:cs="Calibri"/>
                <w:sz w:val="20"/>
                <w:szCs w:val="20"/>
              </w:rPr>
            </w:pPr>
            <w:r w:rsidRPr="002C2818">
              <w:rPr>
                <w:rFonts w:cs="Calibri"/>
                <w:sz w:val="20"/>
                <w:szCs w:val="20"/>
              </w:rPr>
              <w:t>8) Cables de alta tensión – Distribución.</w:t>
            </w:r>
          </w:p>
        </w:tc>
        <w:tc>
          <w:tcPr>
            <w:tcW w:w="1134" w:type="dxa"/>
            <w:shd w:val="clear" w:color="auto" w:fill="auto"/>
            <w:vAlign w:val="bottom"/>
          </w:tcPr>
          <w:p w14:paraId="58841D0F" w14:textId="77777777" w:rsidR="001B4185" w:rsidRPr="002C2818" w:rsidRDefault="001B4185" w:rsidP="001B4185">
            <w:pPr>
              <w:spacing w:after="0" w:line="240" w:lineRule="auto"/>
              <w:jc w:val="center"/>
              <w:rPr>
                <w:rFonts w:cs="Calibri"/>
                <w:sz w:val="20"/>
                <w:szCs w:val="20"/>
                <w:lang w:val="es-CL"/>
              </w:rPr>
            </w:pPr>
          </w:p>
        </w:tc>
      </w:tr>
      <w:tr w:rsidR="001B4185" w:rsidRPr="002C2818" w14:paraId="7EC6CE8B" w14:textId="77777777">
        <w:trPr>
          <w:jc w:val="center"/>
        </w:trPr>
        <w:tc>
          <w:tcPr>
            <w:tcW w:w="8505" w:type="dxa"/>
            <w:shd w:val="clear" w:color="auto" w:fill="auto"/>
            <w:vAlign w:val="bottom"/>
          </w:tcPr>
          <w:p w14:paraId="59D81DC5" w14:textId="77777777" w:rsidR="001B4185" w:rsidRPr="002C2818" w:rsidRDefault="001B4185" w:rsidP="001B4185">
            <w:pPr>
              <w:spacing w:after="0" w:line="240" w:lineRule="auto"/>
              <w:rPr>
                <w:rFonts w:cs="Calibri"/>
                <w:sz w:val="20"/>
                <w:szCs w:val="20"/>
              </w:rPr>
            </w:pPr>
            <w:r w:rsidRPr="002C2818">
              <w:rPr>
                <w:rFonts w:cs="Calibri"/>
                <w:sz w:val="20"/>
                <w:szCs w:val="20"/>
              </w:rPr>
              <w:t xml:space="preserve">-   Obras civiles. </w:t>
            </w:r>
          </w:p>
        </w:tc>
        <w:tc>
          <w:tcPr>
            <w:tcW w:w="1134" w:type="dxa"/>
            <w:shd w:val="clear" w:color="auto" w:fill="auto"/>
            <w:vAlign w:val="bottom"/>
          </w:tcPr>
          <w:p w14:paraId="52FAE8EE"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0213C731" w14:textId="77777777">
        <w:trPr>
          <w:jc w:val="center"/>
        </w:trPr>
        <w:tc>
          <w:tcPr>
            <w:tcW w:w="8505" w:type="dxa"/>
            <w:shd w:val="clear" w:color="auto" w:fill="auto"/>
            <w:vAlign w:val="bottom"/>
          </w:tcPr>
          <w:p w14:paraId="2BEEB3C4" w14:textId="77777777" w:rsidR="001B4185" w:rsidRPr="002C2818" w:rsidRDefault="001B4185" w:rsidP="001B4185">
            <w:pPr>
              <w:spacing w:after="0" w:line="240" w:lineRule="auto"/>
              <w:rPr>
                <w:rFonts w:cs="Calibri"/>
                <w:sz w:val="20"/>
                <w:szCs w:val="20"/>
              </w:rPr>
            </w:pPr>
            <w:r w:rsidRPr="002C2818">
              <w:rPr>
                <w:rFonts w:cs="Calibri"/>
                <w:sz w:val="20"/>
                <w:szCs w:val="20"/>
              </w:rPr>
              <w:t>-   Conductores</w:t>
            </w:r>
          </w:p>
        </w:tc>
        <w:tc>
          <w:tcPr>
            <w:tcW w:w="1134" w:type="dxa"/>
            <w:shd w:val="clear" w:color="auto" w:fill="auto"/>
            <w:vAlign w:val="bottom"/>
          </w:tcPr>
          <w:p w14:paraId="7F73370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5C37FB2F" w14:textId="77777777">
        <w:trPr>
          <w:jc w:val="center"/>
        </w:trPr>
        <w:tc>
          <w:tcPr>
            <w:tcW w:w="8505" w:type="dxa"/>
            <w:shd w:val="clear" w:color="auto" w:fill="auto"/>
            <w:vAlign w:val="bottom"/>
          </w:tcPr>
          <w:p w14:paraId="4BCD51C8" w14:textId="77777777" w:rsidR="001B4185" w:rsidRPr="002C2818" w:rsidRDefault="001B4185" w:rsidP="001B4185">
            <w:pPr>
              <w:spacing w:after="0" w:line="240" w:lineRule="auto"/>
              <w:rPr>
                <w:rFonts w:cs="Calibri"/>
                <w:sz w:val="20"/>
                <w:szCs w:val="20"/>
              </w:rPr>
            </w:pPr>
            <w:r w:rsidRPr="002C2818">
              <w:rPr>
                <w:rFonts w:cs="Calibri"/>
                <w:sz w:val="20"/>
                <w:szCs w:val="20"/>
              </w:rPr>
              <w:t>9) Líneas de media tensión – Aéreas.</w:t>
            </w:r>
          </w:p>
        </w:tc>
        <w:tc>
          <w:tcPr>
            <w:tcW w:w="1134" w:type="dxa"/>
            <w:shd w:val="clear" w:color="auto" w:fill="auto"/>
            <w:vAlign w:val="bottom"/>
          </w:tcPr>
          <w:p w14:paraId="1EC73B3B" w14:textId="77777777" w:rsidR="001B4185" w:rsidRPr="002C2818" w:rsidRDefault="001B4185" w:rsidP="001B4185">
            <w:pPr>
              <w:spacing w:after="0" w:line="240" w:lineRule="auto"/>
              <w:jc w:val="center"/>
              <w:rPr>
                <w:rFonts w:cs="Calibri"/>
                <w:sz w:val="20"/>
                <w:szCs w:val="20"/>
                <w:lang w:val="es-CL"/>
              </w:rPr>
            </w:pPr>
          </w:p>
        </w:tc>
      </w:tr>
      <w:tr w:rsidR="001B4185" w:rsidRPr="002C2818" w14:paraId="7D9F7898" w14:textId="77777777">
        <w:trPr>
          <w:jc w:val="center"/>
        </w:trPr>
        <w:tc>
          <w:tcPr>
            <w:tcW w:w="8505" w:type="dxa"/>
            <w:shd w:val="clear" w:color="auto" w:fill="auto"/>
            <w:vAlign w:val="bottom"/>
          </w:tcPr>
          <w:p w14:paraId="6AAC0F1E" w14:textId="77777777" w:rsidR="001B4185" w:rsidRPr="002C2818" w:rsidRDefault="001B4185" w:rsidP="001B4185">
            <w:pPr>
              <w:spacing w:after="0" w:line="240" w:lineRule="auto"/>
              <w:rPr>
                <w:rFonts w:cs="Calibri"/>
                <w:sz w:val="20"/>
                <w:szCs w:val="20"/>
              </w:rPr>
            </w:pPr>
            <w:r w:rsidRPr="002C2818">
              <w:rPr>
                <w:rFonts w:cs="Calibri"/>
                <w:sz w:val="20"/>
                <w:szCs w:val="20"/>
              </w:rPr>
              <w:t>-     Redes desnudas, redes aisladas, postes y otros.</w:t>
            </w:r>
          </w:p>
        </w:tc>
        <w:tc>
          <w:tcPr>
            <w:tcW w:w="1134" w:type="dxa"/>
            <w:shd w:val="clear" w:color="auto" w:fill="auto"/>
            <w:vAlign w:val="bottom"/>
          </w:tcPr>
          <w:p w14:paraId="65CCD1F4"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56C582A0" w14:textId="77777777">
        <w:trPr>
          <w:jc w:val="center"/>
        </w:trPr>
        <w:tc>
          <w:tcPr>
            <w:tcW w:w="8505" w:type="dxa"/>
            <w:shd w:val="clear" w:color="auto" w:fill="auto"/>
            <w:vAlign w:val="bottom"/>
          </w:tcPr>
          <w:p w14:paraId="69E26231" w14:textId="77777777" w:rsidR="001B4185" w:rsidRPr="002C2818" w:rsidRDefault="001B4185" w:rsidP="001B4185">
            <w:pPr>
              <w:spacing w:after="0" w:line="240" w:lineRule="auto"/>
              <w:rPr>
                <w:rFonts w:cs="Calibri"/>
                <w:sz w:val="20"/>
                <w:szCs w:val="20"/>
              </w:rPr>
            </w:pPr>
            <w:r w:rsidRPr="002C2818">
              <w:rPr>
                <w:rFonts w:cs="Calibri"/>
                <w:sz w:val="20"/>
                <w:szCs w:val="20"/>
              </w:rPr>
              <w:t>-     Equipos</w:t>
            </w:r>
          </w:p>
        </w:tc>
        <w:tc>
          <w:tcPr>
            <w:tcW w:w="1134" w:type="dxa"/>
            <w:shd w:val="clear" w:color="auto" w:fill="auto"/>
            <w:vAlign w:val="bottom"/>
          </w:tcPr>
          <w:p w14:paraId="2CDDDF1F"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12</w:t>
            </w:r>
          </w:p>
        </w:tc>
      </w:tr>
      <w:tr w:rsidR="001B4185" w:rsidRPr="002C2818" w14:paraId="60314787" w14:textId="77777777">
        <w:trPr>
          <w:jc w:val="center"/>
        </w:trPr>
        <w:tc>
          <w:tcPr>
            <w:tcW w:w="8505" w:type="dxa"/>
            <w:shd w:val="clear" w:color="auto" w:fill="auto"/>
            <w:vAlign w:val="bottom"/>
          </w:tcPr>
          <w:p w14:paraId="72311036" w14:textId="77777777" w:rsidR="001B4185" w:rsidRPr="002C2818" w:rsidRDefault="001B4185" w:rsidP="001B4185">
            <w:pPr>
              <w:spacing w:after="0" w:line="240" w:lineRule="auto"/>
              <w:rPr>
                <w:rFonts w:cs="Calibri"/>
                <w:sz w:val="20"/>
                <w:szCs w:val="20"/>
              </w:rPr>
            </w:pPr>
            <w:r w:rsidRPr="002C2818">
              <w:rPr>
                <w:rFonts w:cs="Calibri"/>
                <w:sz w:val="20"/>
                <w:szCs w:val="20"/>
              </w:rPr>
              <w:t>10) Líneas de media tensión – Subterráneas.</w:t>
            </w:r>
          </w:p>
        </w:tc>
        <w:tc>
          <w:tcPr>
            <w:tcW w:w="1134" w:type="dxa"/>
            <w:shd w:val="clear" w:color="auto" w:fill="auto"/>
            <w:vAlign w:val="bottom"/>
          </w:tcPr>
          <w:p w14:paraId="5F47CA85" w14:textId="77777777" w:rsidR="001B4185" w:rsidRPr="002C2818" w:rsidRDefault="001B4185" w:rsidP="001B4185">
            <w:pPr>
              <w:spacing w:after="0" w:line="240" w:lineRule="auto"/>
              <w:jc w:val="center"/>
              <w:rPr>
                <w:rFonts w:cs="Calibri"/>
                <w:sz w:val="20"/>
                <w:szCs w:val="20"/>
                <w:lang w:val="es-CL"/>
              </w:rPr>
            </w:pPr>
          </w:p>
        </w:tc>
      </w:tr>
      <w:tr w:rsidR="001B4185" w:rsidRPr="002C2818" w14:paraId="4BE51DDE" w14:textId="77777777">
        <w:trPr>
          <w:jc w:val="center"/>
        </w:trPr>
        <w:tc>
          <w:tcPr>
            <w:tcW w:w="8505" w:type="dxa"/>
            <w:shd w:val="clear" w:color="auto" w:fill="auto"/>
            <w:vAlign w:val="bottom"/>
          </w:tcPr>
          <w:p w14:paraId="5D91DF82" w14:textId="77777777" w:rsidR="001B4185" w:rsidRPr="002C2818" w:rsidRDefault="001B4185" w:rsidP="001B4185">
            <w:pPr>
              <w:spacing w:after="0" w:line="240" w:lineRule="auto"/>
              <w:rPr>
                <w:rFonts w:cs="Calibri"/>
                <w:sz w:val="20"/>
                <w:szCs w:val="20"/>
              </w:rPr>
            </w:pPr>
            <w:r w:rsidRPr="002C2818">
              <w:rPr>
                <w:rFonts w:cs="Calibri"/>
                <w:sz w:val="20"/>
                <w:szCs w:val="20"/>
              </w:rPr>
              <w:t>-     Redes, cámaras, canalizaciones y otros.</w:t>
            </w:r>
          </w:p>
        </w:tc>
        <w:tc>
          <w:tcPr>
            <w:tcW w:w="1134" w:type="dxa"/>
            <w:shd w:val="clear" w:color="auto" w:fill="auto"/>
            <w:vAlign w:val="bottom"/>
          </w:tcPr>
          <w:p w14:paraId="4038536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416EE2B3" w14:textId="77777777">
        <w:trPr>
          <w:jc w:val="center"/>
        </w:trPr>
        <w:tc>
          <w:tcPr>
            <w:tcW w:w="8505" w:type="dxa"/>
            <w:shd w:val="clear" w:color="auto" w:fill="auto"/>
            <w:vAlign w:val="bottom"/>
          </w:tcPr>
          <w:p w14:paraId="2FB79A00" w14:textId="77777777" w:rsidR="001B4185" w:rsidRPr="002C2818" w:rsidRDefault="001B4185" w:rsidP="001B4185">
            <w:pPr>
              <w:spacing w:after="0" w:line="240" w:lineRule="auto"/>
              <w:rPr>
                <w:rFonts w:cs="Calibri"/>
                <w:sz w:val="20"/>
                <w:szCs w:val="20"/>
              </w:rPr>
            </w:pPr>
            <w:r w:rsidRPr="002C2818">
              <w:rPr>
                <w:rFonts w:cs="Calibri"/>
                <w:sz w:val="20"/>
                <w:szCs w:val="20"/>
              </w:rPr>
              <w:t>-     Equipos</w:t>
            </w:r>
          </w:p>
        </w:tc>
        <w:tc>
          <w:tcPr>
            <w:tcW w:w="1134" w:type="dxa"/>
            <w:shd w:val="clear" w:color="auto" w:fill="auto"/>
            <w:vAlign w:val="bottom"/>
          </w:tcPr>
          <w:p w14:paraId="319BCF5D"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12</w:t>
            </w:r>
          </w:p>
        </w:tc>
      </w:tr>
      <w:tr w:rsidR="001B4185" w:rsidRPr="002C2818" w14:paraId="1570C492" w14:textId="77777777">
        <w:trPr>
          <w:jc w:val="center"/>
        </w:trPr>
        <w:tc>
          <w:tcPr>
            <w:tcW w:w="8505" w:type="dxa"/>
            <w:shd w:val="clear" w:color="auto" w:fill="auto"/>
            <w:vAlign w:val="bottom"/>
          </w:tcPr>
          <w:p w14:paraId="55FBC48B" w14:textId="77777777" w:rsidR="001B4185" w:rsidRPr="002C2818" w:rsidRDefault="001B4185" w:rsidP="001B4185">
            <w:pPr>
              <w:spacing w:after="0" w:line="240" w:lineRule="auto"/>
              <w:rPr>
                <w:rFonts w:cs="Calibri"/>
                <w:sz w:val="20"/>
                <w:szCs w:val="20"/>
              </w:rPr>
            </w:pPr>
            <w:r w:rsidRPr="002C2818">
              <w:rPr>
                <w:rFonts w:cs="Calibri"/>
                <w:sz w:val="20"/>
                <w:szCs w:val="20"/>
              </w:rPr>
              <w:t>11) Líneas de baja tensión – Aéreas.</w:t>
            </w:r>
          </w:p>
        </w:tc>
        <w:tc>
          <w:tcPr>
            <w:tcW w:w="1134" w:type="dxa"/>
            <w:shd w:val="clear" w:color="auto" w:fill="auto"/>
            <w:vAlign w:val="bottom"/>
          </w:tcPr>
          <w:p w14:paraId="36AFE855" w14:textId="77777777" w:rsidR="001B4185" w:rsidRPr="002C2818" w:rsidRDefault="001B4185" w:rsidP="001B4185">
            <w:pPr>
              <w:spacing w:after="0" w:line="240" w:lineRule="auto"/>
              <w:jc w:val="center"/>
              <w:rPr>
                <w:rFonts w:cs="Calibri"/>
                <w:sz w:val="20"/>
                <w:szCs w:val="20"/>
                <w:lang w:val="es-CL"/>
              </w:rPr>
            </w:pPr>
          </w:p>
        </w:tc>
      </w:tr>
      <w:tr w:rsidR="001B4185" w:rsidRPr="002C2818" w14:paraId="21FFFE6E" w14:textId="77777777">
        <w:trPr>
          <w:jc w:val="center"/>
        </w:trPr>
        <w:tc>
          <w:tcPr>
            <w:tcW w:w="8505" w:type="dxa"/>
            <w:shd w:val="clear" w:color="auto" w:fill="auto"/>
            <w:vAlign w:val="bottom"/>
          </w:tcPr>
          <w:p w14:paraId="2231D7A7" w14:textId="77777777" w:rsidR="001B4185" w:rsidRPr="002C2818" w:rsidRDefault="001B4185" w:rsidP="001B4185">
            <w:pPr>
              <w:spacing w:after="0" w:line="240" w:lineRule="auto"/>
              <w:rPr>
                <w:rFonts w:cs="Calibri"/>
                <w:sz w:val="20"/>
                <w:szCs w:val="20"/>
              </w:rPr>
            </w:pPr>
            <w:r w:rsidRPr="002C2818">
              <w:rPr>
                <w:rFonts w:cs="Calibri"/>
                <w:sz w:val="20"/>
                <w:szCs w:val="20"/>
              </w:rPr>
              <w:t xml:space="preserve">-     Redes desnudas, redes aisladas, postes y otros. </w:t>
            </w:r>
          </w:p>
        </w:tc>
        <w:tc>
          <w:tcPr>
            <w:tcW w:w="1134" w:type="dxa"/>
            <w:shd w:val="clear" w:color="auto" w:fill="auto"/>
            <w:vAlign w:val="bottom"/>
          </w:tcPr>
          <w:p w14:paraId="6D2AE780"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7162BC59" w14:textId="77777777">
        <w:trPr>
          <w:jc w:val="center"/>
        </w:trPr>
        <w:tc>
          <w:tcPr>
            <w:tcW w:w="8505" w:type="dxa"/>
            <w:shd w:val="clear" w:color="auto" w:fill="auto"/>
            <w:vAlign w:val="bottom"/>
          </w:tcPr>
          <w:p w14:paraId="74D08F36" w14:textId="77777777" w:rsidR="001B4185" w:rsidRPr="002C2818" w:rsidRDefault="001B4185" w:rsidP="001B4185">
            <w:pPr>
              <w:spacing w:after="0" w:line="240" w:lineRule="auto"/>
              <w:rPr>
                <w:rFonts w:cs="Calibri"/>
                <w:sz w:val="20"/>
                <w:szCs w:val="20"/>
              </w:rPr>
            </w:pPr>
            <w:r w:rsidRPr="002C2818">
              <w:rPr>
                <w:rFonts w:cs="Calibri"/>
                <w:sz w:val="20"/>
                <w:szCs w:val="20"/>
              </w:rPr>
              <w:t>-     Equipos</w:t>
            </w:r>
          </w:p>
        </w:tc>
        <w:tc>
          <w:tcPr>
            <w:tcW w:w="1134" w:type="dxa"/>
            <w:shd w:val="clear" w:color="auto" w:fill="auto"/>
            <w:vAlign w:val="bottom"/>
          </w:tcPr>
          <w:p w14:paraId="0012EEE0"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12</w:t>
            </w:r>
          </w:p>
        </w:tc>
      </w:tr>
      <w:tr w:rsidR="001B4185" w:rsidRPr="002C2818" w14:paraId="2CCA5E32" w14:textId="77777777">
        <w:trPr>
          <w:jc w:val="center"/>
        </w:trPr>
        <w:tc>
          <w:tcPr>
            <w:tcW w:w="8505" w:type="dxa"/>
            <w:shd w:val="clear" w:color="auto" w:fill="auto"/>
            <w:vAlign w:val="bottom"/>
          </w:tcPr>
          <w:p w14:paraId="73E08C47" w14:textId="77777777" w:rsidR="001B4185" w:rsidRPr="002C2818" w:rsidRDefault="001B4185" w:rsidP="001B4185">
            <w:pPr>
              <w:spacing w:after="0" w:line="240" w:lineRule="auto"/>
              <w:rPr>
                <w:rFonts w:cs="Calibri"/>
                <w:sz w:val="20"/>
                <w:szCs w:val="20"/>
              </w:rPr>
            </w:pPr>
            <w:r w:rsidRPr="002C2818">
              <w:rPr>
                <w:rFonts w:cs="Calibri"/>
                <w:sz w:val="20"/>
                <w:szCs w:val="20"/>
              </w:rPr>
              <w:t>12) Líneas de baja tensión – Subterráneas.</w:t>
            </w:r>
          </w:p>
        </w:tc>
        <w:tc>
          <w:tcPr>
            <w:tcW w:w="1134" w:type="dxa"/>
            <w:shd w:val="clear" w:color="auto" w:fill="auto"/>
            <w:vAlign w:val="bottom"/>
          </w:tcPr>
          <w:p w14:paraId="087287A4" w14:textId="77777777" w:rsidR="001B4185" w:rsidRPr="002C2818" w:rsidRDefault="001B4185" w:rsidP="001B4185">
            <w:pPr>
              <w:spacing w:after="0" w:line="240" w:lineRule="auto"/>
              <w:jc w:val="center"/>
              <w:rPr>
                <w:rFonts w:cs="Calibri"/>
                <w:sz w:val="20"/>
                <w:szCs w:val="20"/>
                <w:lang w:val="es-CL"/>
              </w:rPr>
            </w:pPr>
          </w:p>
        </w:tc>
      </w:tr>
      <w:tr w:rsidR="001B4185" w:rsidRPr="002C2818" w14:paraId="261086B9" w14:textId="77777777">
        <w:trPr>
          <w:jc w:val="center"/>
        </w:trPr>
        <w:tc>
          <w:tcPr>
            <w:tcW w:w="8505" w:type="dxa"/>
            <w:shd w:val="clear" w:color="auto" w:fill="auto"/>
            <w:vAlign w:val="bottom"/>
          </w:tcPr>
          <w:p w14:paraId="6A8C5FCE" w14:textId="77777777" w:rsidR="001B4185" w:rsidRPr="002C2818" w:rsidRDefault="001B4185" w:rsidP="001B4185">
            <w:pPr>
              <w:spacing w:after="0" w:line="240" w:lineRule="auto"/>
              <w:rPr>
                <w:rFonts w:cs="Calibri"/>
                <w:sz w:val="20"/>
                <w:szCs w:val="20"/>
              </w:rPr>
            </w:pPr>
            <w:r w:rsidRPr="002C2818">
              <w:rPr>
                <w:rFonts w:cs="Calibri"/>
                <w:sz w:val="20"/>
                <w:szCs w:val="20"/>
              </w:rPr>
              <w:t xml:space="preserve">-     Redes, cámaras, canalizaciones y otros. </w:t>
            </w:r>
          </w:p>
        </w:tc>
        <w:tc>
          <w:tcPr>
            <w:tcW w:w="1134" w:type="dxa"/>
            <w:shd w:val="clear" w:color="auto" w:fill="auto"/>
            <w:vAlign w:val="bottom"/>
          </w:tcPr>
          <w:p w14:paraId="26445228"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1AA804A3" w14:textId="77777777">
        <w:trPr>
          <w:jc w:val="center"/>
        </w:trPr>
        <w:tc>
          <w:tcPr>
            <w:tcW w:w="8505" w:type="dxa"/>
            <w:shd w:val="clear" w:color="auto" w:fill="auto"/>
            <w:vAlign w:val="bottom"/>
          </w:tcPr>
          <w:p w14:paraId="630D37E7" w14:textId="77777777" w:rsidR="001B4185" w:rsidRPr="002C2818" w:rsidRDefault="001B4185" w:rsidP="001B4185">
            <w:pPr>
              <w:spacing w:after="0" w:line="240" w:lineRule="auto"/>
              <w:rPr>
                <w:rFonts w:cs="Calibri"/>
                <w:sz w:val="20"/>
                <w:szCs w:val="20"/>
              </w:rPr>
            </w:pPr>
            <w:r w:rsidRPr="002C2818">
              <w:rPr>
                <w:rFonts w:cs="Calibri"/>
                <w:sz w:val="20"/>
                <w:szCs w:val="20"/>
              </w:rPr>
              <w:t>-     Equipos.</w:t>
            </w:r>
          </w:p>
        </w:tc>
        <w:tc>
          <w:tcPr>
            <w:tcW w:w="1134" w:type="dxa"/>
            <w:shd w:val="clear" w:color="auto" w:fill="auto"/>
            <w:vAlign w:val="bottom"/>
          </w:tcPr>
          <w:p w14:paraId="0D268AD0"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12</w:t>
            </w:r>
          </w:p>
        </w:tc>
      </w:tr>
      <w:tr w:rsidR="001B4185" w:rsidRPr="002C2818" w14:paraId="0DD21A88" w14:textId="77777777">
        <w:trPr>
          <w:jc w:val="center"/>
        </w:trPr>
        <w:tc>
          <w:tcPr>
            <w:tcW w:w="8505" w:type="dxa"/>
            <w:shd w:val="clear" w:color="auto" w:fill="auto"/>
            <w:vAlign w:val="bottom"/>
          </w:tcPr>
          <w:p w14:paraId="3AC6A819" w14:textId="77777777" w:rsidR="001B4185" w:rsidRPr="002C2818" w:rsidRDefault="001B4185" w:rsidP="001B4185">
            <w:pPr>
              <w:spacing w:after="0" w:line="240" w:lineRule="auto"/>
              <w:rPr>
                <w:rFonts w:cs="Calibri"/>
                <w:sz w:val="20"/>
                <w:szCs w:val="20"/>
              </w:rPr>
            </w:pPr>
            <w:r w:rsidRPr="002C2818">
              <w:rPr>
                <w:rFonts w:cs="Calibri"/>
                <w:sz w:val="20"/>
                <w:szCs w:val="20"/>
              </w:rPr>
              <w:t>13) Subestaciones de distribución.</w:t>
            </w:r>
          </w:p>
        </w:tc>
        <w:tc>
          <w:tcPr>
            <w:tcW w:w="1134" w:type="dxa"/>
            <w:shd w:val="clear" w:color="auto" w:fill="auto"/>
            <w:vAlign w:val="bottom"/>
          </w:tcPr>
          <w:p w14:paraId="722B9A79" w14:textId="77777777" w:rsidR="001B4185" w:rsidRPr="002C2818" w:rsidRDefault="001B4185" w:rsidP="001B4185">
            <w:pPr>
              <w:spacing w:after="0" w:line="240" w:lineRule="auto"/>
              <w:jc w:val="center"/>
              <w:rPr>
                <w:rFonts w:cs="Calibri"/>
                <w:sz w:val="20"/>
                <w:szCs w:val="20"/>
              </w:rPr>
            </w:pPr>
          </w:p>
        </w:tc>
      </w:tr>
      <w:tr w:rsidR="001B4185" w:rsidRPr="002C2818" w14:paraId="5D2949A2" w14:textId="77777777">
        <w:trPr>
          <w:jc w:val="center"/>
        </w:trPr>
        <w:tc>
          <w:tcPr>
            <w:tcW w:w="8505" w:type="dxa"/>
            <w:shd w:val="clear" w:color="auto" w:fill="auto"/>
            <w:vAlign w:val="bottom"/>
          </w:tcPr>
          <w:p w14:paraId="50508F93"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 y construcciones.</w:t>
            </w:r>
          </w:p>
        </w:tc>
        <w:tc>
          <w:tcPr>
            <w:tcW w:w="1134" w:type="dxa"/>
            <w:shd w:val="clear" w:color="auto" w:fill="auto"/>
            <w:vAlign w:val="bottom"/>
          </w:tcPr>
          <w:p w14:paraId="3DA0CEC6"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38E91D61" w14:textId="77777777">
        <w:trPr>
          <w:jc w:val="center"/>
        </w:trPr>
        <w:tc>
          <w:tcPr>
            <w:tcW w:w="8505" w:type="dxa"/>
            <w:shd w:val="clear" w:color="auto" w:fill="auto"/>
            <w:vAlign w:val="bottom"/>
          </w:tcPr>
          <w:p w14:paraId="13FAC58A" w14:textId="77777777" w:rsidR="001B4185" w:rsidRPr="002C2818" w:rsidRDefault="001B4185" w:rsidP="001B4185">
            <w:pPr>
              <w:spacing w:after="0" w:line="240" w:lineRule="auto"/>
              <w:rPr>
                <w:rFonts w:cs="Calibri"/>
                <w:sz w:val="20"/>
                <w:szCs w:val="20"/>
              </w:rPr>
            </w:pPr>
            <w:r w:rsidRPr="002C2818">
              <w:rPr>
                <w:rFonts w:cs="Calibri"/>
                <w:sz w:val="20"/>
                <w:szCs w:val="20"/>
              </w:rPr>
              <w:t>-     Transformadores, celdas de transformadores, celdas de líneas, equipos auxiliares y equipos de telecomandos.</w:t>
            </w:r>
          </w:p>
        </w:tc>
        <w:tc>
          <w:tcPr>
            <w:tcW w:w="1134" w:type="dxa"/>
            <w:shd w:val="clear" w:color="auto" w:fill="auto"/>
            <w:vAlign w:val="bottom"/>
          </w:tcPr>
          <w:p w14:paraId="1678F203"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2F28691B" w14:textId="77777777">
        <w:trPr>
          <w:jc w:val="center"/>
        </w:trPr>
        <w:tc>
          <w:tcPr>
            <w:tcW w:w="8505" w:type="dxa"/>
            <w:shd w:val="clear" w:color="auto" w:fill="auto"/>
            <w:vAlign w:val="bottom"/>
          </w:tcPr>
          <w:p w14:paraId="6218E63B" w14:textId="77777777" w:rsidR="001B4185" w:rsidRPr="002C2818" w:rsidRDefault="001B4185" w:rsidP="001B4185">
            <w:pPr>
              <w:spacing w:after="0" w:line="240" w:lineRule="auto"/>
              <w:rPr>
                <w:rFonts w:cs="Calibri"/>
                <w:sz w:val="20"/>
                <w:szCs w:val="20"/>
              </w:rPr>
            </w:pPr>
            <w:r w:rsidRPr="002C2818">
              <w:rPr>
                <w:rFonts w:cs="Calibri"/>
                <w:sz w:val="20"/>
                <w:szCs w:val="20"/>
              </w:rPr>
              <w:t>14) Subestaciones MT/MT.</w:t>
            </w:r>
          </w:p>
        </w:tc>
        <w:tc>
          <w:tcPr>
            <w:tcW w:w="1134" w:type="dxa"/>
            <w:shd w:val="clear" w:color="auto" w:fill="auto"/>
            <w:vAlign w:val="bottom"/>
          </w:tcPr>
          <w:p w14:paraId="70455706" w14:textId="77777777" w:rsidR="001B4185" w:rsidRPr="002C2818" w:rsidRDefault="001B4185" w:rsidP="001B4185">
            <w:pPr>
              <w:spacing w:after="0" w:line="240" w:lineRule="auto"/>
              <w:jc w:val="center"/>
              <w:rPr>
                <w:rFonts w:cs="Calibri"/>
                <w:sz w:val="20"/>
                <w:szCs w:val="20"/>
              </w:rPr>
            </w:pPr>
          </w:p>
        </w:tc>
      </w:tr>
      <w:tr w:rsidR="001B4185" w:rsidRPr="002C2818" w14:paraId="64833AB5" w14:textId="77777777">
        <w:trPr>
          <w:jc w:val="center"/>
        </w:trPr>
        <w:tc>
          <w:tcPr>
            <w:tcW w:w="8505" w:type="dxa"/>
            <w:shd w:val="clear" w:color="auto" w:fill="auto"/>
            <w:vAlign w:val="bottom"/>
          </w:tcPr>
          <w:p w14:paraId="3C550840" w14:textId="77777777" w:rsidR="001B4185" w:rsidRPr="002C2818" w:rsidRDefault="001B4185" w:rsidP="001B4185">
            <w:pPr>
              <w:spacing w:after="0" w:line="240" w:lineRule="auto"/>
              <w:rPr>
                <w:rFonts w:cs="Calibri"/>
                <w:sz w:val="20"/>
                <w:szCs w:val="20"/>
              </w:rPr>
            </w:pPr>
            <w:r w:rsidRPr="002C2818">
              <w:rPr>
                <w:rFonts w:cs="Calibri"/>
                <w:sz w:val="20"/>
                <w:szCs w:val="20"/>
              </w:rPr>
              <w:t xml:space="preserve">-     Obras civiles y construcciones. </w:t>
            </w:r>
          </w:p>
        </w:tc>
        <w:tc>
          <w:tcPr>
            <w:tcW w:w="1134" w:type="dxa"/>
            <w:shd w:val="clear" w:color="auto" w:fill="auto"/>
            <w:vAlign w:val="bottom"/>
          </w:tcPr>
          <w:p w14:paraId="252A581E"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01F45BAF" w14:textId="77777777">
        <w:trPr>
          <w:jc w:val="center"/>
        </w:trPr>
        <w:tc>
          <w:tcPr>
            <w:tcW w:w="8505" w:type="dxa"/>
            <w:shd w:val="clear" w:color="auto" w:fill="auto"/>
            <w:vAlign w:val="bottom"/>
          </w:tcPr>
          <w:p w14:paraId="19701A5B" w14:textId="77777777" w:rsidR="001B4185" w:rsidRPr="002C2818" w:rsidRDefault="001B4185" w:rsidP="001B4185">
            <w:pPr>
              <w:spacing w:after="0" w:line="240" w:lineRule="auto"/>
              <w:rPr>
                <w:rFonts w:cs="Calibri"/>
                <w:sz w:val="20"/>
                <w:szCs w:val="20"/>
              </w:rPr>
            </w:pPr>
            <w:r w:rsidRPr="002C2818">
              <w:rPr>
                <w:rFonts w:cs="Calibri"/>
                <w:sz w:val="20"/>
                <w:szCs w:val="20"/>
              </w:rPr>
              <w:t>-     Transformadores, celdas de transformadores, equipos auxiliares y equipos de telecomandos</w:t>
            </w:r>
          </w:p>
        </w:tc>
        <w:tc>
          <w:tcPr>
            <w:tcW w:w="1134" w:type="dxa"/>
            <w:shd w:val="clear" w:color="auto" w:fill="auto"/>
            <w:vAlign w:val="bottom"/>
          </w:tcPr>
          <w:p w14:paraId="7CAFDE69"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3F28B814" w14:textId="77777777">
        <w:trPr>
          <w:jc w:val="center"/>
        </w:trPr>
        <w:tc>
          <w:tcPr>
            <w:tcW w:w="8505" w:type="dxa"/>
            <w:shd w:val="clear" w:color="auto" w:fill="auto"/>
            <w:vAlign w:val="bottom"/>
          </w:tcPr>
          <w:p w14:paraId="166DEDAB" w14:textId="77777777" w:rsidR="001B4185" w:rsidRPr="002C2818" w:rsidRDefault="001B4185" w:rsidP="001B4185">
            <w:pPr>
              <w:spacing w:after="0" w:line="240" w:lineRule="auto"/>
              <w:rPr>
                <w:rFonts w:cs="Calibri"/>
                <w:sz w:val="20"/>
                <w:szCs w:val="20"/>
              </w:rPr>
            </w:pPr>
            <w:r w:rsidRPr="002C2818">
              <w:rPr>
                <w:rFonts w:cs="Calibri"/>
                <w:sz w:val="20"/>
                <w:szCs w:val="20"/>
              </w:rPr>
              <w:t>15) Subestaciones anexas MT/MT.</w:t>
            </w:r>
          </w:p>
        </w:tc>
        <w:tc>
          <w:tcPr>
            <w:tcW w:w="1134" w:type="dxa"/>
            <w:shd w:val="clear" w:color="auto" w:fill="auto"/>
            <w:vAlign w:val="bottom"/>
          </w:tcPr>
          <w:p w14:paraId="1243693B" w14:textId="77777777" w:rsidR="001B4185" w:rsidRPr="002C2818" w:rsidRDefault="001B4185" w:rsidP="001B4185">
            <w:pPr>
              <w:spacing w:after="0" w:line="240" w:lineRule="auto"/>
              <w:jc w:val="center"/>
              <w:rPr>
                <w:rFonts w:cs="Calibri"/>
                <w:sz w:val="20"/>
                <w:szCs w:val="20"/>
              </w:rPr>
            </w:pPr>
          </w:p>
        </w:tc>
      </w:tr>
      <w:tr w:rsidR="001B4185" w:rsidRPr="002C2818" w14:paraId="2BEFD941" w14:textId="77777777">
        <w:trPr>
          <w:jc w:val="center"/>
        </w:trPr>
        <w:tc>
          <w:tcPr>
            <w:tcW w:w="8505" w:type="dxa"/>
            <w:shd w:val="clear" w:color="auto" w:fill="auto"/>
            <w:vAlign w:val="bottom"/>
          </w:tcPr>
          <w:p w14:paraId="182AA139"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 y construcciones</w:t>
            </w:r>
          </w:p>
        </w:tc>
        <w:tc>
          <w:tcPr>
            <w:tcW w:w="1134" w:type="dxa"/>
            <w:shd w:val="clear" w:color="auto" w:fill="auto"/>
            <w:vAlign w:val="bottom"/>
          </w:tcPr>
          <w:p w14:paraId="3677C5E6"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5D9C56D5" w14:textId="77777777">
        <w:trPr>
          <w:jc w:val="center"/>
        </w:trPr>
        <w:tc>
          <w:tcPr>
            <w:tcW w:w="8505" w:type="dxa"/>
            <w:shd w:val="clear" w:color="auto" w:fill="auto"/>
            <w:vAlign w:val="bottom"/>
          </w:tcPr>
          <w:p w14:paraId="2B6E5E25" w14:textId="77777777" w:rsidR="001B4185" w:rsidRPr="002C2818" w:rsidRDefault="001B4185" w:rsidP="001B4185">
            <w:pPr>
              <w:spacing w:after="0" w:line="240" w:lineRule="auto"/>
              <w:rPr>
                <w:rFonts w:cs="Calibri"/>
                <w:sz w:val="20"/>
                <w:szCs w:val="20"/>
              </w:rPr>
            </w:pPr>
            <w:r w:rsidRPr="002C2818">
              <w:rPr>
                <w:rFonts w:cs="Calibri"/>
                <w:sz w:val="20"/>
                <w:szCs w:val="20"/>
              </w:rPr>
              <w:t>-   Transformadores, celdas de transformadores, equipos auxiliares y equipos de telecomandos.</w:t>
            </w:r>
          </w:p>
        </w:tc>
        <w:tc>
          <w:tcPr>
            <w:tcW w:w="1134" w:type="dxa"/>
            <w:shd w:val="clear" w:color="auto" w:fill="auto"/>
            <w:vAlign w:val="bottom"/>
          </w:tcPr>
          <w:p w14:paraId="441E6884"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50C7A144" w14:textId="77777777">
        <w:trPr>
          <w:jc w:val="center"/>
        </w:trPr>
        <w:tc>
          <w:tcPr>
            <w:tcW w:w="8505" w:type="dxa"/>
            <w:shd w:val="clear" w:color="auto" w:fill="auto"/>
            <w:vAlign w:val="bottom"/>
          </w:tcPr>
          <w:p w14:paraId="51BC2323" w14:textId="77777777" w:rsidR="001B4185" w:rsidRPr="002C2818" w:rsidRDefault="001B4185" w:rsidP="001B4185">
            <w:pPr>
              <w:spacing w:after="0" w:line="240" w:lineRule="auto"/>
              <w:rPr>
                <w:rFonts w:cs="Calibri"/>
                <w:sz w:val="20"/>
                <w:szCs w:val="20"/>
              </w:rPr>
            </w:pPr>
            <w:r w:rsidRPr="002C2818">
              <w:rPr>
                <w:rFonts w:cs="Calibri"/>
                <w:sz w:val="20"/>
                <w:szCs w:val="20"/>
              </w:rPr>
              <w:t>16) Centros de transformación MT/BT.</w:t>
            </w:r>
          </w:p>
        </w:tc>
        <w:tc>
          <w:tcPr>
            <w:tcW w:w="1134" w:type="dxa"/>
            <w:shd w:val="clear" w:color="auto" w:fill="auto"/>
            <w:vAlign w:val="bottom"/>
          </w:tcPr>
          <w:p w14:paraId="399CD5EC" w14:textId="77777777" w:rsidR="001B4185" w:rsidRPr="002C2818" w:rsidRDefault="001B4185" w:rsidP="001B4185">
            <w:pPr>
              <w:spacing w:after="0" w:line="240" w:lineRule="auto"/>
              <w:jc w:val="center"/>
              <w:rPr>
                <w:rFonts w:cs="Calibri"/>
                <w:sz w:val="20"/>
                <w:szCs w:val="20"/>
                <w:lang w:val="es-CL"/>
              </w:rPr>
            </w:pPr>
          </w:p>
        </w:tc>
      </w:tr>
      <w:tr w:rsidR="001B4185" w:rsidRPr="002C2818" w14:paraId="7D0365FD" w14:textId="77777777">
        <w:trPr>
          <w:jc w:val="center"/>
        </w:trPr>
        <w:tc>
          <w:tcPr>
            <w:tcW w:w="8505" w:type="dxa"/>
            <w:shd w:val="clear" w:color="auto" w:fill="auto"/>
            <w:vAlign w:val="bottom"/>
          </w:tcPr>
          <w:p w14:paraId="15828213"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w:t>
            </w:r>
          </w:p>
        </w:tc>
        <w:tc>
          <w:tcPr>
            <w:tcW w:w="1134" w:type="dxa"/>
            <w:shd w:val="clear" w:color="auto" w:fill="auto"/>
            <w:vAlign w:val="bottom"/>
          </w:tcPr>
          <w:p w14:paraId="4AC4DA9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69115063" w14:textId="77777777">
        <w:trPr>
          <w:jc w:val="center"/>
        </w:trPr>
        <w:tc>
          <w:tcPr>
            <w:tcW w:w="8505" w:type="dxa"/>
            <w:shd w:val="clear" w:color="auto" w:fill="auto"/>
            <w:vAlign w:val="bottom"/>
          </w:tcPr>
          <w:p w14:paraId="066C9A84" w14:textId="77777777" w:rsidR="001B4185" w:rsidRPr="002C2818" w:rsidRDefault="001B4185" w:rsidP="001B4185">
            <w:pPr>
              <w:spacing w:after="0" w:line="240" w:lineRule="auto"/>
              <w:rPr>
                <w:rFonts w:cs="Calibri"/>
                <w:sz w:val="20"/>
                <w:szCs w:val="20"/>
              </w:rPr>
            </w:pPr>
            <w:r w:rsidRPr="002C2818">
              <w:rPr>
                <w:rFonts w:cs="Calibri"/>
                <w:sz w:val="20"/>
                <w:szCs w:val="20"/>
              </w:rPr>
              <w:t>-     Transformadores aéreos, subterráneos y de superficie.</w:t>
            </w:r>
          </w:p>
        </w:tc>
        <w:tc>
          <w:tcPr>
            <w:tcW w:w="1134" w:type="dxa"/>
            <w:shd w:val="clear" w:color="auto" w:fill="auto"/>
            <w:vAlign w:val="bottom"/>
          </w:tcPr>
          <w:p w14:paraId="0F707A52"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1FF59AF9" w14:textId="77777777">
        <w:trPr>
          <w:jc w:val="center"/>
        </w:trPr>
        <w:tc>
          <w:tcPr>
            <w:tcW w:w="8505" w:type="dxa"/>
            <w:shd w:val="clear" w:color="auto" w:fill="auto"/>
            <w:vAlign w:val="bottom"/>
          </w:tcPr>
          <w:p w14:paraId="5845D36F" w14:textId="77777777" w:rsidR="001B4185" w:rsidRPr="002C2818" w:rsidRDefault="001B4185" w:rsidP="001B4185">
            <w:pPr>
              <w:spacing w:after="0" w:line="240" w:lineRule="auto"/>
              <w:rPr>
                <w:rFonts w:cs="Calibri"/>
                <w:sz w:val="20"/>
                <w:szCs w:val="20"/>
              </w:rPr>
            </w:pPr>
            <w:r w:rsidRPr="002C2818">
              <w:rPr>
                <w:rFonts w:cs="Calibri"/>
                <w:sz w:val="20"/>
                <w:szCs w:val="20"/>
              </w:rPr>
              <w:t>-     Otros equipos eléctricos aéreos, subterráneos y comunes.</w:t>
            </w:r>
          </w:p>
        </w:tc>
        <w:tc>
          <w:tcPr>
            <w:tcW w:w="1134" w:type="dxa"/>
            <w:shd w:val="clear" w:color="auto" w:fill="auto"/>
            <w:vAlign w:val="bottom"/>
          </w:tcPr>
          <w:p w14:paraId="09CD31A1"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12</w:t>
            </w:r>
          </w:p>
        </w:tc>
      </w:tr>
      <w:tr w:rsidR="001B4185" w:rsidRPr="002C2818" w14:paraId="13764835" w14:textId="77777777">
        <w:trPr>
          <w:jc w:val="center"/>
        </w:trPr>
        <w:tc>
          <w:tcPr>
            <w:tcW w:w="8505" w:type="dxa"/>
            <w:shd w:val="clear" w:color="auto" w:fill="auto"/>
            <w:vAlign w:val="bottom"/>
          </w:tcPr>
          <w:p w14:paraId="2C46FFC0" w14:textId="77777777" w:rsidR="001B4185" w:rsidRPr="002C2818" w:rsidRDefault="001B4185" w:rsidP="001B4185">
            <w:pPr>
              <w:spacing w:after="0" w:line="240" w:lineRule="auto"/>
              <w:rPr>
                <w:rFonts w:cs="Calibri"/>
                <w:sz w:val="20"/>
                <w:szCs w:val="20"/>
              </w:rPr>
            </w:pPr>
            <w:r w:rsidRPr="002C2818">
              <w:rPr>
                <w:rFonts w:cs="Calibri"/>
                <w:sz w:val="20"/>
                <w:szCs w:val="20"/>
              </w:rPr>
              <w:t>17) Contadores y aparatos de medida – Central de operaciones y servicio de clientes.</w:t>
            </w:r>
          </w:p>
        </w:tc>
        <w:tc>
          <w:tcPr>
            <w:tcW w:w="1134" w:type="dxa"/>
            <w:shd w:val="clear" w:color="auto" w:fill="auto"/>
            <w:vAlign w:val="bottom"/>
          </w:tcPr>
          <w:p w14:paraId="3ACE328E"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5B6F6402" w14:textId="77777777">
        <w:trPr>
          <w:jc w:val="center"/>
        </w:trPr>
        <w:tc>
          <w:tcPr>
            <w:tcW w:w="8505" w:type="dxa"/>
            <w:shd w:val="clear" w:color="auto" w:fill="auto"/>
            <w:vAlign w:val="bottom"/>
          </w:tcPr>
          <w:p w14:paraId="3BBCCBD5" w14:textId="77777777" w:rsidR="001B4185" w:rsidRPr="002C2818" w:rsidRDefault="001B4185" w:rsidP="001B4185">
            <w:pPr>
              <w:spacing w:after="0" w:line="240" w:lineRule="auto"/>
              <w:rPr>
                <w:rFonts w:cs="Calibri"/>
                <w:sz w:val="20"/>
                <w:szCs w:val="20"/>
              </w:rPr>
            </w:pPr>
            <w:r w:rsidRPr="002C2818">
              <w:rPr>
                <w:rFonts w:cs="Calibri"/>
                <w:sz w:val="20"/>
                <w:szCs w:val="20"/>
              </w:rPr>
              <w:t xml:space="preserve">18) Otras instalaciones técnicas para energía eléctrica.  </w:t>
            </w:r>
          </w:p>
        </w:tc>
        <w:tc>
          <w:tcPr>
            <w:tcW w:w="1134" w:type="dxa"/>
            <w:shd w:val="clear" w:color="auto" w:fill="auto"/>
            <w:vAlign w:val="bottom"/>
          </w:tcPr>
          <w:p w14:paraId="54E47528" w14:textId="77777777" w:rsidR="001B4185" w:rsidRPr="002C2818" w:rsidRDefault="001B4185" w:rsidP="001B4185">
            <w:pPr>
              <w:spacing w:after="0" w:line="240" w:lineRule="auto"/>
              <w:jc w:val="center"/>
              <w:rPr>
                <w:rFonts w:cs="Calibri"/>
                <w:sz w:val="20"/>
                <w:szCs w:val="20"/>
                <w:lang w:val="es-CL"/>
              </w:rPr>
            </w:pPr>
          </w:p>
        </w:tc>
      </w:tr>
      <w:tr w:rsidR="001B4185" w:rsidRPr="002C2818" w14:paraId="0ECDAF40" w14:textId="77777777">
        <w:trPr>
          <w:jc w:val="center"/>
        </w:trPr>
        <w:tc>
          <w:tcPr>
            <w:tcW w:w="8505" w:type="dxa"/>
            <w:shd w:val="clear" w:color="auto" w:fill="auto"/>
            <w:vAlign w:val="bottom"/>
          </w:tcPr>
          <w:p w14:paraId="5B5C90D1" w14:textId="77777777" w:rsidR="001B4185" w:rsidRPr="002C2818" w:rsidRDefault="001B4185" w:rsidP="001B4185">
            <w:pPr>
              <w:spacing w:after="0" w:line="240" w:lineRule="auto"/>
              <w:rPr>
                <w:rFonts w:cs="Calibri"/>
                <w:sz w:val="20"/>
                <w:szCs w:val="20"/>
              </w:rPr>
            </w:pPr>
            <w:r w:rsidRPr="002C2818">
              <w:rPr>
                <w:rFonts w:cs="Calibri"/>
                <w:sz w:val="20"/>
                <w:szCs w:val="20"/>
              </w:rPr>
              <w:t>-      Obras civiles.</w:t>
            </w:r>
          </w:p>
        </w:tc>
        <w:tc>
          <w:tcPr>
            <w:tcW w:w="1134" w:type="dxa"/>
            <w:shd w:val="clear" w:color="auto" w:fill="auto"/>
            <w:vAlign w:val="bottom"/>
          </w:tcPr>
          <w:p w14:paraId="092C97F1"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20</w:t>
            </w:r>
          </w:p>
        </w:tc>
      </w:tr>
      <w:tr w:rsidR="001B4185" w:rsidRPr="002C2818" w14:paraId="7A2D8874" w14:textId="77777777">
        <w:trPr>
          <w:jc w:val="center"/>
        </w:trPr>
        <w:tc>
          <w:tcPr>
            <w:tcW w:w="8505" w:type="dxa"/>
            <w:shd w:val="clear" w:color="auto" w:fill="auto"/>
            <w:vAlign w:val="bottom"/>
          </w:tcPr>
          <w:p w14:paraId="03C8F4A8" w14:textId="77777777" w:rsidR="001B4185" w:rsidRPr="002C2818" w:rsidRDefault="001B4185" w:rsidP="001B4185">
            <w:pPr>
              <w:spacing w:after="0" w:line="240" w:lineRule="auto"/>
              <w:rPr>
                <w:rFonts w:cs="Calibri"/>
                <w:sz w:val="20"/>
                <w:szCs w:val="20"/>
              </w:rPr>
            </w:pPr>
            <w:r w:rsidRPr="002C2818">
              <w:rPr>
                <w:rFonts w:cs="Calibri"/>
                <w:sz w:val="20"/>
                <w:szCs w:val="20"/>
              </w:rPr>
              <w:t>-     Equipos</w:t>
            </w:r>
          </w:p>
        </w:tc>
        <w:tc>
          <w:tcPr>
            <w:tcW w:w="1134" w:type="dxa"/>
            <w:shd w:val="clear" w:color="auto" w:fill="auto"/>
            <w:vAlign w:val="bottom"/>
          </w:tcPr>
          <w:p w14:paraId="4F5E92AB"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r w:rsidR="001B4185" w:rsidRPr="002C2818" w14:paraId="59D38B50" w14:textId="77777777">
        <w:trPr>
          <w:jc w:val="center"/>
        </w:trPr>
        <w:tc>
          <w:tcPr>
            <w:tcW w:w="8505" w:type="dxa"/>
            <w:shd w:val="clear" w:color="auto" w:fill="auto"/>
            <w:vAlign w:val="bottom"/>
          </w:tcPr>
          <w:p w14:paraId="3FD8BE48" w14:textId="77777777" w:rsidR="001B4185" w:rsidRPr="002C2818" w:rsidRDefault="001B4185" w:rsidP="001B4185">
            <w:pPr>
              <w:spacing w:after="0" w:line="240" w:lineRule="auto"/>
              <w:rPr>
                <w:rFonts w:cs="Calibri"/>
                <w:sz w:val="20"/>
                <w:szCs w:val="20"/>
              </w:rPr>
            </w:pPr>
            <w:r w:rsidRPr="002C2818">
              <w:rPr>
                <w:rFonts w:cs="Calibri"/>
                <w:sz w:val="20"/>
                <w:szCs w:val="20"/>
              </w:rPr>
              <w:t>19) Alumbrado público.</w:t>
            </w:r>
          </w:p>
        </w:tc>
        <w:tc>
          <w:tcPr>
            <w:tcW w:w="1134" w:type="dxa"/>
            <w:shd w:val="clear" w:color="auto" w:fill="auto"/>
            <w:vAlign w:val="bottom"/>
          </w:tcPr>
          <w:p w14:paraId="7908989C" w14:textId="77777777" w:rsidR="001B4185" w:rsidRPr="002C2818" w:rsidRDefault="001B4185" w:rsidP="001B4185">
            <w:pPr>
              <w:spacing w:after="0" w:line="240" w:lineRule="auto"/>
              <w:jc w:val="center"/>
              <w:rPr>
                <w:rFonts w:cs="Calibri"/>
                <w:sz w:val="20"/>
                <w:szCs w:val="20"/>
              </w:rPr>
            </w:pPr>
            <w:r w:rsidRPr="002C2818">
              <w:rPr>
                <w:rFonts w:cs="Calibri"/>
                <w:sz w:val="20"/>
                <w:szCs w:val="20"/>
              </w:rPr>
              <w:t>10</w:t>
            </w:r>
          </w:p>
        </w:tc>
      </w:tr>
    </w:tbl>
    <w:p w14:paraId="2394529B" w14:textId="77777777" w:rsidR="001B4185" w:rsidRDefault="001B4185" w:rsidP="001B4185"/>
    <w:p w14:paraId="0C31D649" w14:textId="721C9E0C" w:rsidR="001B4185" w:rsidRPr="00EE2F47" w:rsidRDefault="001B4185" w:rsidP="001B4185">
      <w:r w:rsidRPr="00EE2F47">
        <w:t>Conforme las disposiciones indicadas en los puntos anteriores, los valores señalados en esta resolución son utilizados para la determinación de la depreciación (Di) a utilizar para cada categoría de instalación económicamente identificable señalada en el punto precedente, y de ese modo determinar el A.E.I.R. correspondiente a cada una.</w:t>
      </w:r>
    </w:p>
    <w:p w14:paraId="6EF6570E" w14:textId="5014AA9B" w:rsidR="001B4185" w:rsidRPr="00EE2F47" w:rsidRDefault="001B4185" w:rsidP="001B4185">
      <w:r w:rsidRPr="00EE2F47">
        <w:t xml:space="preserve">Para lo anterior, </w:t>
      </w:r>
      <w:r w:rsidR="00990CDB">
        <w:t>debe efectuarse</w:t>
      </w:r>
      <w:r w:rsidRPr="00EE2F47">
        <w:t xml:space="preserve"> una homologación de las categorías de activos señaladas en la Resolución N°43 del SII, con las establecidas en la Resolución N°412 de la CNE, de modo de aplicar la formulación señalada en el punto precedente.</w:t>
      </w:r>
      <w:r>
        <w:t xml:space="preserve"> </w:t>
      </w:r>
      <w:r w:rsidRPr="009A447B">
        <w:t>La homologación de vidas útiles se efect</w:t>
      </w:r>
      <w:r w:rsidR="00990CDB">
        <w:t>úa</w:t>
      </w:r>
      <w:r w:rsidRPr="009A447B">
        <w:t xml:space="preserve"> </w:t>
      </w:r>
      <w:r>
        <w:t>asignando a cada categoría o componente de costo del Artículo 5° de la Resolución N°380, la vida útil normal de la Resolución N°43 correspondiente al activo que más se le asemeje conforme a la descripción que para él efectúa esta última resolución.</w:t>
      </w:r>
      <w:r w:rsidR="00990CDB">
        <w:t xml:space="preserve"> La homologación efectuada se muestra en el punto siguiente.</w:t>
      </w:r>
    </w:p>
    <w:p w14:paraId="7B769830" w14:textId="6F41C8FF" w:rsidR="001B4185" w:rsidRDefault="001B4185" w:rsidP="001B4185">
      <w:r w:rsidRPr="00EE2F47">
        <w:t xml:space="preserve">Así, y conforme a lo indicado </w:t>
      </w:r>
      <w:r w:rsidR="00853220">
        <w:t>en los puntos anteriores</w:t>
      </w:r>
      <w:r w:rsidRPr="00EE2F47">
        <w:t>, la estructura de cálculo del A.E.I.R. se muestra en la siguiente tabla para cada tramo “i” de transporte o de subestación:</w:t>
      </w:r>
    </w:p>
    <w:p w14:paraId="5533A00D" w14:textId="77777777" w:rsidR="003C0294" w:rsidRDefault="003C0294" w:rsidP="001B4185">
      <w:pPr>
        <w:spacing w:after="120"/>
        <w:jc w:val="center"/>
        <w:rPr>
          <w:b/>
          <w:bCs/>
          <w:sz w:val="20"/>
          <w:szCs w:val="20"/>
        </w:rPr>
      </w:pPr>
    </w:p>
    <w:p w14:paraId="388FF4E1" w14:textId="77777777" w:rsidR="003C0294" w:rsidRDefault="003C0294" w:rsidP="001B4185">
      <w:pPr>
        <w:spacing w:after="120"/>
        <w:jc w:val="center"/>
        <w:rPr>
          <w:b/>
          <w:bCs/>
          <w:sz w:val="20"/>
          <w:szCs w:val="20"/>
        </w:rPr>
      </w:pPr>
    </w:p>
    <w:p w14:paraId="05B233A2" w14:textId="27915822" w:rsidR="001B4185" w:rsidRPr="003E08AB" w:rsidRDefault="001B4185" w:rsidP="001B4185">
      <w:pPr>
        <w:spacing w:after="120"/>
        <w:jc w:val="center"/>
        <w:rPr>
          <w:b/>
          <w:bCs/>
          <w:sz w:val="20"/>
          <w:szCs w:val="20"/>
        </w:rPr>
      </w:pPr>
      <w:bookmarkStart w:id="351" w:name="_Toc27147883"/>
      <w:r>
        <w:rPr>
          <w:b/>
          <w:bCs/>
          <w:sz w:val="20"/>
          <w:szCs w:val="20"/>
        </w:rPr>
        <w:t>Tabla Nº</w:t>
      </w:r>
      <w:r w:rsidRPr="00635F7D">
        <w:rPr>
          <w:b/>
          <w:bCs/>
          <w:sz w:val="20"/>
          <w:szCs w:val="20"/>
        </w:rPr>
        <w:t xml:space="preserve"> </w:t>
      </w:r>
      <w:r>
        <w:rPr>
          <w:b/>
          <w:bCs/>
          <w:sz w:val="20"/>
          <w:szCs w:val="20"/>
        </w:rPr>
        <w:fldChar w:fldCharType="begin"/>
      </w:r>
      <w:r>
        <w:rPr>
          <w:b/>
          <w:bCs/>
          <w:sz w:val="20"/>
          <w:szCs w:val="20"/>
        </w:rPr>
        <w:instrText xml:space="preserve"> SEQ Tabla_Nº \* ARABIC </w:instrText>
      </w:r>
      <w:r>
        <w:rPr>
          <w:b/>
          <w:bCs/>
          <w:sz w:val="20"/>
          <w:szCs w:val="20"/>
        </w:rPr>
        <w:fldChar w:fldCharType="separate"/>
      </w:r>
      <w:r w:rsidR="00F14BED">
        <w:rPr>
          <w:b/>
          <w:bCs/>
          <w:noProof/>
          <w:sz w:val="20"/>
          <w:szCs w:val="20"/>
        </w:rPr>
        <w:t>4</w:t>
      </w:r>
      <w:r>
        <w:rPr>
          <w:b/>
          <w:bCs/>
          <w:sz w:val="20"/>
          <w:szCs w:val="20"/>
        </w:rPr>
        <w:fldChar w:fldCharType="end"/>
      </w:r>
      <w:r w:rsidRPr="00635F7D">
        <w:rPr>
          <w:b/>
          <w:bCs/>
          <w:sz w:val="20"/>
          <w:szCs w:val="20"/>
        </w:rPr>
        <w:t xml:space="preserve"> </w:t>
      </w:r>
      <w:r w:rsidR="00990CDB">
        <w:rPr>
          <w:b/>
          <w:bCs/>
          <w:sz w:val="20"/>
          <w:szCs w:val="20"/>
        </w:rPr>
        <w:t>E</w:t>
      </w:r>
      <w:r w:rsidRPr="000759A7">
        <w:rPr>
          <w:b/>
          <w:bCs/>
          <w:sz w:val="20"/>
          <w:szCs w:val="20"/>
        </w:rPr>
        <w:t>structura de cálculo del A.E.I.R.</w:t>
      </w:r>
      <w:r>
        <w:rPr>
          <w:b/>
          <w:bCs/>
          <w:sz w:val="20"/>
          <w:szCs w:val="20"/>
        </w:rPr>
        <w:t xml:space="preserve"> Instalaciones económicamente identificables Tramo “i”</w:t>
      </w:r>
      <w:bookmarkEnd w:id="351"/>
    </w:p>
    <w:p w14:paraId="207383CD" w14:textId="77777777" w:rsidR="001B4185" w:rsidRPr="00EE2F47" w:rsidRDefault="00C636E3" w:rsidP="001B4185">
      <w:pPr>
        <w:jc w:val="center"/>
      </w:pPr>
      <w:r w:rsidRPr="001B4185">
        <w:rPr>
          <w:noProof/>
          <w:lang w:val="es-AR" w:eastAsia="es-AR"/>
        </w:rPr>
        <w:drawing>
          <wp:inline distT="0" distB="0" distL="0" distR="0" wp14:anchorId="01099256" wp14:editId="673FB10D">
            <wp:extent cx="6050915" cy="1987550"/>
            <wp:effectExtent l="0" t="0" r="0" b="0"/>
            <wp:docPr id="1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50915" cy="1987550"/>
                    </a:xfrm>
                    <a:prstGeom prst="rect">
                      <a:avLst/>
                    </a:prstGeom>
                    <a:noFill/>
                    <a:ln>
                      <a:noFill/>
                    </a:ln>
                  </pic:spPr>
                </pic:pic>
              </a:graphicData>
            </a:graphic>
          </wp:inline>
        </w:drawing>
      </w:r>
    </w:p>
    <w:p w14:paraId="0A9420EC" w14:textId="77777777" w:rsidR="001B4185" w:rsidRDefault="001B4185" w:rsidP="009E32FD">
      <w:pPr>
        <w:rPr>
          <w:highlight w:val="yellow"/>
          <w:lang w:val="es-CL"/>
        </w:rPr>
      </w:pPr>
    </w:p>
    <w:p w14:paraId="6FBFC237" w14:textId="77777777" w:rsidR="001B4185" w:rsidRPr="00990CDB" w:rsidRDefault="00990CDB" w:rsidP="00990CDB">
      <w:pPr>
        <w:pStyle w:val="Ttulo2"/>
        <w:rPr>
          <w:sz w:val="24"/>
          <w:szCs w:val="24"/>
        </w:rPr>
      </w:pPr>
      <w:bookmarkStart w:id="352" w:name="_Toc34687285"/>
      <w:r w:rsidRPr="00990CDB">
        <w:rPr>
          <w:sz w:val="24"/>
          <w:szCs w:val="24"/>
        </w:rPr>
        <w:t>Homologación de Instalaciones Resolución CNE N°380 versus Resolución SII N°43</w:t>
      </w:r>
      <w:bookmarkEnd w:id="352"/>
    </w:p>
    <w:p w14:paraId="2A8AB8EF" w14:textId="77777777" w:rsidR="001D23DB" w:rsidRPr="001D23DB" w:rsidRDefault="001D23DB" w:rsidP="001D23DB">
      <w:pPr>
        <w:pStyle w:val="Ttulo2"/>
        <w:rPr>
          <w:sz w:val="24"/>
          <w:szCs w:val="24"/>
        </w:rPr>
      </w:pPr>
      <w:bookmarkStart w:id="353" w:name="_Toc34687286"/>
      <w:r w:rsidRPr="001D23DB">
        <w:rPr>
          <w:sz w:val="24"/>
          <w:szCs w:val="24"/>
        </w:rPr>
        <w:t>Criterios Generales</w:t>
      </w:r>
      <w:bookmarkEnd w:id="353"/>
    </w:p>
    <w:p w14:paraId="26E57388" w14:textId="77777777" w:rsidR="001D23DB" w:rsidRDefault="001D23DB" w:rsidP="001D23DB">
      <w:r>
        <w:t xml:space="preserve">Para la determinación del ajuste por efecto de impuesto a la renta (A.E.I.R.) que conforma parte del V.A.T.T. de cada tramo, es necesario asignar a cada una de las 15 categorías de instalaciones económicamente identificables a que se refiere el Artículo 5° de la Resolución N°380, la correspondiente </w:t>
      </w:r>
      <w:r w:rsidRPr="00405A43">
        <w:rPr>
          <w:i/>
        </w:rPr>
        <w:t>vida útil normal</w:t>
      </w:r>
      <w:r>
        <w:t xml:space="preserve"> establecida en la Resolución N°43 del Servicio de Impuestos Internos (SII) para determinar el costo de depreciación tributaria de los activos correspondientes.</w:t>
      </w:r>
    </w:p>
    <w:p w14:paraId="4B8DDF8E" w14:textId="77777777" w:rsidR="001D23DB" w:rsidRDefault="001D23DB" w:rsidP="001D23DB">
      <w:r>
        <w:t>Como la categorización de activos establecida en la Resolución N°43 no coincide necesariamente con la categorización establecida en la Resolución N°380 -ni en la cantidad de activos tipificados, ni en su descripción- es necesario homologar los activos respectivos para, posteriormente, asignar a cada tipo de activo de la Resolución N°380, la respectiva vida útil tributaria señalada en la Resolución N°43.</w:t>
      </w:r>
    </w:p>
    <w:p w14:paraId="1CC61870" w14:textId="77777777" w:rsidR="001D23DB" w:rsidRDefault="001D23DB" w:rsidP="001D23DB">
      <w:r>
        <w:t xml:space="preserve">A continuación se describe el procedimiento y resultados de la homologación practicada. El procedimiento se describe en detalle en el </w:t>
      </w:r>
      <w:r w:rsidR="00B51BAA" w:rsidRPr="00B51BAA">
        <w:t>Anexo VATT_1_Homologación R43 SII</w:t>
      </w:r>
      <w:r w:rsidR="00B51BAA">
        <w:t>,</w:t>
      </w:r>
      <w:r w:rsidR="00163736">
        <w:t xml:space="preserve"> individualizando</w:t>
      </w:r>
      <w:r w:rsidR="002A125F">
        <w:t xml:space="preserve"> además</w:t>
      </w:r>
      <w:r w:rsidR="00163736">
        <w:t xml:space="preserve"> los activos de la Resolución N°43 asignados a las categorías de la Resolución N°380.</w:t>
      </w:r>
    </w:p>
    <w:p w14:paraId="76A44FF5" w14:textId="77777777" w:rsidR="001D23DB" w:rsidRPr="001D23DB" w:rsidRDefault="001D23DB" w:rsidP="001D23DB">
      <w:pPr>
        <w:pStyle w:val="Ttulo2"/>
        <w:rPr>
          <w:sz w:val="24"/>
          <w:szCs w:val="24"/>
        </w:rPr>
      </w:pPr>
      <w:bookmarkStart w:id="354" w:name="_Toc34687287"/>
      <w:r w:rsidRPr="001D23DB">
        <w:rPr>
          <w:sz w:val="24"/>
          <w:szCs w:val="24"/>
        </w:rPr>
        <w:t>Procedimiento y Resultado de la Homologación</w:t>
      </w:r>
      <w:bookmarkEnd w:id="354"/>
    </w:p>
    <w:p w14:paraId="189C70F4" w14:textId="77777777" w:rsidR="001D23DB" w:rsidRDefault="001D23DB" w:rsidP="001D23DB">
      <w:r>
        <w:t>Para efectuar la asignación u homologación, se definió el siguiente criterio y/o procedimiento general:</w:t>
      </w:r>
    </w:p>
    <w:p w14:paraId="44A5F95D" w14:textId="77777777" w:rsidR="001D23DB" w:rsidRDefault="001D23DB" w:rsidP="002E20CA">
      <w:pPr>
        <w:numPr>
          <w:ilvl w:val="0"/>
          <w:numId w:val="14"/>
        </w:numPr>
      </w:pPr>
      <w:r>
        <w:t xml:space="preserve">Conforme a sus respectivas denominaciones generales, asignar primero a cada activo de los rubros </w:t>
      </w:r>
      <w:r w:rsidRPr="001D23DB">
        <w:t>Empresas Eléctricas</w:t>
      </w:r>
      <w:r>
        <w:t xml:space="preserve"> (42 tipos de activo) y </w:t>
      </w:r>
      <w:r w:rsidRPr="001D23DB">
        <w:t>Activos Genéricos</w:t>
      </w:r>
      <w:r>
        <w:t xml:space="preserve"> de la Res. N°43 (29 tipos de activo), alguno de los contenidos en la Res. N°380 (15 tipos de activo), cuando resulte procedente, y aceptando repetición, por ejemplo:</w:t>
      </w:r>
    </w:p>
    <w:p w14:paraId="2E5C2B85" w14:textId="77777777" w:rsidR="001D23DB" w:rsidRDefault="001D23DB" w:rsidP="001D23DB">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2"/>
        <w:gridCol w:w="3238"/>
      </w:tblGrid>
      <w:tr w:rsidR="001D23DB" w:rsidRPr="00891F98" w14:paraId="23C39106" w14:textId="77777777" w:rsidTr="00891F98">
        <w:trPr>
          <w:trHeight w:hRule="exact" w:val="284"/>
          <w:jc w:val="center"/>
        </w:trPr>
        <w:tc>
          <w:tcPr>
            <w:tcW w:w="4942" w:type="dxa"/>
            <w:shd w:val="clear" w:color="auto" w:fill="auto"/>
          </w:tcPr>
          <w:p w14:paraId="20FE52C7" w14:textId="77777777" w:rsidR="001D23DB" w:rsidRPr="00891F98" w:rsidRDefault="001D23DB" w:rsidP="006B5F45">
            <w:pPr>
              <w:rPr>
                <w:b/>
                <w:sz w:val="20"/>
                <w:szCs w:val="20"/>
              </w:rPr>
            </w:pPr>
            <w:r w:rsidRPr="00891F98">
              <w:rPr>
                <w:b/>
                <w:sz w:val="20"/>
                <w:szCs w:val="20"/>
              </w:rPr>
              <w:t>Activo Res. N°43</w:t>
            </w:r>
          </w:p>
        </w:tc>
        <w:tc>
          <w:tcPr>
            <w:tcW w:w="3238" w:type="dxa"/>
            <w:shd w:val="clear" w:color="auto" w:fill="auto"/>
          </w:tcPr>
          <w:p w14:paraId="57BA5E61" w14:textId="77777777" w:rsidR="001D23DB" w:rsidRPr="00891F98" w:rsidRDefault="001D23DB" w:rsidP="006B5F45">
            <w:pPr>
              <w:rPr>
                <w:b/>
                <w:sz w:val="20"/>
                <w:szCs w:val="20"/>
              </w:rPr>
            </w:pPr>
            <w:r w:rsidRPr="00891F98">
              <w:rPr>
                <w:b/>
                <w:sz w:val="20"/>
                <w:szCs w:val="20"/>
              </w:rPr>
              <w:t>Instalación Res. N°380</w:t>
            </w:r>
          </w:p>
        </w:tc>
      </w:tr>
      <w:tr w:rsidR="001D23DB" w:rsidRPr="00891F98" w14:paraId="152BBE7D" w14:textId="77777777" w:rsidTr="00891F98">
        <w:trPr>
          <w:trHeight w:hRule="exact" w:val="284"/>
          <w:jc w:val="center"/>
        </w:trPr>
        <w:tc>
          <w:tcPr>
            <w:tcW w:w="4942" w:type="dxa"/>
            <w:shd w:val="clear" w:color="auto" w:fill="auto"/>
            <w:vAlign w:val="bottom"/>
          </w:tcPr>
          <w:p w14:paraId="209F483B" w14:textId="77777777" w:rsidR="001D23DB" w:rsidRPr="00891F98" w:rsidRDefault="001D23DB" w:rsidP="006B5F45">
            <w:pPr>
              <w:rPr>
                <w:color w:val="000000"/>
                <w:sz w:val="20"/>
                <w:szCs w:val="20"/>
              </w:rPr>
            </w:pPr>
            <w:r w:rsidRPr="00891F98">
              <w:rPr>
                <w:color w:val="000000"/>
                <w:sz w:val="20"/>
                <w:szCs w:val="20"/>
              </w:rPr>
              <w:t>Conductores (Líneas de alta tensión-Transporte)</w:t>
            </w:r>
            <w:r w:rsidRPr="00891F98">
              <w:rPr>
                <w:rStyle w:val="Refdenotaalpie"/>
                <w:color w:val="000000"/>
                <w:sz w:val="20"/>
                <w:szCs w:val="20"/>
              </w:rPr>
              <w:footnoteReference w:id="37"/>
            </w:r>
          </w:p>
        </w:tc>
        <w:tc>
          <w:tcPr>
            <w:tcW w:w="3238" w:type="dxa"/>
            <w:shd w:val="clear" w:color="auto" w:fill="auto"/>
          </w:tcPr>
          <w:p w14:paraId="19A2C9FD" w14:textId="77777777" w:rsidR="001D23DB" w:rsidRPr="00891F98" w:rsidRDefault="001D23DB" w:rsidP="006B5F45">
            <w:pPr>
              <w:rPr>
                <w:sz w:val="20"/>
                <w:szCs w:val="20"/>
              </w:rPr>
            </w:pPr>
            <w:r w:rsidRPr="00891F98">
              <w:rPr>
                <w:sz w:val="20"/>
                <w:szCs w:val="20"/>
              </w:rPr>
              <w:t>Conductores y cables de guardias</w:t>
            </w:r>
          </w:p>
        </w:tc>
      </w:tr>
      <w:tr w:rsidR="001D23DB" w:rsidRPr="00891F98" w14:paraId="27473B93" w14:textId="77777777" w:rsidTr="00891F98">
        <w:trPr>
          <w:trHeight w:hRule="exact" w:val="284"/>
          <w:jc w:val="center"/>
        </w:trPr>
        <w:tc>
          <w:tcPr>
            <w:tcW w:w="4942" w:type="dxa"/>
            <w:shd w:val="clear" w:color="auto" w:fill="auto"/>
            <w:vAlign w:val="bottom"/>
          </w:tcPr>
          <w:p w14:paraId="4A377124" w14:textId="77777777" w:rsidR="001D23DB" w:rsidRPr="00891F98" w:rsidRDefault="001D23DB" w:rsidP="006B5F45">
            <w:pPr>
              <w:rPr>
                <w:color w:val="000000"/>
                <w:sz w:val="20"/>
                <w:szCs w:val="20"/>
              </w:rPr>
            </w:pPr>
            <w:r w:rsidRPr="00891F98">
              <w:rPr>
                <w:color w:val="000000"/>
                <w:sz w:val="20"/>
                <w:szCs w:val="20"/>
              </w:rPr>
              <w:t>Conductores (Cables de alta tensión-Transporte.)</w:t>
            </w:r>
          </w:p>
        </w:tc>
        <w:tc>
          <w:tcPr>
            <w:tcW w:w="3238" w:type="dxa"/>
            <w:shd w:val="clear" w:color="auto" w:fill="auto"/>
          </w:tcPr>
          <w:p w14:paraId="4BFC409A" w14:textId="77777777" w:rsidR="001D23DB" w:rsidRPr="00891F98" w:rsidRDefault="001D23DB" w:rsidP="006B5F45">
            <w:pPr>
              <w:rPr>
                <w:sz w:val="20"/>
                <w:szCs w:val="20"/>
              </w:rPr>
            </w:pPr>
            <w:r w:rsidRPr="00891F98">
              <w:rPr>
                <w:sz w:val="20"/>
                <w:szCs w:val="20"/>
              </w:rPr>
              <w:t>Conductores y cables de guardias</w:t>
            </w:r>
          </w:p>
        </w:tc>
      </w:tr>
      <w:tr w:rsidR="001D23DB" w:rsidRPr="00891F98" w14:paraId="3DDACDE9" w14:textId="77777777" w:rsidTr="00891F98">
        <w:trPr>
          <w:trHeight w:hRule="exact" w:val="284"/>
          <w:jc w:val="center"/>
        </w:trPr>
        <w:tc>
          <w:tcPr>
            <w:tcW w:w="4942" w:type="dxa"/>
            <w:shd w:val="clear" w:color="auto" w:fill="auto"/>
            <w:vAlign w:val="bottom"/>
          </w:tcPr>
          <w:p w14:paraId="72C531E5" w14:textId="77777777" w:rsidR="001D23DB" w:rsidRPr="00891F98" w:rsidRDefault="001D23DB" w:rsidP="006B5F45">
            <w:pPr>
              <w:rPr>
                <w:color w:val="000000"/>
                <w:sz w:val="20"/>
                <w:szCs w:val="20"/>
              </w:rPr>
            </w:pPr>
            <w:r w:rsidRPr="00891F98">
              <w:rPr>
                <w:color w:val="000000"/>
                <w:sz w:val="20"/>
                <w:szCs w:val="20"/>
              </w:rPr>
              <w:t>Conductores (Líneas de alta tensión-Distribución.)</w:t>
            </w:r>
          </w:p>
        </w:tc>
        <w:tc>
          <w:tcPr>
            <w:tcW w:w="3238" w:type="dxa"/>
            <w:shd w:val="clear" w:color="auto" w:fill="auto"/>
          </w:tcPr>
          <w:p w14:paraId="12180093" w14:textId="77777777" w:rsidR="001D23DB" w:rsidRPr="00891F98" w:rsidRDefault="001D23DB" w:rsidP="006B5F45">
            <w:pPr>
              <w:rPr>
                <w:sz w:val="20"/>
                <w:szCs w:val="20"/>
              </w:rPr>
            </w:pPr>
            <w:r w:rsidRPr="00891F98">
              <w:rPr>
                <w:sz w:val="20"/>
                <w:szCs w:val="20"/>
              </w:rPr>
              <w:t>Conductores y cables de guardias</w:t>
            </w:r>
          </w:p>
        </w:tc>
      </w:tr>
    </w:tbl>
    <w:p w14:paraId="0E1A3A91" w14:textId="77777777" w:rsidR="001D23DB" w:rsidRDefault="001D23DB" w:rsidP="001D23DB"/>
    <w:p w14:paraId="1F4574C4" w14:textId="77777777" w:rsidR="001D23DB" w:rsidRDefault="001D23DB" w:rsidP="002E20CA">
      <w:pPr>
        <w:numPr>
          <w:ilvl w:val="0"/>
          <w:numId w:val="14"/>
        </w:numPr>
      </w:pPr>
      <w:r>
        <w:t>En caso de que la vida útil normal de todos los activos Res. N°43 asignados a uno de la Res. N°380 fuera la misma, se asigna a este último dicha vida útil normal. En caso de no serlo, se asigna al activo Res. N°380 la vida útil normal del activo de la Res N°43 cuya especificación se acerca más a la establecida para el primero.</w:t>
      </w:r>
    </w:p>
    <w:p w14:paraId="469D3D7F" w14:textId="77777777" w:rsidR="001D23DB" w:rsidRDefault="001D23DB" w:rsidP="001D23DB">
      <w:pPr>
        <w:ind w:left="709"/>
        <w:rPr>
          <w:color w:val="000000"/>
        </w:rPr>
      </w:pPr>
      <w:r>
        <w:t xml:space="preserve">En el caso del ejemplo, si la vida útil normal de los tres activos Res. N°43 mostrados fuera igual, se establece dicho valor como vida útil normal de la </w:t>
      </w:r>
      <w:r w:rsidRPr="00E02BCB">
        <w:t xml:space="preserve">instalación </w:t>
      </w:r>
      <w:r w:rsidRPr="00E02BCB">
        <w:rPr>
          <w:i/>
        </w:rPr>
        <w:t>Conductores y cables de guardias</w:t>
      </w:r>
      <w:r w:rsidRPr="00E02BCB">
        <w:t xml:space="preserve">. Si no </w:t>
      </w:r>
      <w:r>
        <w:t xml:space="preserve">lo </w:t>
      </w:r>
      <w:r w:rsidRPr="00E02BCB">
        <w:t xml:space="preserve">fuera, </w:t>
      </w:r>
      <w:r>
        <w:t xml:space="preserve">se </w:t>
      </w:r>
      <w:r w:rsidRPr="00E02BCB">
        <w:t xml:space="preserve">asigna la vida útil del activo Res. N°43 </w:t>
      </w:r>
      <w:r w:rsidRPr="00E02BCB">
        <w:rPr>
          <w:i/>
          <w:color w:val="000000"/>
        </w:rPr>
        <w:t>Conductores (Líneas de alta tensión-Transporte)</w:t>
      </w:r>
      <w:r>
        <w:rPr>
          <w:color w:val="000000"/>
        </w:rPr>
        <w:t xml:space="preserve"> por entenderse su especificación más próxima a la de los conductores a valorar en el estudio.</w:t>
      </w:r>
    </w:p>
    <w:p w14:paraId="194D171E" w14:textId="77777777" w:rsidR="001D23DB" w:rsidRPr="00E02BCB" w:rsidRDefault="001D23DB" w:rsidP="002E20CA">
      <w:pPr>
        <w:numPr>
          <w:ilvl w:val="0"/>
          <w:numId w:val="14"/>
        </w:numPr>
      </w:pPr>
      <w:r w:rsidRPr="001D23DB">
        <w:t>Si ningún activo de la Res. N°380 resulta asignado a alguno de la Res. N°43, se procede a buscar en alguna de las otras agrupaciones de la Res. N°43 distintas a Empresas Eléctricas o Activos Genéricos, por ejemplo, en el rubro Empresas de Telecomunicaciones, eligiendo aquellos que utilicen tecnologías similares al activo de la Res. N°380 que se quiere valorar.</w:t>
      </w:r>
    </w:p>
    <w:p w14:paraId="3D7C958B" w14:textId="77777777" w:rsidR="001B4185" w:rsidRDefault="001D23DB" w:rsidP="009E32FD">
      <w:pPr>
        <w:rPr>
          <w:rFonts w:cs="Calibri"/>
        </w:rPr>
      </w:pPr>
      <w:r w:rsidRPr="001D23DB">
        <w:rPr>
          <w:rFonts w:cs="Calibri"/>
        </w:rPr>
        <w:t>Se presenta a continuación el resultado de la homologación para cada una de los 15 tipos de instalación de la Res. N°380</w:t>
      </w:r>
      <w:r>
        <w:rPr>
          <w:rFonts w:cs="Calibri"/>
        </w:rPr>
        <w:t>.</w:t>
      </w:r>
    </w:p>
    <w:tbl>
      <w:tblPr>
        <w:tblW w:w="9566" w:type="dxa"/>
        <w:jc w:val="center"/>
        <w:tblLayout w:type="fixed"/>
        <w:tblCellMar>
          <w:left w:w="30" w:type="dxa"/>
          <w:right w:w="30" w:type="dxa"/>
        </w:tblCellMar>
        <w:tblLook w:val="0000" w:firstRow="0" w:lastRow="0" w:firstColumn="0" w:lastColumn="0" w:noHBand="0" w:noVBand="0"/>
      </w:tblPr>
      <w:tblGrid>
        <w:gridCol w:w="1202"/>
        <w:gridCol w:w="6096"/>
        <w:gridCol w:w="1134"/>
        <w:gridCol w:w="1134"/>
      </w:tblGrid>
      <w:tr w:rsidR="00A07E08" w:rsidRPr="00CF2138" w14:paraId="68D4A776" w14:textId="77777777">
        <w:trPr>
          <w:trHeight w:val="4"/>
          <w:jc w:val="center"/>
        </w:trPr>
        <w:tc>
          <w:tcPr>
            <w:tcW w:w="1202" w:type="dxa"/>
            <w:tcBorders>
              <w:top w:val="single" w:sz="6" w:space="0" w:color="auto"/>
              <w:left w:val="single" w:sz="6" w:space="0" w:color="auto"/>
              <w:bottom w:val="nil"/>
              <w:right w:val="single" w:sz="6" w:space="0" w:color="auto"/>
            </w:tcBorders>
            <w:shd w:val="pct15" w:color="auto" w:fill="auto"/>
            <w:vAlign w:val="center"/>
          </w:tcPr>
          <w:p w14:paraId="6F81BF73" w14:textId="77777777" w:rsidR="00163736" w:rsidRPr="00550128" w:rsidRDefault="00163736" w:rsidP="00A07E08">
            <w:pPr>
              <w:spacing w:after="0"/>
              <w:jc w:val="center"/>
              <w:rPr>
                <w:b/>
                <w:bCs/>
                <w:color w:val="000000"/>
                <w:sz w:val="20"/>
                <w:szCs w:val="20"/>
              </w:rPr>
            </w:pPr>
            <w:r w:rsidRPr="00550128">
              <w:rPr>
                <w:b/>
                <w:bCs/>
                <w:color w:val="000000"/>
                <w:sz w:val="20"/>
                <w:szCs w:val="20"/>
              </w:rPr>
              <w:t> Correlativo</w:t>
            </w:r>
          </w:p>
        </w:tc>
        <w:tc>
          <w:tcPr>
            <w:tcW w:w="6096" w:type="dxa"/>
            <w:tcBorders>
              <w:top w:val="single" w:sz="6" w:space="0" w:color="auto"/>
              <w:left w:val="single" w:sz="6" w:space="0" w:color="auto"/>
              <w:bottom w:val="nil"/>
              <w:right w:val="single" w:sz="6" w:space="0" w:color="auto"/>
            </w:tcBorders>
            <w:shd w:val="pct15" w:color="auto" w:fill="auto"/>
            <w:vAlign w:val="center"/>
          </w:tcPr>
          <w:p w14:paraId="5F9A8354" w14:textId="77777777" w:rsidR="00163736" w:rsidRPr="00550128" w:rsidRDefault="00163736" w:rsidP="00A07E08">
            <w:pPr>
              <w:spacing w:after="0"/>
              <w:jc w:val="center"/>
              <w:rPr>
                <w:b/>
                <w:bCs/>
                <w:color w:val="000000"/>
                <w:sz w:val="20"/>
                <w:szCs w:val="20"/>
              </w:rPr>
            </w:pPr>
            <w:r w:rsidRPr="00550128">
              <w:rPr>
                <w:b/>
                <w:sz w:val="20"/>
                <w:szCs w:val="20"/>
              </w:rPr>
              <w:t>Instalaciones económicamente identificables</w:t>
            </w:r>
            <w:r w:rsidRPr="00550128">
              <w:rPr>
                <w:b/>
                <w:bCs/>
                <w:color w:val="000000"/>
                <w:sz w:val="20"/>
                <w:szCs w:val="20"/>
              </w:rPr>
              <w:t> </w:t>
            </w:r>
          </w:p>
        </w:tc>
        <w:tc>
          <w:tcPr>
            <w:tcW w:w="1134" w:type="dxa"/>
            <w:tcBorders>
              <w:top w:val="single" w:sz="6" w:space="0" w:color="auto"/>
              <w:left w:val="nil"/>
              <w:bottom w:val="nil"/>
              <w:right w:val="single" w:sz="6" w:space="0" w:color="auto"/>
            </w:tcBorders>
            <w:shd w:val="pct15" w:color="auto" w:fill="auto"/>
          </w:tcPr>
          <w:p w14:paraId="45AD24BA" w14:textId="77777777" w:rsidR="00163736" w:rsidRPr="00163736" w:rsidRDefault="00163736" w:rsidP="00A07E08">
            <w:pPr>
              <w:autoSpaceDE w:val="0"/>
              <w:autoSpaceDN w:val="0"/>
              <w:adjustRightInd w:val="0"/>
              <w:spacing w:after="0"/>
              <w:jc w:val="center"/>
              <w:rPr>
                <w:rFonts w:cs="Calibri"/>
                <w:b/>
                <w:bCs/>
                <w:color w:val="000000"/>
                <w:sz w:val="20"/>
                <w:szCs w:val="20"/>
              </w:rPr>
            </w:pPr>
            <w:r w:rsidRPr="00163736">
              <w:rPr>
                <w:rFonts w:cs="Calibri"/>
                <w:b/>
                <w:bCs/>
                <w:color w:val="000000"/>
                <w:sz w:val="20"/>
                <w:szCs w:val="20"/>
              </w:rPr>
              <w:t>VU R.412</w:t>
            </w:r>
          </w:p>
        </w:tc>
        <w:tc>
          <w:tcPr>
            <w:tcW w:w="1134" w:type="dxa"/>
            <w:tcBorders>
              <w:top w:val="single" w:sz="6" w:space="0" w:color="auto"/>
              <w:left w:val="nil"/>
              <w:bottom w:val="nil"/>
              <w:right w:val="single" w:sz="6" w:space="0" w:color="auto"/>
            </w:tcBorders>
            <w:shd w:val="pct15" w:color="auto" w:fill="auto"/>
          </w:tcPr>
          <w:p w14:paraId="1E66CD09" w14:textId="77777777" w:rsidR="00163736" w:rsidRPr="00163736" w:rsidRDefault="00163736" w:rsidP="00A07E08">
            <w:pPr>
              <w:autoSpaceDE w:val="0"/>
              <w:autoSpaceDN w:val="0"/>
              <w:adjustRightInd w:val="0"/>
              <w:spacing w:after="0"/>
              <w:jc w:val="center"/>
              <w:rPr>
                <w:rFonts w:cs="Calibri"/>
                <w:b/>
                <w:bCs/>
                <w:color w:val="000000"/>
                <w:sz w:val="20"/>
                <w:szCs w:val="20"/>
              </w:rPr>
            </w:pPr>
            <w:r w:rsidRPr="00163736">
              <w:rPr>
                <w:rFonts w:cs="Calibri"/>
                <w:b/>
                <w:bCs/>
                <w:color w:val="000000"/>
                <w:sz w:val="20"/>
                <w:szCs w:val="20"/>
              </w:rPr>
              <w:t>VU SII</w:t>
            </w:r>
          </w:p>
        </w:tc>
      </w:tr>
      <w:tr w:rsidR="00A07E08" w:rsidRPr="00CF2138" w14:paraId="26E7A6BB" w14:textId="77777777">
        <w:trPr>
          <w:trHeight w:val="4"/>
          <w:jc w:val="center"/>
        </w:trPr>
        <w:tc>
          <w:tcPr>
            <w:tcW w:w="1202" w:type="dxa"/>
            <w:tcBorders>
              <w:top w:val="nil"/>
              <w:left w:val="single" w:sz="6" w:space="0" w:color="auto"/>
              <w:bottom w:val="single" w:sz="6" w:space="0" w:color="auto"/>
              <w:right w:val="single" w:sz="6" w:space="0" w:color="auto"/>
            </w:tcBorders>
            <w:shd w:val="pct15" w:color="auto" w:fill="auto"/>
          </w:tcPr>
          <w:p w14:paraId="412947DD" w14:textId="77777777" w:rsidR="00163736" w:rsidRPr="00163736" w:rsidRDefault="00163736" w:rsidP="00A07E08">
            <w:pPr>
              <w:autoSpaceDE w:val="0"/>
              <w:autoSpaceDN w:val="0"/>
              <w:adjustRightInd w:val="0"/>
              <w:spacing w:after="0"/>
              <w:jc w:val="center"/>
              <w:rPr>
                <w:rFonts w:cs="Calibri"/>
                <w:b/>
                <w:bCs/>
                <w:color w:val="000000"/>
                <w:sz w:val="20"/>
                <w:szCs w:val="20"/>
              </w:rPr>
            </w:pPr>
          </w:p>
        </w:tc>
        <w:tc>
          <w:tcPr>
            <w:tcW w:w="6096" w:type="dxa"/>
            <w:tcBorders>
              <w:top w:val="nil"/>
              <w:left w:val="single" w:sz="6" w:space="0" w:color="auto"/>
              <w:bottom w:val="single" w:sz="6" w:space="0" w:color="auto"/>
              <w:right w:val="single" w:sz="6" w:space="0" w:color="auto"/>
            </w:tcBorders>
            <w:shd w:val="pct15" w:color="auto" w:fill="auto"/>
          </w:tcPr>
          <w:p w14:paraId="67B6B5A3" w14:textId="77777777" w:rsidR="00163736" w:rsidRPr="00163736" w:rsidRDefault="00163736" w:rsidP="00A07E08">
            <w:pPr>
              <w:autoSpaceDE w:val="0"/>
              <w:autoSpaceDN w:val="0"/>
              <w:adjustRightInd w:val="0"/>
              <w:spacing w:after="0"/>
              <w:jc w:val="center"/>
              <w:rPr>
                <w:rFonts w:cs="Calibri"/>
                <w:b/>
                <w:bCs/>
                <w:color w:val="000000"/>
                <w:sz w:val="20"/>
                <w:szCs w:val="20"/>
              </w:rPr>
            </w:pPr>
          </w:p>
        </w:tc>
        <w:tc>
          <w:tcPr>
            <w:tcW w:w="1134" w:type="dxa"/>
            <w:tcBorders>
              <w:top w:val="nil"/>
              <w:left w:val="nil"/>
              <w:bottom w:val="single" w:sz="6" w:space="0" w:color="auto"/>
              <w:right w:val="single" w:sz="6" w:space="0" w:color="auto"/>
            </w:tcBorders>
            <w:shd w:val="pct15" w:color="auto" w:fill="auto"/>
          </w:tcPr>
          <w:p w14:paraId="67630B93" w14:textId="77777777" w:rsidR="00163736" w:rsidRPr="00163736" w:rsidRDefault="00163736" w:rsidP="00A07E08">
            <w:pPr>
              <w:autoSpaceDE w:val="0"/>
              <w:autoSpaceDN w:val="0"/>
              <w:adjustRightInd w:val="0"/>
              <w:spacing w:after="0"/>
              <w:jc w:val="center"/>
              <w:rPr>
                <w:rFonts w:cs="Calibri"/>
                <w:b/>
                <w:bCs/>
                <w:color w:val="000000"/>
                <w:sz w:val="20"/>
                <w:szCs w:val="20"/>
              </w:rPr>
            </w:pPr>
            <w:r w:rsidRPr="00163736">
              <w:rPr>
                <w:rFonts w:cs="Calibri"/>
                <w:b/>
                <w:bCs/>
                <w:color w:val="000000"/>
                <w:sz w:val="20"/>
                <w:szCs w:val="20"/>
              </w:rPr>
              <w:t>(Años)</w:t>
            </w:r>
          </w:p>
        </w:tc>
        <w:tc>
          <w:tcPr>
            <w:tcW w:w="1134" w:type="dxa"/>
            <w:tcBorders>
              <w:top w:val="nil"/>
              <w:left w:val="nil"/>
              <w:bottom w:val="single" w:sz="6" w:space="0" w:color="auto"/>
              <w:right w:val="single" w:sz="6" w:space="0" w:color="auto"/>
            </w:tcBorders>
            <w:shd w:val="pct15" w:color="auto" w:fill="auto"/>
          </w:tcPr>
          <w:p w14:paraId="5DBFECAE" w14:textId="77777777" w:rsidR="00163736" w:rsidRPr="00163736" w:rsidRDefault="00163736" w:rsidP="00A07E08">
            <w:pPr>
              <w:autoSpaceDE w:val="0"/>
              <w:autoSpaceDN w:val="0"/>
              <w:adjustRightInd w:val="0"/>
              <w:spacing w:after="0"/>
              <w:jc w:val="center"/>
              <w:rPr>
                <w:rFonts w:cs="Calibri"/>
                <w:b/>
                <w:bCs/>
                <w:color w:val="000000"/>
                <w:sz w:val="20"/>
                <w:szCs w:val="20"/>
              </w:rPr>
            </w:pPr>
            <w:r w:rsidRPr="00163736">
              <w:rPr>
                <w:rFonts w:cs="Calibri"/>
                <w:b/>
                <w:bCs/>
                <w:color w:val="000000"/>
                <w:sz w:val="20"/>
                <w:szCs w:val="20"/>
              </w:rPr>
              <w:t>(Años)</w:t>
            </w:r>
          </w:p>
        </w:tc>
      </w:tr>
      <w:tr w:rsidR="00163736" w:rsidRPr="00CF2138" w14:paraId="716FC7CF" w14:textId="77777777">
        <w:trPr>
          <w:trHeight w:val="4"/>
          <w:jc w:val="center"/>
        </w:trPr>
        <w:tc>
          <w:tcPr>
            <w:tcW w:w="1202" w:type="dxa"/>
            <w:tcBorders>
              <w:top w:val="nil"/>
              <w:left w:val="single" w:sz="6" w:space="0" w:color="auto"/>
              <w:bottom w:val="single" w:sz="6" w:space="0" w:color="auto"/>
              <w:right w:val="single" w:sz="6" w:space="0" w:color="auto"/>
            </w:tcBorders>
            <w:shd w:val="clear" w:color="auto" w:fill="auto"/>
          </w:tcPr>
          <w:p w14:paraId="1FF40D68"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w:t>
            </w:r>
          </w:p>
        </w:tc>
        <w:tc>
          <w:tcPr>
            <w:tcW w:w="6096" w:type="dxa"/>
            <w:tcBorders>
              <w:top w:val="nil"/>
              <w:left w:val="single" w:sz="6" w:space="0" w:color="auto"/>
              <w:bottom w:val="single" w:sz="6" w:space="0" w:color="auto"/>
              <w:right w:val="single" w:sz="6" w:space="0" w:color="auto"/>
            </w:tcBorders>
            <w:shd w:val="clear" w:color="auto" w:fill="auto"/>
          </w:tcPr>
          <w:p w14:paraId="70B30E78"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Derechos relacionados con el uso de suelo y medio ambiente</w:t>
            </w:r>
          </w:p>
        </w:tc>
        <w:tc>
          <w:tcPr>
            <w:tcW w:w="1134" w:type="dxa"/>
            <w:tcBorders>
              <w:top w:val="nil"/>
              <w:left w:val="single" w:sz="6" w:space="0" w:color="auto"/>
              <w:bottom w:val="single" w:sz="6" w:space="0" w:color="auto"/>
              <w:right w:val="single" w:sz="6" w:space="0" w:color="auto"/>
            </w:tcBorders>
            <w:shd w:val="clear" w:color="auto" w:fill="auto"/>
          </w:tcPr>
          <w:p w14:paraId="203EFA92"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Perpetuidad</w:t>
            </w:r>
          </w:p>
        </w:tc>
        <w:tc>
          <w:tcPr>
            <w:tcW w:w="1134" w:type="dxa"/>
            <w:tcBorders>
              <w:top w:val="nil"/>
              <w:left w:val="single" w:sz="6" w:space="0" w:color="auto"/>
              <w:bottom w:val="single" w:sz="6" w:space="0" w:color="auto"/>
              <w:right w:val="single" w:sz="6" w:space="0" w:color="auto"/>
            </w:tcBorders>
            <w:shd w:val="clear" w:color="auto" w:fill="auto"/>
          </w:tcPr>
          <w:p w14:paraId="2B1F78F3"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Perpetuidad</w:t>
            </w:r>
          </w:p>
        </w:tc>
      </w:tr>
      <w:tr w:rsidR="00163736" w:rsidRPr="00CF2138" w14:paraId="21004156"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68513F9E"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2</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10026E23"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Obras civiles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847F11B"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AF98216"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20</w:t>
            </w:r>
          </w:p>
        </w:tc>
      </w:tr>
      <w:tr w:rsidR="00163736" w:rsidRPr="00CF2138" w14:paraId="4E46BA47"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21D754B0"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3</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5CD8B29C"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Estructuras de líneas y/o subestaciones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049003D"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B9AD76A"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20</w:t>
            </w:r>
          </w:p>
        </w:tc>
      </w:tr>
      <w:tr w:rsidR="00163736" w:rsidRPr="00CF2138" w14:paraId="3E28148D"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0A650390"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4</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60466455"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Elementos de sujeción y aislación</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783F37D"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30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C20B762"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r>
      <w:tr w:rsidR="00163736" w:rsidRPr="00CF2138" w14:paraId="5C9CED3D"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22A93912"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50FF24D4"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Equipamiento electromecánico y electromagnético</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734C92E"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40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F16E6B0"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r>
      <w:tr w:rsidR="00163736" w:rsidRPr="00CF2138" w14:paraId="7BD490D2"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0B462E61"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6</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1E6E0453"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Conductores y cables de guardias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DA8A9C2"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A856DDD"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20</w:t>
            </w:r>
          </w:p>
        </w:tc>
      </w:tr>
      <w:tr w:rsidR="00163736" w:rsidRPr="00CF2138" w14:paraId="44796469"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24C4CAD1"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7</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2CA57796"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Protecciones electromecánicas y/o electromagnéticas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2E99027"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20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54C2021"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r>
      <w:tr w:rsidR="00163736" w:rsidRPr="00CF2138" w14:paraId="0D8BC100"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000DE27F"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8</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2FB6C727"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Protecciones digitales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202F2AC"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62466E3"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r>
      <w:tr w:rsidR="00163736" w:rsidRPr="00CF2138" w14:paraId="1D8FF14C"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4577C8C2"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9</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1F5D9751"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Equipos de control, telecomando, medición, comunicaciones y respaldo</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482B3EC"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53D591A"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r>
      <w:tr w:rsidR="00163736" w:rsidRPr="00CF2138" w14:paraId="4AB64B47"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3628A296"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10</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4FF23440"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Otros elementos secundarios de subestaciones o radioestaciones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9CB5A56"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40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9555BFA"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12</w:t>
            </w:r>
          </w:p>
        </w:tc>
      </w:tr>
      <w:tr w:rsidR="00163736" w:rsidRPr="00CF2138" w14:paraId="77A989E8"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4E72CB3E"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11</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24EBEB4F"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Bienes inmuebles distintos a terrenos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9AEEAC1"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50</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670924E"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50</w:t>
            </w:r>
          </w:p>
        </w:tc>
      </w:tr>
      <w:tr w:rsidR="00163736" w:rsidRPr="00CF2138" w14:paraId="1653B0B0"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3E1C85BD"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12</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67437242"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Equipamiento de operación y mantenimiento no fungible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1833C93"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2B78AC6"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8</w:t>
            </w:r>
          </w:p>
        </w:tc>
      </w:tr>
      <w:tr w:rsidR="00163736" w:rsidRPr="00CF2138" w14:paraId="2C720C40"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23AE12DA"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13</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6815F089"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Equipamiento de oficina no fungible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2CB9B294"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B04A670"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7</w:t>
            </w:r>
          </w:p>
        </w:tc>
      </w:tr>
      <w:tr w:rsidR="00163736" w:rsidRPr="00CF2138" w14:paraId="1CAA50E4" w14:textId="77777777">
        <w:trPr>
          <w:trHeight w:val="4"/>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2E4CCCF1"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14</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535EFD49"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Equipamiento computacional y sistemas de vigilancia</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E27BB26"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54394A5"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7</w:t>
            </w:r>
          </w:p>
        </w:tc>
      </w:tr>
      <w:tr w:rsidR="00163736" w:rsidRPr="00CF2138" w14:paraId="6CB60DC4" w14:textId="77777777">
        <w:trPr>
          <w:trHeight w:val="55"/>
          <w:jc w:val="center"/>
        </w:trPr>
        <w:tc>
          <w:tcPr>
            <w:tcW w:w="1202" w:type="dxa"/>
            <w:tcBorders>
              <w:top w:val="single" w:sz="6" w:space="0" w:color="auto"/>
              <w:left w:val="single" w:sz="6" w:space="0" w:color="auto"/>
              <w:bottom w:val="single" w:sz="6" w:space="0" w:color="auto"/>
              <w:right w:val="single" w:sz="6" w:space="0" w:color="auto"/>
            </w:tcBorders>
            <w:shd w:val="clear" w:color="auto" w:fill="auto"/>
          </w:tcPr>
          <w:p w14:paraId="4CEDF13A"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15</w:t>
            </w:r>
          </w:p>
        </w:tc>
        <w:tc>
          <w:tcPr>
            <w:tcW w:w="6096" w:type="dxa"/>
            <w:tcBorders>
              <w:top w:val="single" w:sz="6" w:space="0" w:color="auto"/>
              <w:left w:val="single" w:sz="6" w:space="0" w:color="auto"/>
              <w:bottom w:val="single" w:sz="6" w:space="0" w:color="auto"/>
              <w:right w:val="single" w:sz="6" w:space="0" w:color="auto"/>
            </w:tcBorders>
            <w:shd w:val="clear" w:color="auto" w:fill="auto"/>
          </w:tcPr>
          <w:p w14:paraId="5F4C12F6" w14:textId="77777777" w:rsidR="00163736" w:rsidRPr="00163736" w:rsidRDefault="00163736" w:rsidP="00A07E08">
            <w:pPr>
              <w:autoSpaceDE w:val="0"/>
              <w:autoSpaceDN w:val="0"/>
              <w:adjustRightInd w:val="0"/>
              <w:spacing w:after="0"/>
              <w:rPr>
                <w:rFonts w:cs="Calibri"/>
                <w:color w:val="000000"/>
                <w:sz w:val="20"/>
                <w:szCs w:val="20"/>
              </w:rPr>
            </w:pPr>
            <w:r w:rsidRPr="00163736">
              <w:rPr>
                <w:rFonts w:cs="Calibri"/>
                <w:color w:val="000000"/>
                <w:sz w:val="20"/>
                <w:szCs w:val="20"/>
              </w:rPr>
              <w:t>Vehículos</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4805FDB"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5</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BEA0B08" w14:textId="77777777" w:rsidR="00163736" w:rsidRPr="00163736" w:rsidRDefault="00163736" w:rsidP="00A07E08">
            <w:pPr>
              <w:autoSpaceDE w:val="0"/>
              <w:autoSpaceDN w:val="0"/>
              <w:adjustRightInd w:val="0"/>
              <w:spacing w:after="0"/>
              <w:jc w:val="center"/>
              <w:rPr>
                <w:rFonts w:cs="Calibri"/>
                <w:color w:val="000000"/>
                <w:sz w:val="20"/>
                <w:szCs w:val="20"/>
              </w:rPr>
            </w:pPr>
            <w:r w:rsidRPr="00163736">
              <w:rPr>
                <w:rFonts w:cs="Calibri"/>
                <w:color w:val="000000"/>
                <w:sz w:val="20"/>
                <w:szCs w:val="20"/>
              </w:rPr>
              <w:t>7</w:t>
            </w:r>
          </w:p>
        </w:tc>
      </w:tr>
    </w:tbl>
    <w:p w14:paraId="1F3B0C92" w14:textId="77777777" w:rsidR="001D23DB" w:rsidRDefault="001D23DB" w:rsidP="009E32FD">
      <w:pPr>
        <w:rPr>
          <w:rFonts w:cs="Calibri"/>
        </w:rPr>
      </w:pPr>
    </w:p>
    <w:p w14:paraId="375DF3F6" w14:textId="77777777" w:rsidR="001D23DB" w:rsidRDefault="001D23DB" w:rsidP="009E32FD">
      <w:pPr>
        <w:rPr>
          <w:highlight w:val="yellow"/>
          <w:lang w:val="es-CL"/>
        </w:rPr>
      </w:pPr>
    </w:p>
    <w:p w14:paraId="2A6503AD" w14:textId="77777777" w:rsidR="001D23DB" w:rsidRPr="009B2F4E" w:rsidRDefault="009B2F4E" w:rsidP="009B2F4E">
      <w:pPr>
        <w:pStyle w:val="Ttulo2"/>
        <w:rPr>
          <w:sz w:val="24"/>
          <w:szCs w:val="24"/>
        </w:rPr>
      </w:pPr>
      <w:bookmarkStart w:id="355" w:name="_Toc34687288"/>
      <w:r>
        <w:rPr>
          <w:sz w:val="24"/>
          <w:szCs w:val="24"/>
        </w:rPr>
        <w:t>Tasa de Impuesto</w:t>
      </w:r>
      <w:bookmarkEnd w:id="355"/>
    </w:p>
    <w:p w14:paraId="004ADF7D" w14:textId="77777777" w:rsidR="009B2F4E" w:rsidRDefault="009B2F4E" w:rsidP="009B2F4E">
      <w:r>
        <w:t>El punto 3.7 del Capítulo II de las Bases, en consistencia con lo establecido en el Artículo 9° de la Resolución Exenta N°380 de la CNE, da cuenta de la formulación a utilizar para determinar el ajuste por efectos de impuesto a la renta (A.E.I.R.), señalando que dicho valor depende, entre otros, del parámetro “t” correspondiente a la tasa de impuesto a la renta aplicable.</w:t>
      </w:r>
    </w:p>
    <w:p w14:paraId="536C7781" w14:textId="77777777" w:rsidR="009B2F4E" w:rsidRDefault="009B2F4E" w:rsidP="009B2F4E">
      <w:r>
        <w:t>Las Bases definen al parámetro “t” en los siguientes términos:</w:t>
      </w:r>
    </w:p>
    <w:tbl>
      <w:tblPr>
        <w:tblW w:w="0" w:type="auto"/>
        <w:jc w:val="center"/>
        <w:tblLook w:val="04A0" w:firstRow="1" w:lastRow="0" w:firstColumn="1" w:lastColumn="0" w:noHBand="0" w:noVBand="1"/>
      </w:tblPr>
      <w:tblGrid>
        <w:gridCol w:w="704"/>
        <w:gridCol w:w="8124"/>
      </w:tblGrid>
      <w:tr w:rsidR="009B2F4E" w:rsidRPr="002C2818" w14:paraId="2BE1336A" w14:textId="77777777">
        <w:trPr>
          <w:jc w:val="center"/>
        </w:trPr>
        <w:tc>
          <w:tcPr>
            <w:tcW w:w="704" w:type="dxa"/>
            <w:shd w:val="clear" w:color="auto" w:fill="auto"/>
          </w:tcPr>
          <w:p w14:paraId="03317971" w14:textId="77777777" w:rsidR="009B2F4E" w:rsidRPr="002C2818" w:rsidRDefault="009B2F4E" w:rsidP="00725238">
            <w:pPr>
              <w:spacing w:line="240" w:lineRule="auto"/>
            </w:pPr>
            <w:r w:rsidRPr="002C2818">
              <w:t>t  :</w:t>
            </w:r>
          </w:p>
        </w:tc>
        <w:tc>
          <w:tcPr>
            <w:tcW w:w="8124" w:type="dxa"/>
            <w:shd w:val="clear" w:color="auto" w:fill="auto"/>
          </w:tcPr>
          <w:p w14:paraId="1C0CA34B" w14:textId="77777777" w:rsidR="009B2F4E" w:rsidRPr="002C2818" w:rsidRDefault="009B2F4E" w:rsidP="002A125F">
            <w:pPr>
              <w:spacing w:line="240" w:lineRule="auto"/>
            </w:pPr>
            <w:r w:rsidRPr="002C2818">
              <w:t>Tasa de impuestos a las utilidades de primera categoría aplicables a la empresa eficiente. En caso de existir más de un régimen tributario, se considerará aquel régimen que resulte más conveniente económicamente para la empresa eficiente.</w:t>
            </w:r>
          </w:p>
        </w:tc>
      </w:tr>
    </w:tbl>
    <w:p w14:paraId="797E38B4" w14:textId="77777777" w:rsidR="009B2F4E" w:rsidRDefault="009B2F4E" w:rsidP="009B2F4E">
      <w:r>
        <w:t>Conforme a la normativa tributaria, una empresa constituida en la manera en que debería estarlo la empresa eficiente, esto es, como una sociedad anónima</w:t>
      </w:r>
      <w:r>
        <w:rPr>
          <w:rStyle w:val="Refdenotaalpie"/>
        </w:rPr>
        <w:footnoteReference w:id="38"/>
      </w:r>
      <w:r>
        <w:t xml:space="preserve">, no tiene sino la opción de acogerse al sistema de tributación denominado </w:t>
      </w:r>
      <w:r w:rsidRPr="00763DD3">
        <w:rPr>
          <w:i/>
          <w:iCs/>
        </w:rPr>
        <w:t>parcialmente integrado</w:t>
      </w:r>
      <w:r>
        <w:t>.</w:t>
      </w:r>
      <w:bookmarkStart w:id="356" w:name="_Hlk24624198"/>
    </w:p>
    <w:p w14:paraId="7A52515D" w14:textId="77777777" w:rsidR="009B2F4E" w:rsidRDefault="009B2F4E" w:rsidP="009B2F4E">
      <w:r w:rsidRPr="00E30BC0">
        <w:t xml:space="preserve">La posibilidad de optar entre diversos regímenes para tributar los impuestos de primera categoría surge de la Reforma Tributaria de 2014 (Ley N°20.780, que modificó al DL N°824, Ley de Sobre Impuesto a la Renta). Dicha norma estableció distintos regímenes, </w:t>
      </w:r>
      <w:r>
        <w:t>entendiéndose</w:t>
      </w:r>
      <w:r w:rsidRPr="00E30BC0">
        <w:t xml:space="preserve"> que una empresa de las características señaladas podía acogerse al sistema de renta atribuida o al sistema parcialmente integrado. Sin embargo, la Ley N°20.899 de 2016 que simplificó el sistema de tributación, impuso como obligatorio para las sociedades anónimas el sistema parcialmente integrado, es decir, dejó sin efecto para ellas la posibilidad de optar entre el sistema parcialmente integrado y el de renta atribuida.</w:t>
      </w:r>
    </w:p>
    <w:p w14:paraId="43086647" w14:textId="77777777" w:rsidR="009B2F4E" w:rsidRDefault="009B2F4E" w:rsidP="009B2F4E">
      <w:r>
        <w:t xml:space="preserve">En efecto, el Artículo 14 del DL N°824, </w:t>
      </w:r>
      <w:r w:rsidRPr="00E30BC0">
        <w:rPr>
          <w:i/>
          <w:iCs/>
        </w:rPr>
        <w:t>Ley Sobre Impuesto a la Renta</w:t>
      </w:r>
      <w:r>
        <w:t>, indica en sus primeros dos incisos que:</w:t>
      </w:r>
    </w:p>
    <w:p w14:paraId="3448979F" w14:textId="77777777" w:rsidR="009B2F4E" w:rsidRDefault="009B2F4E" w:rsidP="009B2F4E">
      <w:pPr>
        <w:ind w:left="708"/>
      </w:pPr>
      <w:bookmarkStart w:id="357" w:name="_Hlk24624914"/>
      <w:r>
        <w:t xml:space="preserve">“Las rentas que se determinen a un contribuyente sujeto al impuesto de la primera categoría se gravarán respecto de éste, de acuerdo con las normas del Título II, sin perjuicio de las partidas que deban agregarse a la renta líquida imponible de esa categoría conforme a este artículo. </w:t>
      </w:r>
    </w:p>
    <w:p w14:paraId="5FED82D4" w14:textId="77777777" w:rsidR="009B2F4E" w:rsidRDefault="009B2F4E" w:rsidP="009B2F4E">
      <w:pPr>
        <w:ind w:left="708"/>
      </w:pPr>
      <w:r>
        <w:t>Los contribuyentes que sean empresarios individuales, empresas individuales de responsabilidad limitada, comunidades, sociedades por acciones, contribuyentes del artículo 58 número 1 y sociedades de personas, excluidas las sociedades en comandita por acciones, todos ellos obligados a declarar sobre la base de sus rentas efectivas según contabilidad completa, cuyos propietarios, comuneros, socios o accionistas sean exclusivamente personas naturales con domicilio o residencia en el país y/o contribuyentes sin domicilio ni residencia en Chile, podrán optar por aplicar las disposiciones de las letras A) o B) de este artículo. Los demás contribuyentes aplicarán las disposiciones de la letra B).”</w:t>
      </w:r>
    </w:p>
    <w:bookmarkEnd w:id="357"/>
    <w:p w14:paraId="35C0F794" w14:textId="77777777" w:rsidR="009B2F4E" w:rsidRDefault="009B2F4E" w:rsidP="009B2F4E">
      <w:r>
        <w:t>Los contribuyentes indicados en la letra B), y según la misma norma, corresponden a:</w:t>
      </w:r>
    </w:p>
    <w:p w14:paraId="46E6A635" w14:textId="77777777" w:rsidR="009B2F4E" w:rsidRDefault="009B2F4E" w:rsidP="009B2F4E">
      <w:pPr>
        <w:ind w:left="708"/>
      </w:pPr>
      <w:r>
        <w:t>“B) Contribuyentes obligados a declarar sus rentas efectivas según contabilidad completa, sujetos al régimen de impuesto de primera categoría con deducción parcial de crédito en los impuestos finales...”</w:t>
      </w:r>
    </w:p>
    <w:p w14:paraId="198316FF" w14:textId="77777777" w:rsidR="009B2F4E" w:rsidRDefault="009B2F4E" w:rsidP="009B2F4E">
      <w:bookmarkStart w:id="358" w:name="_Hlk24625021"/>
      <w:bookmarkEnd w:id="356"/>
      <w:r>
        <w:t>La tasa aplicable a los distintos sistemas está establecida en el Artículo 20, del Título II del DL N°824, que indica:</w:t>
      </w:r>
    </w:p>
    <w:p w14:paraId="55160303" w14:textId="77777777" w:rsidR="009B2F4E" w:rsidRDefault="009B2F4E" w:rsidP="009B2F4E">
      <w:pPr>
        <w:ind w:left="708"/>
      </w:pPr>
      <w:r>
        <w:t>“Establécese un impuesto de 25% que podrá ser imputado a los impuestos global complementario y adicional de acuerdo con las normas de los artículos 56, N° 3 y 63. En el caso de los contribuyentes sujetos a las disposiciones de la letra B) del artículo 14, el impuesto será de 27%...”</w:t>
      </w:r>
      <w:r>
        <w:rPr>
          <w:rStyle w:val="Refdenotaalpie"/>
        </w:rPr>
        <w:footnoteReference w:id="39"/>
      </w:r>
    </w:p>
    <w:bookmarkEnd w:id="358"/>
    <w:p w14:paraId="487E63C7" w14:textId="6F3F19B1" w:rsidR="009B2F4E" w:rsidRDefault="009B2F4E" w:rsidP="009B2F4E">
      <w:r>
        <w:t xml:space="preserve">De esta forma, el parámetro “t”, a los efectos del estudio, debe corresponder a la tasa de impuestos de primera categoría aplicable a contribuyentes adscritos al sistema de tributación denominado parcialmente integrado, el cual es obligatorio para sociedades anónimas, y que corresponde a una tasa de </w:t>
      </w:r>
      <w:r w:rsidRPr="00531B73">
        <w:rPr>
          <w:b/>
          <w:bCs/>
        </w:rPr>
        <w:t>27%</w:t>
      </w:r>
      <w:r>
        <w:t>.</w:t>
      </w:r>
    </w:p>
    <w:p w14:paraId="62C98360" w14:textId="77777777" w:rsidR="00027E17" w:rsidRDefault="00027E17" w:rsidP="009B2F4E"/>
    <w:p w14:paraId="33C6B364" w14:textId="77777777" w:rsidR="001B4185" w:rsidRPr="00E200DF" w:rsidRDefault="00CD36BA" w:rsidP="00E200DF">
      <w:pPr>
        <w:pStyle w:val="Ttulo2"/>
        <w:rPr>
          <w:sz w:val="24"/>
          <w:szCs w:val="24"/>
        </w:rPr>
      </w:pPr>
      <w:bookmarkStart w:id="361" w:name="_Toc34687289"/>
      <w:r w:rsidRPr="00E200DF">
        <w:rPr>
          <w:sz w:val="24"/>
          <w:szCs w:val="24"/>
        </w:rPr>
        <w:t>Cálculo del V.A.T.T.</w:t>
      </w:r>
      <w:bookmarkEnd w:id="361"/>
    </w:p>
    <w:p w14:paraId="68DCE4F5" w14:textId="77777777" w:rsidR="00E200DF" w:rsidRDefault="00E200DF" w:rsidP="00E200DF">
      <w:pPr>
        <w:spacing w:after="0"/>
      </w:pPr>
      <w:r>
        <w:t xml:space="preserve">Como se ha señalado en los puntos anteriores, el punto 3.3 de las Bases -siguiendo lo establecido en la Resolución N°380- indica que cada tramo estará compuesto por los siguientes elementos –que denomina “instalaciones económicamente identificables”- y a los cuales se les asignó una determinada vida útil mediante la </w:t>
      </w:r>
      <w:r w:rsidRPr="005C2AD6">
        <w:t>Resolución Exenta N°412</w:t>
      </w:r>
      <w:r>
        <w:t>:</w:t>
      </w:r>
    </w:p>
    <w:p w14:paraId="7D487ED7" w14:textId="77777777" w:rsidR="00E200DF" w:rsidRDefault="00E200DF" w:rsidP="00E200DF">
      <w:pPr>
        <w:spacing w:after="0"/>
      </w:pP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77"/>
        <w:gridCol w:w="6799"/>
        <w:gridCol w:w="1276"/>
      </w:tblGrid>
      <w:tr w:rsidR="00E200DF" w:rsidRPr="002C2818" w14:paraId="0C28F1B7" w14:textId="77777777" w:rsidTr="000A0ACA">
        <w:trPr>
          <w:jc w:val="center"/>
        </w:trPr>
        <w:tc>
          <w:tcPr>
            <w:tcW w:w="577" w:type="dxa"/>
            <w:shd w:val="clear" w:color="auto" w:fill="D0CECE"/>
            <w:vAlign w:val="center"/>
          </w:tcPr>
          <w:p w14:paraId="6136F743" w14:textId="77777777" w:rsidR="00E200DF" w:rsidRPr="002C2818" w:rsidRDefault="00E200DF" w:rsidP="000A0ACA">
            <w:pPr>
              <w:spacing w:before="20" w:after="20" w:line="240" w:lineRule="auto"/>
              <w:jc w:val="center"/>
              <w:rPr>
                <w:rFonts w:cs="Calibri"/>
                <w:b/>
                <w:bCs/>
                <w:sz w:val="20"/>
                <w:szCs w:val="20"/>
              </w:rPr>
            </w:pPr>
            <w:r w:rsidRPr="002C2818">
              <w:rPr>
                <w:rFonts w:cs="Calibri"/>
                <w:b/>
                <w:bCs/>
                <w:sz w:val="20"/>
                <w:szCs w:val="20"/>
              </w:rPr>
              <w:t>N°</w:t>
            </w:r>
          </w:p>
        </w:tc>
        <w:tc>
          <w:tcPr>
            <w:tcW w:w="6799" w:type="dxa"/>
            <w:shd w:val="clear" w:color="auto" w:fill="D0CECE"/>
            <w:vAlign w:val="center"/>
          </w:tcPr>
          <w:p w14:paraId="14B8BA9B" w14:textId="77777777" w:rsidR="00E200DF" w:rsidRPr="002C2818" w:rsidRDefault="00E200DF" w:rsidP="000A0ACA">
            <w:pPr>
              <w:spacing w:before="20" w:after="20" w:line="240" w:lineRule="auto"/>
              <w:jc w:val="center"/>
              <w:rPr>
                <w:rFonts w:cs="Calibri"/>
                <w:b/>
                <w:bCs/>
                <w:sz w:val="20"/>
                <w:szCs w:val="20"/>
              </w:rPr>
            </w:pPr>
            <w:r>
              <w:rPr>
                <w:rFonts w:cs="Calibri"/>
                <w:b/>
                <w:bCs/>
                <w:sz w:val="20"/>
                <w:szCs w:val="20"/>
              </w:rPr>
              <w:t>Instalaciones económicamente identificables de un tramo cualquiera</w:t>
            </w:r>
          </w:p>
        </w:tc>
        <w:tc>
          <w:tcPr>
            <w:tcW w:w="1276" w:type="dxa"/>
            <w:shd w:val="clear" w:color="auto" w:fill="D0CECE"/>
            <w:vAlign w:val="center"/>
          </w:tcPr>
          <w:p w14:paraId="0DDB8A0E" w14:textId="77777777" w:rsidR="00E200DF" w:rsidRPr="002C2818" w:rsidRDefault="00E200DF" w:rsidP="000A0ACA">
            <w:pPr>
              <w:spacing w:before="20" w:after="20" w:line="240" w:lineRule="auto"/>
              <w:jc w:val="center"/>
              <w:rPr>
                <w:rFonts w:cs="Calibri"/>
                <w:b/>
                <w:bCs/>
                <w:sz w:val="20"/>
                <w:szCs w:val="20"/>
              </w:rPr>
            </w:pPr>
            <w:r w:rsidRPr="002C2818">
              <w:rPr>
                <w:rFonts w:cs="Calibri"/>
                <w:b/>
                <w:bCs/>
                <w:sz w:val="20"/>
                <w:szCs w:val="20"/>
              </w:rPr>
              <w:t>Vida útil</w:t>
            </w:r>
          </w:p>
          <w:p w14:paraId="3A4BE1F9" w14:textId="77777777" w:rsidR="00E200DF" w:rsidRPr="002C2818" w:rsidRDefault="00E200DF" w:rsidP="000A0ACA">
            <w:pPr>
              <w:spacing w:before="20" w:after="20" w:line="240" w:lineRule="auto"/>
              <w:jc w:val="center"/>
              <w:rPr>
                <w:rFonts w:cs="Calibri"/>
                <w:b/>
                <w:bCs/>
                <w:sz w:val="20"/>
                <w:szCs w:val="20"/>
              </w:rPr>
            </w:pPr>
            <w:r w:rsidRPr="002C2818">
              <w:rPr>
                <w:rFonts w:cs="Calibri"/>
                <w:b/>
                <w:bCs/>
                <w:sz w:val="20"/>
                <w:szCs w:val="20"/>
              </w:rPr>
              <w:t>[Años]</w:t>
            </w:r>
          </w:p>
        </w:tc>
      </w:tr>
      <w:tr w:rsidR="00E200DF" w:rsidRPr="002C2818" w14:paraId="4B9DA809" w14:textId="77777777" w:rsidTr="000A0ACA">
        <w:trPr>
          <w:jc w:val="center"/>
        </w:trPr>
        <w:tc>
          <w:tcPr>
            <w:tcW w:w="577" w:type="dxa"/>
            <w:shd w:val="clear" w:color="auto" w:fill="auto"/>
            <w:vAlign w:val="center"/>
          </w:tcPr>
          <w:p w14:paraId="19CDAE4F"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w:t>
            </w:r>
          </w:p>
        </w:tc>
        <w:tc>
          <w:tcPr>
            <w:tcW w:w="6799" w:type="dxa"/>
            <w:shd w:val="clear" w:color="auto" w:fill="auto"/>
            <w:vAlign w:val="center"/>
          </w:tcPr>
          <w:p w14:paraId="02A4C25A" w14:textId="77777777" w:rsidR="00E200DF" w:rsidRPr="002C2818" w:rsidRDefault="00E200DF" w:rsidP="000A0ACA">
            <w:pPr>
              <w:spacing w:before="20" w:after="20" w:line="240" w:lineRule="auto"/>
              <w:rPr>
                <w:rFonts w:cs="Calibri"/>
                <w:sz w:val="20"/>
                <w:szCs w:val="20"/>
              </w:rPr>
            </w:pPr>
            <w:r w:rsidRPr="002C2818">
              <w:rPr>
                <w:rFonts w:cs="Calibri"/>
                <w:sz w:val="20"/>
                <w:szCs w:val="20"/>
              </w:rPr>
              <w:t>Derechos relacionados con el uso de suelo y medio ambiente</w:t>
            </w:r>
          </w:p>
        </w:tc>
        <w:tc>
          <w:tcPr>
            <w:tcW w:w="1276" w:type="dxa"/>
            <w:shd w:val="clear" w:color="auto" w:fill="auto"/>
            <w:vAlign w:val="center"/>
          </w:tcPr>
          <w:p w14:paraId="05C0AC46"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Perpetuidad</w:t>
            </w:r>
          </w:p>
        </w:tc>
      </w:tr>
      <w:tr w:rsidR="00E200DF" w:rsidRPr="002C2818" w14:paraId="698C3D81" w14:textId="77777777" w:rsidTr="000A0ACA">
        <w:trPr>
          <w:jc w:val="center"/>
        </w:trPr>
        <w:tc>
          <w:tcPr>
            <w:tcW w:w="577" w:type="dxa"/>
            <w:shd w:val="clear" w:color="auto" w:fill="auto"/>
            <w:vAlign w:val="center"/>
          </w:tcPr>
          <w:p w14:paraId="7A44515A"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2</w:t>
            </w:r>
          </w:p>
        </w:tc>
        <w:tc>
          <w:tcPr>
            <w:tcW w:w="6799" w:type="dxa"/>
            <w:shd w:val="clear" w:color="auto" w:fill="auto"/>
            <w:vAlign w:val="center"/>
          </w:tcPr>
          <w:p w14:paraId="29F1D06C" w14:textId="77777777" w:rsidR="00E200DF" w:rsidRPr="002C2818" w:rsidRDefault="00E200DF" w:rsidP="000A0ACA">
            <w:pPr>
              <w:spacing w:before="20" w:after="20" w:line="240" w:lineRule="auto"/>
              <w:rPr>
                <w:rFonts w:cs="Calibri"/>
                <w:sz w:val="20"/>
                <w:szCs w:val="20"/>
              </w:rPr>
            </w:pPr>
            <w:r w:rsidRPr="002C2818">
              <w:rPr>
                <w:rFonts w:cs="Calibri"/>
                <w:sz w:val="20"/>
                <w:szCs w:val="20"/>
              </w:rPr>
              <w:t>Obras civiles</w:t>
            </w:r>
          </w:p>
        </w:tc>
        <w:tc>
          <w:tcPr>
            <w:tcW w:w="1276" w:type="dxa"/>
            <w:shd w:val="clear" w:color="auto" w:fill="auto"/>
            <w:vAlign w:val="center"/>
          </w:tcPr>
          <w:p w14:paraId="3CD59A46"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50</w:t>
            </w:r>
          </w:p>
        </w:tc>
      </w:tr>
      <w:tr w:rsidR="00E200DF" w:rsidRPr="002C2818" w14:paraId="6FD2CE18" w14:textId="77777777" w:rsidTr="000A0ACA">
        <w:trPr>
          <w:jc w:val="center"/>
        </w:trPr>
        <w:tc>
          <w:tcPr>
            <w:tcW w:w="577" w:type="dxa"/>
            <w:shd w:val="clear" w:color="auto" w:fill="auto"/>
            <w:vAlign w:val="center"/>
          </w:tcPr>
          <w:p w14:paraId="4420620B"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3</w:t>
            </w:r>
          </w:p>
        </w:tc>
        <w:tc>
          <w:tcPr>
            <w:tcW w:w="6799" w:type="dxa"/>
            <w:shd w:val="clear" w:color="auto" w:fill="auto"/>
            <w:vAlign w:val="center"/>
          </w:tcPr>
          <w:p w14:paraId="295E1438" w14:textId="77777777" w:rsidR="00E200DF" w:rsidRPr="002C2818" w:rsidRDefault="00E200DF" w:rsidP="000A0ACA">
            <w:pPr>
              <w:spacing w:before="20" w:after="20" w:line="240" w:lineRule="auto"/>
              <w:rPr>
                <w:rFonts w:cs="Calibri"/>
                <w:sz w:val="20"/>
                <w:szCs w:val="20"/>
              </w:rPr>
            </w:pPr>
            <w:r w:rsidRPr="002C2818">
              <w:rPr>
                <w:rFonts w:cs="Calibri"/>
                <w:sz w:val="20"/>
                <w:szCs w:val="20"/>
              </w:rPr>
              <w:t>Estructuras de líneas y/o subestaciones</w:t>
            </w:r>
          </w:p>
        </w:tc>
        <w:tc>
          <w:tcPr>
            <w:tcW w:w="1276" w:type="dxa"/>
            <w:shd w:val="clear" w:color="auto" w:fill="auto"/>
            <w:vAlign w:val="center"/>
          </w:tcPr>
          <w:p w14:paraId="193A621E"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50</w:t>
            </w:r>
          </w:p>
        </w:tc>
      </w:tr>
      <w:tr w:rsidR="00E200DF" w:rsidRPr="002C2818" w14:paraId="7E618C72" w14:textId="77777777" w:rsidTr="000A0ACA">
        <w:trPr>
          <w:jc w:val="center"/>
        </w:trPr>
        <w:tc>
          <w:tcPr>
            <w:tcW w:w="577" w:type="dxa"/>
            <w:shd w:val="clear" w:color="auto" w:fill="auto"/>
            <w:vAlign w:val="center"/>
          </w:tcPr>
          <w:p w14:paraId="05396D94"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4</w:t>
            </w:r>
          </w:p>
        </w:tc>
        <w:tc>
          <w:tcPr>
            <w:tcW w:w="6799" w:type="dxa"/>
            <w:shd w:val="clear" w:color="auto" w:fill="auto"/>
            <w:vAlign w:val="center"/>
          </w:tcPr>
          <w:p w14:paraId="072D67D0" w14:textId="77777777" w:rsidR="00E200DF" w:rsidRPr="002C2818" w:rsidRDefault="00E200DF" w:rsidP="000A0ACA">
            <w:pPr>
              <w:spacing w:before="20" w:after="20" w:line="240" w:lineRule="auto"/>
              <w:rPr>
                <w:rFonts w:cs="Calibri"/>
                <w:sz w:val="20"/>
                <w:szCs w:val="20"/>
              </w:rPr>
            </w:pPr>
            <w:r w:rsidRPr="002C2818">
              <w:rPr>
                <w:rFonts w:cs="Calibri"/>
                <w:sz w:val="20"/>
                <w:szCs w:val="20"/>
              </w:rPr>
              <w:t>Elementos de sujeción y aislación</w:t>
            </w:r>
          </w:p>
        </w:tc>
        <w:tc>
          <w:tcPr>
            <w:tcW w:w="1276" w:type="dxa"/>
            <w:shd w:val="clear" w:color="auto" w:fill="auto"/>
            <w:vAlign w:val="center"/>
          </w:tcPr>
          <w:p w14:paraId="73F44E02"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30</w:t>
            </w:r>
          </w:p>
        </w:tc>
      </w:tr>
      <w:tr w:rsidR="00E200DF" w:rsidRPr="002C2818" w14:paraId="68714C44" w14:textId="77777777" w:rsidTr="000A0ACA">
        <w:trPr>
          <w:jc w:val="center"/>
        </w:trPr>
        <w:tc>
          <w:tcPr>
            <w:tcW w:w="577" w:type="dxa"/>
            <w:shd w:val="clear" w:color="auto" w:fill="auto"/>
            <w:vAlign w:val="center"/>
          </w:tcPr>
          <w:p w14:paraId="7F55FD00"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w:t>
            </w:r>
          </w:p>
        </w:tc>
        <w:tc>
          <w:tcPr>
            <w:tcW w:w="6799" w:type="dxa"/>
            <w:shd w:val="clear" w:color="auto" w:fill="auto"/>
            <w:vAlign w:val="center"/>
          </w:tcPr>
          <w:p w14:paraId="20D7F87D" w14:textId="77777777" w:rsidR="00E200DF" w:rsidRPr="002C2818" w:rsidRDefault="00E200DF" w:rsidP="000A0ACA">
            <w:pPr>
              <w:spacing w:before="20" w:after="20" w:line="240" w:lineRule="auto"/>
              <w:rPr>
                <w:rFonts w:cs="Calibri"/>
                <w:sz w:val="20"/>
                <w:szCs w:val="20"/>
              </w:rPr>
            </w:pPr>
            <w:r w:rsidRPr="002C2818">
              <w:rPr>
                <w:rFonts w:cs="Calibri"/>
                <w:sz w:val="20"/>
                <w:szCs w:val="20"/>
              </w:rPr>
              <w:t>Equipamiento electromecánico y electromagnético</w:t>
            </w:r>
          </w:p>
        </w:tc>
        <w:tc>
          <w:tcPr>
            <w:tcW w:w="1276" w:type="dxa"/>
            <w:shd w:val="clear" w:color="auto" w:fill="auto"/>
            <w:vAlign w:val="center"/>
          </w:tcPr>
          <w:p w14:paraId="1864A742"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40</w:t>
            </w:r>
          </w:p>
        </w:tc>
      </w:tr>
      <w:tr w:rsidR="00E200DF" w:rsidRPr="002C2818" w14:paraId="435670BD" w14:textId="77777777" w:rsidTr="000A0ACA">
        <w:trPr>
          <w:jc w:val="center"/>
        </w:trPr>
        <w:tc>
          <w:tcPr>
            <w:tcW w:w="577" w:type="dxa"/>
            <w:shd w:val="clear" w:color="auto" w:fill="auto"/>
            <w:vAlign w:val="center"/>
          </w:tcPr>
          <w:p w14:paraId="5D87BCDF"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6</w:t>
            </w:r>
          </w:p>
        </w:tc>
        <w:tc>
          <w:tcPr>
            <w:tcW w:w="6799" w:type="dxa"/>
            <w:shd w:val="clear" w:color="auto" w:fill="auto"/>
            <w:vAlign w:val="center"/>
          </w:tcPr>
          <w:p w14:paraId="3B658DA1" w14:textId="77777777" w:rsidR="00E200DF" w:rsidRPr="002C2818" w:rsidRDefault="00E200DF" w:rsidP="000A0ACA">
            <w:pPr>
              <w:spacing w:before="20" w:after="20" w:line="240" w:lineRule="auto"/>
              <w:rPr>
                <w:rFonts w:cs="Calibri"/>
                <w:sz w:val="20"/>
                <w:szCs w:val="20"/>
              </w:rPr>
            </w:pPr>
            <w:r w:rsidRPr="002C2818">
              <w:rPr>
                <w:rFonts w:cs="Calibri"/>
                <w:sz w:val="20"/>
                <w:szCs w:val="20"/>
              </w:rPr>
              <w:t>Conductores y cables de guardias</w:t>
            </w:r>
          </w:p>
        </w:tc>
        <w:tc>
          <w:tcPr>
            <w:tcW w:w="1276" w:type="dxa"/>
            <w:shd w:val="clear" w:color="auto" w:fill="auto"/>
            <w:vAlign w:val="center"/>
          </w:tcPr>
          <w:p w14:paraId="41F7326E"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50</w:t>
            </w:r>
          </w:p>
        </w:tc>
      </w:tr>
      <w:tr w:rsidR="00E200DF" w:rsidRPr="002C2818" w14:paraId="4B3506E5" w14:textId="77777777" w:rsidTr="000A0ACA">
        <w:trPr>
          <w:jc w:val="center"/>
        </w:trPr>
        <w:tc>
          <w:tcPr>
            <w:tcW w:w="577" w:type="dxa"/>
            <w:shd w:val="clear" w:color="auto" w:fill="auto"/>
            <w:vAlign w:val="center"/>
          </w:tcPr>
          <w:p w14:paraId="662FE723"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7</w:t>
            </w:r>
          </w:p>
        </w:tc>
        <w:tc>
          <w:tcPr>
            <w:tcW w:w="6799" w:type="dxa"/>
            <w:shd w:val="clear" w:color="auto" w:fill="auto"/>
            <w:vAlign w:val="center"/>
          </w:tcPr>
          <w:p w14:paraId="56C319CE" w14:textId="77777777" w:rsidR="00E200DF" w:rsidRPr="002C2818" w:rsidRDefault="00E200DF" w:rsidP="000A0ACA">
            <w:pPr>
              <w:spacing w:before="20" w:after="20" w:line="240" w:lineRule="auto"/>
              <w:rPr>
                <w:rFonts w:cs="Calibri"/>
                <w:sz w:val="20"/>
                <w:szCs w:val="20"/>
              </w:rPr>
            </w:pPr>
            <w:r w:rsidRPr="002C2818">
              <w:rPr>
                <w:rFonts w:cs="Calibri"/>
                <w:sz w:val="20"/>
                <w:szCs w:val="20"/>
              </w:rPr>
              <w:t>Protecciones electromecánicas y/o electromagnéticas</w:t>
            </w:r>
          </w:p>
        </w:tc>
        <w:tc>
          <w:tcPr>
            <w:tcW w:w="1276" w:type="dxa"/>
            <w:shd w:val="clear" w:color="auto" w:fill="auto"/>
            <w:vAlign w:val="center"/>
          </w:tcPr>
          <w:p w14:paraId="15C1E9DA"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20</w:t>
            </w:r>
          </w:p>
        </w:tc>
      </w:tr>
      <w:tr w:rsidR="00E200DF" w:rsidRPr="002C2818" w14:paraId="639AAEFC" w14:textId="77777777" w:rsidTr="000A0ACA">
        <w:trPr>
          <w:jc w:val="center"/>
        </w:trPr>
        <w:tc>
          <w:tcPr>
            <w:tcW w:w="577" w:type="dxa"/>
            <w:shd w:val="clear" w:color="auto" w:fill="auto"/>
            <w:vAlign w:val="center"/>
          </w:tcPr>
          <w:p w14:paraId="4C564998"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8</w:t>
            </w:r>
          </w:p>
        </w:tc>
        <w:tc>
          <w:tcPr>
            <w:tcW w:w="6799" w:type="dxa"/>
            <w:shd w:val="clear" w:color="auto" w:fill="auto"/>
            <w:vAlign w:val="center"/>
          </w:tcPr>
          <w:p w14:paraId="25523439" w14:textId="77777777" w:rsidR="00E200DF" w:rsidRPr="002C2818" w:rsidRDefault="00E200DF" w:rsidP="000A0ACA">
            <w:pPr>
              <w:spacing w:before="20" w:after="20" w:line="240" w:lineRule="auto"/>
              <w:rPr>
                <w:rFonts w:cs="Calibri"/>
                <w:sz w:val="20"/>
                <w:szCs w:val="20"/>
              </w:rPr>
            </w:pPr>
            <w:r w:rsidRPr="002C2818">
              <w:rPr>
                <w:rFonts w:cs="Calibri"/>
                <w:sz w:val="20"/>
                <w:szCs w:val="20"/>
              </w:rPr>
              <w:t>Protecciones digitales</w:t>
            </w:r>
          </w:p>
        </w:tc>
        <w:tc>
          <w:tcPr>
            <w:tcW w:w="1276" w:type="dxa"/>
            <w:shd w:val="clear" w:color="auto" w:fill="auto"/>
            <w:vAlign w:val="center"/>
          </w:tcPr>
          <w:p w14:paraId="5DAA26AD"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15</w:t>
            </w:r>
          </w:p>
        </w:tc>
      </w:tr>
      <w:tr w:rsidR="00E200DF" w:rsidRPr="002C2818" w14:paraId="27E1CCE8" w14:textId="77777777" w:rsidTr="000A0ACA">
        <w:trPr>
          <w:jc w:val="center"/>
        </w:trPr>
        <w:tc>
          <w:tcPr>
            <w:tcW w:w="577" w:type="dxa"/>
            <w:shd w:val="clear" w:color="auto" w:fill="auto"/>
            <w:vAlign w:val="center"/>
          </w:tcPr>
          <w:p w14:paraId="4037E837"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9</w:t>
            </w:r>
          </w:p>
        </w:tc>
        <w:tc>
          <w:tcPr>
            <w:tcW w:w="6799" w:type="dxa"/>
            <w:shd w:val="clear" w:color="auto" w:fill="auto"/>
            <w:vAlign w:val="center"/>
          </w:tcPr>
          <w:p w14:paraId="3BD46AAF" w14:textId="77777777" w:rsidR="00E200DF" w:rsidRPr="002C2818" w:rsidRDefault="00E200DF" w:rsidP="000A0ACA">
            <w:pPr>
              <w:spacing w:before="20" w:after="20" w:line="240" w:lineRule="auto"/>
              <w:rPr>
                <w:rFonts w:cs="Calibri"/>
                <w:sz w:val="20"/>
                <w:szCs w:val="20"/>
              </w:rPr>
            </w:pPr>
            <w:r w:rsidRPr="002C2818">
              <w:rPr>
                <w:rFonts w:cs="Calibri"/>
                <w:sz w:val="20"/>
                <w:szCs w:val="20"/>
              </w:rPr>
              <w:t>Equipos de control, telecomando, medición, comunicaciones y respaldo</w:t>
            </w:r>
          </w:p>
        </w:tc>
        <w:tc>
          <w:tcPr>
            <w:tcW w:w="1276" w:type="dxa"/>
            <w:shd w:val="clear" w:color="auto" w:fill="auto"/>
            <w:vAlign w:val="center"/>
          </w:tcPr>
          <w:p w14:paraId="5F0D9A35"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10</w:t>
            </w:r>
          </w:p>
        </w:tc>
      </w:tr>
      <w:tr w:rsidR="00E200DF" w:rsidRPr="002C2818" w14:paraId="6845DA26" w14:textId="77777777" w:rsidTr="000A0ACA">
        <w:trPr>
          <w:jc w:val="center"/>
        </w:trPr>
        <w:tc>
          <w:tcPr>
            <w:tcW w:w="577" w:type="dxa"/>
            <w:shd w:val="clear" w:color="auto" w:fill="auto"/>
            <w:vAlign w:val="center"/>
          </w:tcPr>
          <w:p w14:paraId="1C7E981B"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10</w:t>
            </w:r>
          </w:p>
        </w:tc>
        <w:tc>
          <w:tcPr>
            <w:tcW w:w="6799" w:type="dxa"/>
            <w:shd w:val="clear" w:color="auto" w:fill="auto"/>
            <w:vAlign w:val="center"/>
          </w:tcPr>
          <w:p w14:paraId="3F9E03A6" w14:textId="77777777" w:rsidR="00E200DF" w:rsidRPr="002C2818" w:rsidRDefault="00E200DF" w:rsidP="000A0ACA">
            <w:pPr>
              <w:spacing w:before="20" w:after="20" w:line="240" w:lineRule="auto"/>
              <w:rPr>
                <w:rFonts w:cs="Calibri"/>
                <w:sz w:val="20"/>
                <w:szCs w:val="20"/>
              </w:rPr>
            </w:pPr>
            <w:r w:rsidRPr="002C2818">
              <w:rPr>
                <w:rFonts w:cs="Calibri"/>
                <w:sz w:val="20"/>
                <w:szCs w:val="20"/>
              </w:rPr>
              <w:t>Otros elementos secundarios de subestaciones o radioestaciones</w:t>
            </w:r>
          </w:p>
        </w:tc>
        <w:tc>
          <w:tcPr>
            <w:tcW w:w="1276" w:type="dxa"/>
            <w:shd w:val="clear" w:color="auto" w:fill="auto"/>
            <w:vAlign w:val="center"/>
          </w:tcPr>
          <w:p w14:paraId="2BFEC7DB"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40</w:t>
            </w:r>
          </w:p>
        </w:tc>
      </w:tr>
      <w:tr w:rsidR="00E200DF" w:rsidRPr="002C2818" w14:paraId="347857DC" w14:textId="77777777" w:rsidTr="000A0ACA">
        <w:trPr>
          <w:jc w:val="center"/>
        </w:trPr>
        <w:tc>
          <w:tcPr>
            <w:tcW w:w="577" w:type="dxa"/>
            <w:shd w:val="clear" w:color="auto" w:fill="auto"/>
            <w:vAlign w:val="center"/>
          </w:tcPr>
          <w:p w14:paraId="5ACEC97B"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11</w:t>
            </w:r>
          </w:p>
        </w:tc>
        <w:tc>
          <w:tcPr>
            <w:tcW w:w="6799" w:type="dxa"/>
            <w:shd w:val="clear" w:color="auto" w:fill="auto"/>
            <w:vAlign w:val="center"/>
          </w:tcPr>
          <w:p w14:paraId="4A14602E" w14:textId="77777777" w:rsidR="00E200DF" w:rsidRPr="002C2818" w:rsidRDefault="00E200DF" w:rsidP="000A0ACA">
            <w:pPr>
              <w:spacing w:before="20" w:after="20" w:line="240" w:lineRule="auto"/>
              <w:rPr>
                <w:rFonts w:cs="Calibri"/>
                <w:sz w:val="20"/>
                <w:szCs w:val="20"/>
              </w:rPr>
            </w:pPr>
            <w:r w:rsidRPr="002C2818">
              <w:rPr>
                <w:rFonts w:cs="Calibri"/>
                <w:sz w:val="20"/>
                <w:szCs w:val="20"/>
              </w:rPr>
              <w:t>Bienes inmuebles distintos a terrenos</w:t>
            </w:r>
          </w:p>
        </w:tc>
        <w:tc>
          <w:tcPr>
            <w:tcW w:w="1276" w:type="dxa"/>
            <w:shd w:val="clear" w:color="auto" w:fill="auto"/>
            <w:vAlign w:val="center"/>
          </w:tcPr>
          <w:p w14:paraId="0ABA9F27"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50</w:t>
            </w:r>
          </w:p>
        </w:tc>
      </w:tr>
      <w:tr w:rsidR="00E200DF" w:rsidRPr="002C2818" w14:paraId="2C9860CB" w14:textId="77777777" w:rsidTr="000A0ACA">
        <w:trPr>
          <w:jc w:val="center"/>
        </w:trPr>
        <w:tc>
          <w:tcPr>
            <w:tcW w:w="577" w:type="dxa"/>
            <w:shd w:val="clear" w:color="auto" w:fill="auto"/>
            <w:vAlign w:val="center"/>
          </w:tcPr>
          <w:p w14:paraId="07CF71B6"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12</w:t>
            </w:r>
          </w:p>
        </w:tc>
        <w:tc>
          <w:tcPr>
            <w:tcW w:w="6799" w:type="dxa"/>
            <w:shd w:val="clear" w:color="auto" w:fill="auto"/>
            <w:vAlign w:val="center"/>
          </w:tcPr>
          <w:p w14:paraId="3C49FDFA" w14:textId="77777777" w:rsidR="00E200DF" w:rsidRPr="002C2818" w:rsidRDefault="00E200DF" w:rsidP="000A0ACA">
            <w:pPr>
              <w:spacing w:before="20" w:after="20" w:line="240" w:lineRule="auto"/>
              <w:rPr>
                <w:rFonts w:cs="Calibri"/>
                <w:sz w:val="20"/>
                <w:szCs w:val="20"/>
              </w:rPr>
            </w:pPr>
            <w:r w:rsidRPr="002C2818">
              <w:rPr>
                <w:rFonts w:cs="Calibri"/>
                <w:sz w:val="20"/>
                <w:szCs w:val="20"/>
              </w:rPr>
              <w:t>Equipamiento de operación y mantenimiento no fungible</w:t>
            </w:r>
          </w:p>
        </w:tc>
        <w:tc>
          <w:tcPr>
            <w:tcW w:w="1276" w:type="dxa"/>
            <w:shd w:val="clear" w:color="auto" w:fill="auto"/>
            <w:vAlign w:val="center"/>
          </w:tcPr>
          <w:p w14:paraId="7DA135C2"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15</w:t>
            </w:r>
          </w:p>
        </w:tc>
      </w:tr>
      <w:tr w:rsidR="00E200DF" w:rsidRPr="002C2818" w14:paraId="7DAD3B78" w14:textId="77777777" w:rsidTr="000A0ACA">
        <w:trPr>
          <w:jc w:val="center"/>
        </w:trPr>
        <w:tc>
          <w:tcPr>
            <w:tcW w:w="577" w:type="dxa"/>
            <w:shd w:val="clear" w:color="auto" w:fill="auto"/>
            <w:vAlign w:val="center"/>
          </w:tcPr>
          <w:p w14:paraId="6CC61566"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13</w:t>
            </w:r>
          </w:p>
        </w:tc>
        <w:tc>
          <w:tcPr>
            <w:tcW w:w="6799" w:type="dxa"/>
            <w:shd w:val="clear" w:color="auto" w:fill="auto"/>
            <w:vAlign w:val="center"/>
          </w:tcPr>
          <w:p w14:paraId="062FD91A" w14:textId="77777777" w:rsidR="00E200DF" w:rsidRPr="002C2818" w:rsidRDefault="00E200DF" w:rsidP="000A0ACA">
            <w:pPr>
              <w:spacing w:before="20" w:after="20" w:line="240" w:lineRule="auto"/>
              <w:rPr>
                <w:rFonts w:cs="Calibri"/>
                <w:sz w:val="20"/>
                <w:szCs w:val="20"/>
              </w:rPr>
            </w:pPr>
            <w:r w:rsidRPr="002C2818">
              <w:rPr>
                <w:rFonts w:cs="Calibri"/>
                <w:sz w:val="20"/>
                <w:szCs w:val="20"/>
              </w:rPr>
              <w:t>Equipamiento de oficina no fungible</w:t>
            </w:r>
          </w:p>
        </w:tc>
        <w:tc>
          <w:tcPr>
            <w:tcW w:w="1276" w:type="dxa"/>
            <w:shd w:val="clear" w:color="auto" w:fill="auto"/>
            <w:vAlign w:val="center"/>
          </w:tcPr>
          <w:p w14:paraId="74A87569"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15</w:t>
            </w:r>
          </w:p>
        </w:tc>
      </w:tr>
      <w:tr w:rsidR="00E200DF" w:rsidRPr="002C2818" w14:paraId="6D3F154C" w14:textId="77777777" w:rsidTr="000A0ACA">
        <w:trPr>
          <w:jc w:val="center"/>
        </w:trPr>
        <w:tc>
          <w:tcPr>
            <w:tcW w:w="577" w:type="dxa"/>
            <w:shd w:val="clear" w:color="auto" w:fill="auto"/>
            <w:vAlign w:val="center"/>
          </w:tcPr>
          <w:p w14:paraId="79CF7462"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14</w:t>
            </w:r>
          </w:p>
        </w:tc>
        <w:tc>
          <w:tcPr>
            <w:tcW w:w="6799" w:type="dxa"/>
            <w:shd w:val="clear" w:color="auto" w:fill="auto"/>
            <w:vAlign w:val="center"/>
          </w:tcPr>
          <w:p w14:paraId="26B0D54E" w14:textId="77777777" w:rsidR="00E200DF" w:rsidRPr="002C2818" w:rsidRDefault="00E200DF" w:rsidP="000A0ACA">
            <w:pPr>
              <w:spacing w:before="20" w:after="20" w:line="240" w:lineRule="auto"/>
              <w:rPr>
                <w:rFonts w:cs="Calibri"/>
                <w:sz w:val="20"/>
                <w:szCs w:val="20"/>
              </w:rPr>
            </w:pPr>
            <w:r w:rsidRPr="002C2818">
              <w:rPr>
                <w:rFonts w:cs="Calibri"/>
                <w:sz w:val="20"/>
                <w:szCs w:val="20"/>
              </w:rPr>
              <w:t>Equipamiento computacional y sistemas de vigilancia</w:t>
            </w:r>
          </w:p>
        </w:tc>
        <w:tc>
          <w:tcPr>
            <w:tcW w:w="1276" w:type="dxa"/>
            <w:shd w:val="clear" w:color="auto" w:fill="auto"/>
            <w:vAlign w:val="center"/>
          </w:tcPr>
          <w:p w14:paraId="68F3D4FE"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w:t>
            </w:r>
          </w:p>
        </w:tc>
      </w:tr>
      <w:tr w:rsidR="00E200DF" w:rsidRPr="002C2818" w14:paraId="2580C740" w14:textId="77777777" w:rsidTr="000A0ACA">
        <w:trPr>
          <w:jc w:val="center"/>
        </w:trPr>
        <w:tc>
          <w:tcPr>
            <w:tcW w:w="577" w:type="dxa"/>
            <w:shd w:val="clear" w:color="auto" w:fill="auto"/>
            <w:vAlign w:val="center"/>
          </w:tcPr>
          <w:p w14:paraId="2820FC92"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15</w:t>
            </w:r>
          </w:p>
        </w:tc>
        <w:tc>
          <w:tcPr>
            <w:tcW w:w="6799" w:type="dxa"/>
            <w:shd w:val="clear" w:color="auto" w:fill="auto"/>
            <w:vAlign w:val="center"/>
          </w:tcPr>
          <w:p w14:paraId="14863F8A" w14:textId="77777777" w:rsidR="00E200DF" w:rsidRPr="002C2818" w:rsidRDefault="00E200DF" w:rsidP="000A0ACA">
            <w:pPr>
              <w:spacing w:before="20" w:after="20" w:line="240" w:lineRule="auto"/>
              <w:rPr>
                <w:rFonts w:cs="Calibri"/>
                <w:sz w:val="20"/>
                <w:szCs w:val="20"/>
              </w:rPr>
            </w:pPr>
            <w:r w:rsidRPr="002C2818">
              <w:rPr>
                <w:rFonts w:cs="Calibri"/>
                <w:sz w:val="20"/>
                <w:szCs w:val="20"/>
              </w:rPr>
              <w:t>Vehículos</w:t>
            </w:r>
          </w:p>
        </w:tc>
        <w:tc>
          <w:tcPr>
            <w:tcW w:w="1276" w:type="dxa"/>
            <w:shd w:val="clear" w:color="auto" w:fill="auto"/>
            <w:vAlign w:val="center"/>
          </w:tcPr>
          <w:p w14:paraId="7D404415" w14:textId="77777777" w:rsidR="00E200DF" w:rsidRPr="002C2818" w:rsidRDefault="00E200DF" w:rsidP="000A0ACA">
            <w:pPr>
              <w:spacing w:before="20" w:after="20" w:line="240" w:lineRule="auto"/>
              <w:jc w:val="center"/>
              <w:rPr>
                <w:rFonts w:cs="Calibri"/>
                <w:sz w:val="20"/>
                <w:szCs w:val="20"/>
              </w:rPr>
            </w:pPr>
            <w:r w:rsidRPr="002C2818">
              <w:rPr>
                <w:rFonts w:cs="Calibri"/>
                <w:sz w:val="20"/>
                <w:szCs w:val="20"/>
              </w:rPr>
              <w:t>5</w:t>
            </w:r>
          </w:p>
        </w:tc>
      </w:tr>
    </w:tbl>
    <w:p w14:paraId="5868B233" w14:textId="77777777" w:rsidR="00E200DF" w:rsidRDefault="00E200DF" w:rsidP="00E200DF">
      <w:pPr>
        <w:spacing w:after="0"/>
      </w:pPr>
    </w:p>
    <w:p w14:paraId="43892119" w14:textId="77777777" w:rsidR="00E200DF" w:rsidRDefault="00E200DF" w:rsidP="00E200DF">
      <w:pPr>
        <w:spacing w:after="0"/>
      </w:pPr>
    </w:p>
    <w:p w14:paraId="7EC79C5D" w14:textId="77777777" w:rsidR="00E200DF" w:rsidRDefault="00E200DF" w:rsidP="00E200DF">
      <w:pPr>
        <w:spacing w:after="0"/>
      </w:pPr>
      <w:r>
        <w:t xml:space="preserve">Se observa en el itemizado indicado en </w:t>
      </w:r>
      <w:r w:rsidR="001B7076">
        <w:t>este</w:t>
      </w:r>
      <w:r>
        <w:t xml:space="preserve"> cuadro que los activos 11 a 15 corresponden a </w:t>
      </w:r>
      <w:r w:rsidR="000A0ACA">
        <w:t>inversiones</w:t>
      </w:r>
      <w:r>
        <w:t xml:space="preserve"> que sustenta</w:t>
      </w:r>
      <w:r w:rsidR="000A0ACA">
        <w:t>n</w:t>
      </w:r>
      <w:r>
        <w:t xml:space="preserve"> actividades de operación, mantenimiento y administración, es decir, corresponden a recursos asignables al C.O.M.A. del tramo respectivo, y por lo tanto, conforme </w:t>
      </w:r>
      <w:r w:rsidR="000A0ACA">
        <w:t xml:space="preserve">lo instruido en </w:t>
      </w:r>
      <w:r>
        <w:t xml:space="preserve">las Bases, </w:t>
      </w:r>
      <w:r w:rsidR="000A0ACA">
        <w:t>debe</w:t>
      </w:r>
      <w:r>
        <w:t xml:space="preserve"> establecerse para ellas el correspondiente ajuste por efecto de impuesto a la renta.</w:t>
      </w:r>
    </w:p>
    <w:p w14:paraId="4AC68549" w14:textId="77777777" w:rsidR="00E200DF" w:rsidRDefault="00E200DF" w:rsidP="00E200DF">
      <w:pPr>
        <w:spacing w:after="0"/>
      </w:pPr>
    </w:p>
    <w:p w14:paraId="3CF411C5" w14:textId="77777777" w:rsidR="00E200DF" w:rsidRDefault="000A0ACA" w:rsidP="00E200DF">
      <w:pPr>
        <w:spacing w:after="0"/>
      </w:pPr>
      <w:r>
        <w:t>De este modo</w:t>
      </w:r>
      <w:r w:rsidR="00E200DF">
        <w:t>, el V.A.T.T de cada tramo “j” resultará de hacer la siguiente suma:</w:t>
      </w:r>
    </w:p>
    <w:p w14:paraId="7A5A7AA5" w14:textId="77777777" w:rsidR="00E200DF" w:rsidRDefault="00E200DF" w:rsidP="00E200DF">
      <w:pPr>
        <w:spacing w:after="0"/>
      </w:pPr>
    </w:p>
    <w:p w14:paraId="7C20021A" w14:textId="77777777" w:rsidR="00E200DF" w:rsidRDefault="00F5226B" w:rsidP="00E200DF">
      <w:pPr>
        <w:spacing w:after="0"/>
      </w:pPr>
      <m:oMathPara>
        <m:oMath>
          <m:sSub>
            <m:sSubPr>
              <m:ctrlPr>
                <w:rPr>
                  <w:rFonts w:ascii="Cambria Math" w:hAnsi="Cambria Math"/>
                  <w:i/>
                </w:rPr>
              </m:ctrlPr>
            </m:sSubPr>
            <m:e>
              <m:r>
                <w:rPr>
                  <w:rFonts w:ascii="Cambria Math" w:hAnsi="Cambria Math"/>
                </w:rPr>
                <m:t>VATT</m:t>
              </m:r>
            </m:e>
            <m:sub>
              <m:r>
                <w:rPr>
                  <w:rFonts w:ascii="Cambria Math" w:hAnsi="Cambria Math"/>
                </w:rPr>
                <m:t>j</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10</m:t>
              </m:r>
            </m:sup>
            <m:e>
              <m:sSub>
                <m:sSubPr>
                  <m:ctrlPr>
                    <w:rPr>
                      <w:rFonts w:ascii="Cambria Math" w:hAnsi="Cambria Math"/>
                      <w:i/>
                    </w:rPr>
                  </m:ctrlPr>
                </m:sSubPr>
                <m:e>
                  <m:r>
                    <w:rPr>
                      <w:rFonts w:ascii="Cambria Math" w:hAnsi="Cambria Math"/>
                    </w:rPr>
                    <m:t>frc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VI</m:t>
                  </m:r>
                </m:e>
                <m:sub>
                  <m:r>
                    <w:rPr>
                      <w:rFonts w:ascii="Cambria Math" w:hAnsi="Cambria Math"/>
                    </w:rPr>
                    <m:t>ij</m:t>
                  </m:r>
                </m:sub>
                <m:sup>
                  <m:r>
                    <w:rPr>
                      <w:rFonts w:ascii="Cambria Math" w:hAnsi="Cambria Math"/>
                    </w:rPr>
                    <m:t>elect</m:t>
                  </m:r>
                </m:sup>
              </m:sSubSup>
              <m:r>
                <w:rPr>
                  <w:rFonts w:ascii="Cambria Math" w:hAnsi="Cambria Math"/>
                </w:rPr>
                <m:t>+</m:t>
              </m:r>
            </m:e>
          </m:nary>
          <m:nary>
            <m:naryPr>
              <m:chr m:val="∑"/>
              <m:limLoc m:val="undOvr"/>
              <m:ctrlPr>
                <w:rPr>
                  <w:rFonts w:ascii="Cambria Math" w:hAnsi="Cambria Math"/>
                  <w:i/>
                </w:rPr>
              </m:ctrlPr>
            </m:naryPr>
            <m:sub>
              <m:r>
                <w:rPr>
                  <w:rFonts w:ascii="Cambria Math" w:hAnsi="Cambria Math"/>
                </w:rPr>
                <m:t>i=11</m:t>
              </m:r>
            </m:sub>
            <m:sup>
              <m:r>
                <w:rPr>
                  <w:rFonts w:ascii="Cambria Math" w:hAnsi="Cambria Math"/>
                </w:rPr>
                <m:t>15</m:t>
              </m:r>
            </m:sup>
            <m:e>
              <m:sSub>
                <m:sSubPr>
                  <m:ctrlPr>
                    <w:rPr>
                      <w:rFonts w:ascii="Cambria Math" w:hAnsi="Cambria Math"/>
                      <w:i/>
                    </w:rPr>
                  </m:ctrlPr>
                </m:sSubPr>
                <m:e>
                  <m:r>
                    <w:rPr>
                      <w:rFonts w:ascii="Cambria Math" w:hAnsi="Cambria Math"/>
                    </w:rPr>
                    <m:t>frc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VI</m:t>
                  </m:r>
                </m:e>
                <m:sub>
                  <m:r>
                    <w:rPr>
                      <w:rFonts w:ascii="Cambria Math" w:hAnsi="Cambria Math"/>
                    </w:rPr>
                    <m:t>ij</m:t>
                  </m:r>
                </m:sub>
                <m:sup>
                  <m:r>
                    <w:rPr>
                      <w:rFonts w:ascii="Cambria Math" w:hAnsi="Cambria Math"/>
                    </w:rPr>
                    <m:t>coma</m:t>
                  </m:r>
                </m:sup>
              </m:sSubSup>
            </m:e>
          </m:nary>
          <m:r>
            <w:rPr>
              <w:rFonts w:ascii="Cambria Math" w:hAnsi="Cambria Math"/>
            </w:rPr>
            <m:t>+</m:t>
          </m:r>
          <m:sSubSup>
            <m:sSubSupPr>
              <m:ctrlPr>
                <w:rPr>
                  <w:rFonts w:ascii="Cambria Math" w:hAnsi="Cambria Math"/>
                  <w:i/>
                </w:rPr>
              </m:ctrlPr>
            </m:sSubSupPr>
            <m:e>
              <m:r>
                <w:rPr>
                  <w:rFonts w:ascii="Cambria Math" w:hAnsi="Cambria Math"/>
                </w:rPr>
                <m:t>COMA</m:t>
              </m:r>
            </m:e>
            <m:sub>
              <m:r>
                <w:rPr>
                  <w:rFonts w:ascii="Cambria Math" w:hAnsi="Cambria Math"/>
                </w:rPr>
                <m:t>j</m:t>
              </m:r>
            </m:sub>
            <m:sup>
              <m:r>
                <w:rPr>
                  <w:rFonts w:ascii="Cambria Math" w:hAnsi="Cambria Math"/>
                </w:rPr>
                <m:t>gastos</m:t>
              </m:r>
            </m:sup>
          </m:sSubSup>
          <m:r>
            <w:rPr>
              <w:rFonts w:ascii="Cambria Math" w:hAnsi="Cambria Math"/>
            </w:rPr>
            <m:t>+</m:t>
          </m:r>
        </m:oMath>
      </m:oMathPara>
    </w:p>
    <w:p w14:paraId="72FD8A84" w14:textId="77777777" w:rsidR="00E200DF" w:rsidRDefault="00E200DF" w:rsidP="00E200DF">
      <w:pPr>
        <w:spacing w:after="0"/>
      </w:pPr>
    </w:p>
    <w:p w14:paraId="03B7D986" w14:textId="77777777" w:rsidR="00E200DF" w:rsidRDefault="00F5226B" w:rsidP="00E200DF">
      <w:pPr>
        <w:spacing w:after="0"/>
      </w:pPr>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10</m:t>
              </m:r>
            </m:sup>
            <m:e>
              <m:sSubSup>
                <m:sSubSupPr>
                  <m:ctrlPr>
                    <w:rPr>
                      <w:rFonts w:ascii="Cambria Math" w:hAnsi="Cambria Math"/>
                      <w:i/>
                    </w:rPr>
                  </m:ctrlPr>
                </m:sSubSupPr>
                <m:e>
                  <m:r>
                    <w:rPr>
                      <w:rFonts w:ascii="Cambria Math" w:hAnsi="Cambria Math"/>
                    </w:rPr>
                    <m:t>AEIR_VI</m:t>
                  </m:r>
                </m:e>
                <m:sub>
                  <m:r>
                    <w:rPr>
                      <w:rFonts w:ascii="Cambria Math" w:hAnsi="Cambria Math"/>
                    </w:rPr>
                    <m:t>ij</m:t>
                  </m:r>
                </m:sub>
                <m:sup>
                  <m:r>
                    <w:rPr>
                      <w:rFonts w:ascii="Cambria Math" w:hAnsi="Cambria Math"/>
                    </w:rPr>
                    <m:t>elect</m:t>
                  </m:r>
                </m:sup>
              </m:sSubSup>
              <m:r>
                <w:rPr>
                  <w:rFonts w:ascii="Cambria Math" w:hAnsi="Cambria Math"/>
                </w:rPr>
                <m:t>+</m:t>
              </m:r>
            </m:e>
          </m:nary>
          <m:nary>
            <m:naryPr>
              <m:chr m:val="∑"/>
              <m:limLoc m:val="undOvr"/>
              <m:ctrlPr>
                <w:rPr>
                  <w:rFonts w:ascii="Cambria Math" w:hAnsi="Cambria Math"/>
                  <w:i/>
                </w:rPr>
              </m:ctrlPr>
            </m:naryPr>
            <m:sub>
              <m:r>
                <w:rPr>
                  <w:rFonts w:ascii="Cambria Math" w:hAnsi="Cambria Math"/>
                </w:rPr>
                <m:t>i=11</m:t>
              </m:r>
            </m:sub>
            <m:sup>
              <m:r>
                <w:rPr>
                  <w:rFonts w:ascii="Cambria Math" w:hAnsi="Cambria Math"/>
                </w:rPr>
                <m:t>15</m:t>
              </m:r>
            </m:sup>
            <m:e>
              <m:r>
                <w:rPr>
                  <w:rFonts w:ascii="Cambria Math" w:hAnsi="Cambria Math"/>
                </w:rPr>
                <m:t>AEIR_</m:t>
              </m:r>
              <m:sSubSup>
                <m:sSubSupPr>
                  <m:ctrlPr>
                    <w:rPr>
                      <w:rFonts w:ascii="Cambria Math" w:hAnsi="Cambria Math"/>
                      <w:i/>
                    </w:rPr>
                  </m:ctrlPr>
                </m:sSubSupPr>
                <m:e>
                  <m:r>
                    <w:rPr>
                      <w:rFonts w:ascii="Cambria Math" w:hAnsi="Cambria Math"/>
                    </w:rPr>
                    <m:t>VI</m:t>
                  </m:r>
                </m:e>
                <m:sub>
                  <m:r>
                    <w:rPr>
                      <w:rFonts w:ascii="Cambria Math" w:hAnsi="Cambria Math"/>
                    </w:rPr>
                    <m:t>ij</m:t>
                  </m:r>
                </m:sub>
                <m:sup>
                  <m:r>
                    <w:rPr>
                      <w:rFonts w:ascii="Cambria Math" w:hAnsi="Cambria Math"/>
                    </w:rPr>
                    <m:t>coma</m:t>
                  </m:r>
                </m:sup>
              </m:sSubSup>
            </m:e>
          </m:nary>
        </m:oMath>
      </m:oMathPara>
    </w:p>
    <w:p w14:paraId="3F20AEFD" w14:textId="77777777" w:rsidR="00E200DF" w:rsidRDefault="00E200DF" w:rsidP="00E200DF">
      <w:pPr>
        <w:spacing w:after="0"/>
      </w:pPr>
    </w:p>
    <w:p w14:paraId="63E5FA6C" w14:textId="77777777" w:rsidR="00E200DF" w:rsidRDefault="006F6EED" w:rsidP="00E200DF">
      <w:pPr>
        <w:spacing w:after="0"/>
      </w:pPr>
      <w:r>
        <w:t>c</w:t>
      </w:r>
      <w:r w:rsidR="000A0ACA">
        <w:t>on</w:t>
      </w:r>
    </w:p>
    <w:p w14:paraId="08C4EB43" w14:textId="77777777" w:rsidR="000A0ACA" w:rsidRDefault="000A0ACA" w:rsidP="00E200DF">
      <w:pPr>
        <w:spacing w:after="0"/>
      </w:pPr>
    </w:p>
    <w:p w14:paraId="05821DA5" w14:textId="77777777" w:rsidR="000A0ACA" w:rsidRDefault="00F5226B" w:rsidP="00E200DF">
      <w:pPr>
        <w:spacing w:after="0"/>
      </w:pPr>
      <m:oMathPara>
        <m:oMath>
          <m:sSub>
            <m:sSubPr>
              <m:ctrlPr>
                <w:rPr>
                  <w:rFonts w:ascii="Cambria Math" w:hAnsi="Cambria Math"/>
                  <w:i/>
                </w:rPr>
              </m:ctrlPr>
            </m:sSubPr>
            <m:e>
              <m:r>
                <w:rPr>
                  <w:rFonts w:ascii="Cambria Math" w:hAnsi="Cambria Math"/>
                </w:rPr>
                <m:t>COMA</m:t>
              </m:r>
            </m:e>
            <m:sub>
              <m:r>
                <w:rPr>
                  <w:rFonts w:ascii="Cambria Math" w:hAnsi="Cambria Math"/>
                </w:rPr>
                <m:t>j</m:t>
              </m:r>
            </m:sub>
          </m:sSub>
          <m:r>
            <w:rPr>
              <w:rFonts w:ascii="Cambria Math" w:hAnsi="Cambria Math"/>
            </w:rPr>
            <m:t>=</m:t>
          </m:r>
          <m:nary>
            <m:naryPr>
              <m:chr m:val="∑"/>
              <m:limLoc m:val="undOvr"/>
              <m:ctrlPr>
                <w:rPr>
                  <w:rFonts w:ascii="Cambria Math" w:hAnsi="Cambria Math"/>
                  <w:i/>
                </w:rPr>
              </m:ctrlPr>
            </m:naryPr>
            <m:sub>
              <m:r>
                <w:rPr>
                  <w:rFonts w:ascii="Cambria Math" w:hAnsi="Cambria Math"/>
                </w:rPr>
                <m:t>i=11</m:t>
              </m:r>
            </m:sub>
            <m:sup>
              <m:r>
                <w:rPr>
                  <w:rFonts w:ascii="Cambria Math" w:hAnsi="Cambria Math"/>
                </w:rPr>
                <m:t>15</m:t>
              </m:r>
            </m:sup>
            <m:e>
              <m:sSub>
                <m:sSubPr>
                  <m:ctrlPr>
                    <w:rPr>
                      <w:rFonts w:ascii="Cambria Math" w:hAnsi="Cambria Math"/>
                      <w:i/>
                    </w:rPr>
                  </m:ctrlPr>
                </m:sSubPr>
                <m:e>
                  <m:r>
                    <w:rPr>
                      <w:rFonts w:ascii="Cambria Math" w:hAnsi="Cambria Math"/>
                    </w:rPr>
                    <m:t>frc</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VI</m:t>
                  </m:r>
                </m:e>
                <m:sub>
                  <m:r>
                    <w:rPr>
                      <w:rFonts w:ascii="Cambria Math" w:hAnsi="Cambria Math"/>
                    </w:rPr>
                    <m:t>ij</m:t>
                  </m:r>
                </m:sub>
                <m:sup>
                  <m:r>
                    <w:rPr>
                      <w:rFonts w:ascii="Cambria Math" w:hAnsi="Cambria Math"/>
                    </w:rPr>
                    <m:t>coma</m:t>
                  </m:r>
                </m:sup>
              </m:sSubSup>
            </m:e>
          </m:nary>
          <m:r>
            <w:rPr>
              <w:rFonts w:ascii="Cambria Math" w:hAnsi="Cambria Math"/>
            </w:rPr>
            <m:t>+</m:t>
          </m:r>
          <m:sSubSup>
            <m:sSubSupPr>
              <m:ctrlPr>
                <w:rPr>
                  <w:rFonts w:ascii="Cambria Math" w:hAnsi="Cambria Math"/>
                  <w:i/>
                </w:rPr>
              </m:ctrlPr>
            </m:sSubSupPr>
            <m:e>
              <m:r>
                <w:rPr>
                  <w:rFonts w:ascii="Cambria Math" w:hAnsi="Cambria Math"/>
                </w:rPr>
                <m:t>COMA</m:t>
              </m:r>
            </m:e>
            <m:sub>
              <m:r>
                <w:rPr>
                  <w:rFonts w:ascii="Cambria Math" w:hAnsi="Cambria Math"/>
                </w:rPr>
                <m:t>j</m:t>
              </m:r>
            </m:sub>
            <m:sup>
              <m:r>
                <w:rPr>
                  <w:rFonts w:ascii="Cambria Math" w:hAnsi="Cambria Math"/>
                </w:rPr>
                <m:t>gastos</m:t>
              </m:r>
            </m:sup>
          </m:sSubSup>
        </m:oMath>
      </m:oMathPara>
    </w:p>
    <w:p w14:paraId="6BB7EE2C" w14:textId="77777777" w:rsidR="000A0ACA" w:rsidRDefault="000A0ACA" w:rsidP="00E200DF">
      <w:pPr>
        <w:spacing w:after="0"/>
      </w:pPr>
    </w:p>
    <w:p w14:paraId="0A3906C6" w14:textId="77777777" w:rsidR="000A0ACA" w:rsidRDefault="000A0ACA" w:rsidP="00E200DF">
      <w:pPr>
        <w:spacing w:after="0"/>
      </w:pPr>
    </w:p>
    <w:p w14:paraId="48C585EA" w14:textId="77777777" w:rsidR="000A0ACA" w:rsidRDefault="000A0ACA" w:rsidP="00E200DF">
      <w:pPr>
        <w:spacing w:after="0"/>
      </w:pPr>
    </w:p>
    <w:p w14:paraId="5CAF2D62" w14:textId="77777777" w:rsidR="00E200DF" w:rsidRDefault="00E200DF" w:rsidP="00E200DF">
      <w:pPr>
        <w:spacing w:after="0"/>
      </w:pPr>
      <w:r>
        <w:t xml:space="preserve">Donde </w:t>
      </w:r>
    </w:p>
    <w:p w14:paraId="476CFE77" w14:textId="77777777" w:rsidR="00F04B20" w:rsidRDefault="00F04B20" w:rsidP="00E200DF">
      <w:pPr>
        <w:spacing w:after="0"/>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984"/>
      </w:tblGrid>
      <w:tr w:rsidR="00F04B20" w14:paraId="0CEF47F6" w14:textId="77777777" w:rsidTr="00F04B20">
        <w:tc>
          <w:tcPr>
            <w:tcW w:w="1696" w:type="dxa"/>
          </w:tcPr>
          <w:p w14:paraId="3B6AEA5B" w14:textId="77777777" w:rsidR="00F04B20" w:rsidRDefault="00F04B20" w:rsidP="00E200DF">
            <w:pPr>
              <w:spacing w:after="0"/>
            </w:pPr>
            <w:r>
              <w:t>VI</w:t>
            </w:r>
            <w:r w:rsidRPr="00405B63">
              <w:rPr>
                <w:vertAlign w:val="subscript"/>
              </w:rPr>
              <w:t>ij</w:t>
            </w:r>
            <w:r w:rsidRPr="00405B63">
              <w:rPr>
                <w:vertAlign w:val="superscript"/>
              </w:rPr>
              <w:t>elect</w:t>
            </w:r>
            <w:r>
              <w:rPr>
                <w:vertAlign w:val="superscript"/>
              </w:rPr>
              <w:t xml:space="preserve">                  </w:t>
            </w:r>
            <w:r w:rsidRPr="00F04B20">
              <w:t>:</w:t>
            </w:r>
          </w:p>
        </w:tc>
        <w:tc>
          <w:tcPr>
            <w:tcW w:w="7984" w:type="dxa"/>
          </w:tcPr>
          <w:p w14:paraId="0FAD77B5" w14:textId="77777777" w:rsidR="00F04B20" w:rsidRDefault="00F04B20" w:rsidP="00E200DF">
            <w:pPr>
              <w:spacing w:after="0"/>
            </w:pPr>
            <w:r>
              <w:t>VI de instalaciones eléctricas de transmisión del tramo j (i : 1..10).</w:t>
            </w:r>
          </w:p>
          <w:p w14:paraId="0CD61BA5" w14:textId="77777777" w:rsidR="00F04B20" w:rsidRDefault="00F04B20" w:rsidP="00E200DF">
            <w:pPr>
              <w:spacing w:after="0"/>
            </w:pPr>
          </w:p>
        </w:tc>
      </w:tr>
      <w:tr w:rsidR="00F04B20" w14:paraId="38953DE1" w14:textId="77777777" w:rsidTr="00F04B20">
        <w:tc>
          <w:tcPr>
            <w:tcW w:w="1696" w:type="dxa"/>
          </w:tcPr>
          <w:p w14:paraId="52A852A0" w14:textId="77777777" w:rsidR="00F04B20" w:rsidRDefault="00F04B20" w:rsidP="00E200DF">
            <w:pPr>
              <w:spacing w:after="0"/>
            </w:pPr>
            <w:r>
              <w:t>VI</w:t>
            </w:r>
            <w:r w:rsidRPr="00405B63">
              <w:rPr>
                <w:vertAlign w:val="subscript"/>
              </w:rPr>
              <w:t>ij</w:t>
            </w:r>
            <w:r>
              <w:rPr>
                <w:vertAlign w:val="superscript"/>
              </w:rPr>
              <w:t>COMA</w:t>
            </w:r>
            <w:r>
              <w:rPr>
                <w:vertAlign w:val="superscript"/>
              </w:rPr>
              <w:tab/>
              <w:t xml:space="preserve">               </w:t>
            </w:r>
            <w:r w:rsidRPr="00F04B20">
              <w:t>:</w:t>
            </w:r>
          </w:p>
        </w:tc>
        <w:tc>
          <w:tcPr>
            <w:tcW w:w="7984" w:type="dxa"/>
          </w:tcPr>
          <w:p w14:paraId="1E76AF0D" w14:textId="77777777" w:rsidR="00F04B20" w:rsidRDefault="00F04B20" w:rsidP="00F04B20">
            <w:pPr>
              <w:spacing w:after="0"/>
            </w:pPr>
            <w:r>
              <w:t>VI de bienes que soportan actividades COMA asignados al tramo j (i : 11..15).</w:t>
            </w:r>
          </w:p>
          <w:p w14:paraId="4A2640EA" w14:textId="77777777" w:rsidR="00F04B20" w:rsidRDefault="00F04B20" w:rsidP="00E200DF">
            <w:pPr>
              <w:spacing w:after="0"/>
            </w:pPr>
          </w:p>
        </w:tc>
      </w:tr>
      <w:tr w:rsidR="00F04B20" w14:paraId="098F4897" w14:textId="77777777" w:rsidTr="00F04B20">
        <w:tc>
          <w:tcPr>
            <w:tcW w:w="1696" w:type="dxa"/>
          </w:tcPr>
          <w:p w14:paraId="5073B7A8" w14:textId="77777777" w:rsidR="00F04B20" w:rsidRDefault="00F04B20" w:rsidP="00E200DF">
            <w:pPr>
              <w:spacing w:after="0"/>
            </w:pPr>
            <w:r>
              <w:t>frc</w:t>
            </w:r>
            <w:r w:rsidRPr="00405B63">
              <w:rPr>
                <w:vertAlign w:val="subscript"/>
              </w:rPr>
              <w:t>i</w:t>
            </w:r>
            <w:r>
              <w:rPr>
                <w:vertAlign w:val="subscript"/>
              </w:rPr>
              <w:t xml:space="preserve">                           </w:t>
            </w:r>
            <w:r w:rsidRPr="00F04B20">
              <w:t>:</w:t>
            </w:r>
          </w:p>
        </w:tc>
        <w:tc>
          <w:tcPr>
            <w:tcW w:w="7984" w:type="dxa"/>
          </w:tcPr>
          <w:p w14:paraId="0259767C" w14:textId="77777777" w:rsidR="00F04B20" w:rsidRDefault="00F04B20" w:rsidP="00F04B20">
            <w:pPr>
              <w:spacing w:after="0"/>
            </w:pPr>
            <w:r>
              <w:t>Factor de recuperación de capital de las instalaciones correspondiente a categoría “i” del cuadro (dada tasa de descuento del 7% y vida útil señalada en la misma).</w:t>
            </w:r>
          </w:p>
          <w:p w14:paraId="3D232D57" w14:textId="77777777" w:rsidR="00F04B20" w:rsidRDefault="00F04B20" w:rsidP="00F04B20">
            <w:pPr>
              <w:spacing w:after="0"/>
            </w:pPr>
          </w:p>
        </w:tc>
      </w:tr>
      <w:tr w:rsidR="00F04B20" w14:paraId="2D22FDCC" w14:textId="77777777" w:rsidTr="00F04B20">
        <w:tc>
          <w:tcPr>
            <w:tcW w:w="1696" w:type="dxa"/>
          </w:tcPr>
          <w:p w14:paraId="58E07523" w14:textId="77777777" w:rsidR="00F04B20" w:rsidRDefault="00F04B20" w:rsidP="00E200DF">
            <w:pPr>
              <w:spacing w:after="0"/>
            </w:pPr>
            <w:r>
              <w:t>COMA</w:t>
            </w:r>
            <w:r w:rsidRPr="00A25204">
              <w:rPr>
                <w:vertAlign w:val="subscript"/>
              </w:rPr>
              <w:t>j</w:t>
            </w:r>
            <w:r w:rsidRPr="00A25204">
              <w:rPr>
                <w:vertAlign w:val="superscript"/>
              </w:rPr>
              <w:t>gastos</w:t>
            </w:r>
            <w:r>
              <w:rPr>
                <w:vertAlign w:val="superscript"/>
              </w:rPr>
              <w:t xml:space="preserve">     </w:t>
            </w:r>
            <w:r w:rsidRPr="00F04B20">
              <w:t>:</w:t>
            </w:r>
          </w:p>
        </w:tc>
        <w:tc>
          <w:tcPr>
            <w:tcW w:w="7984" w:type="dxa"/>
          </w:tcPr>
          <w:p w14:paraId="35FAA6F8" w14:textId="77777777" w:rsidR="00F04B20" w:rsidRDefault="00F04B20" w:rsidP="00F04B20">
            <w:pPr>
              <w:spacing w:after="0"/>
            </w:pPr>
            <w:r w:rsidRPr="00F04B20">
              <w:t>COMA asignado al tramo “j” correspondiente a gastos anuales de la</w:t>
            </w:r>
            <w:r>
              <w:t xml:space="preserve"> </w:t>
            </w:r>
            <w:r w:rsidRPr="00F04B20">
              <w:t>empresa eficiente.</w:t>
            </w:r>
          </w:p>
          <w:p w14:paraId="6BE4371B" w14:textId="77777777" w:rsidR="00F04B20" w:rsidRDefault="00F04B20" w:rsidP="00F04B20">
            <w:pPr>
              <w:spacing w:after="0"/>
            </w:pPr>
          </w:p>
        </w:tc>
      </w:tr>
      <w:tr w:rsidR="00F04B20" w14:paraId="0C57C2D7" w14:textId="77777777" w:rsidTr="00F04B20">
        <w:tc>
          <w:tcPr>
            <w:tcW w:w="1696" w:type="dxa"/>
          </w:tcPr>
          <w:p w14:paraId="326F3FAB" w14:textId="77777777" w:rsidR="00F04B20" w:rsidRDefault="00F04B20" w:rsidP="00E200DF">
            <w:pPr>
              <w:spacing w:after="0"/>
            </w:pPr>
            <w:r>
              <w:t>AEIR_VI</w:t>
            </w:r>
            <w:r w:rsidRPr="00A25204">
              <w:rPr>
                <w:vertAlign w:val="subscript"/>
              </w:rPr>
              <w:t>ij</w:t>
            </w:r>
            <w:r w:rsidRPr="00A25204">
              <w:rPr>
                <w:vertAlign w:val="superscript"/>
              </w:rPr>
              <w:t>elect</w:t>
            </w:r>
            <w:r>
              <w:rPr>
                <w:vertAlign w:val="superscript"/>
              </w:rPr>
              <w:t xml:space="preserve">   </w:t>
            </w:r>
            <w:r w:rsidRPr="00F04B20">
              <w:t>:</w:t>
            </w:r>
          </w:p>
        </w:tc>
        <w:tc>
          <w:tcPr>
            <w:tcW w:w="7984" w:type="dxa"/>
          </w:tcPr>
          <w:p w14:paraId="70EA64AD" w14:textId="77777777" w:rsidR="00F04B20" w:rsidRDefault="00F04B20" w:rsidP="00E200DF">
            <w:pPr>
              <w:spacing w:after="0"/>
            </w:pPr>
            <w:r>
              <w:t>Ajuste efecto impuesto a aplicar a cada componente “i” de instalaciones eléctricas de transmisión del tramo “j”. Depende de la vida útil indicada en el cuadro y de la vida útil tributaria para el mismo concepto de activo.</w:t>
            </w:r>
          </w:p>
          <w:p w14:paraId="6B252DB7" w14:textId="77777777" w:rsidR="00F04B20" w:rsidRDefault="00F04B20" w:rsidP="00E200DF">
            <w:pPr>
              <w:spacing w:after="0"/>
            </w:pPr>
          </w:p>
        </w:tc>
      </w:tr>
      <w:tr w:rsidR="00F04B20" w14:paraId="015273C1" w14:textId="77777777" w:rsidTr="00F04B20">
        <w:tc>
          <w:tcPr>
            <w:tcW w:w="1696" w:type="dxa"/>
          </w:tcPr>
          <w:p w14:paraId="1DDA613D" w14:textId="77777777" w:rsidR="00F04B20" w:rsidRDefault="00F04B20" w:rsidP="00E200DF">
            <w:pPr>
              <w:spacing w:after="0"/>
            </w:pPr>
            <w:r>
              <w:t>AEIR_VI</w:t>
            </w:r>
            <w:r w:rsidRPr="00A25204">
              <w:rPr>
                <w:vertAlign w:val="subscript"/>
              </w:rPr>
              <w:t>ij</w:t>
            </w:r>
            <w:r>
              <w:rPr>
                <w:vertAlign w:val="superscript"/>
              </w:rPr>
              <w:t xml:space="preserve">coma  </w:t>
            </w:r>
            <w:r w:rsidRPr="00F04B20">
              <w:t>:</w:t>
            </w:r>
          </w:p>
        </w:tc>
        <w:tc>
          <w:tcPr>
            <w:tcW w:w="7984" w:type="dxa"/>
          </w:tcPr>
          <w:p w14:paraId="5DD11E4D" w14:textId="77777777" w:rsidR="00F04B20" w:rsidRDefault="00F04B20" w:rsidP="00F04B20">
            <w:pPr>
              <w:spacing w:after="0"/>
            </w:pPr>
            <w:r>
              <w:t>Ajuste efecto impuesto a aplicar a cada componente “i” de bienes COMA del tramo “j”.</w:t>
            </w:r>
            <w:r w:rsidRPr="00DF53EB">
              <w:t xml:space="preserve"> </w:t>
            </w:r>
            <w:r>
              <w:t>Depende de la vida útil indicada en el cuadro y de la vida útil tributaria para el mismo concepto de activo.</w:t>
            </w:r>
          </w:p>
          <w:p w14:paraId="3A845234" w14:textId="77777777" w:rsidR="00F04B20" w:rsidRDefault="00F04B20" w:rsidP="00E200DF">
            <w:pPr>
              <w:spacing w:after="0"/>
            </w:pPr>
          </w:p>
        </w:tc>
      </w:tr>
    </w:tbl>
    <w:p w14:paraId="532F64F1" w14:textId="77777777" w:rsidR="00B503EE" w:rsidRDefault="00FF0547" w:rsidP="00E200DF">
      <w:pPr>
        <w:spacing w:after="0"/>
      </w:pPr>
      <w:r>
        <w:t>El cálculo detallado, y</w:t>
      </w:r>
      <w:r w:rsidR="00B503EE">
        <w:t xml:space="preserve"> resultado</w:t>
      </w:r>
      <w:r w:rsidR="00F04B20">
        <w:t>s</w:t>
      </w:r>
      <w:r w:rsidR="00B503EE">
        <w:t>, que corresponden a los resultados del estudio</w:t>
      </w:r>
      <w:r w:rsidR="00F04B20">
        <w:t xml:space="preserve"> conforme a su definición de objetivos</w:t>
      </w:r>
      <w:r w:rsidR="00B503EE">
        <w:t>, se mue</w:t>
      </w:r>
      <w:r>
        <w:t>s</w:t>
      </w:r>
      <w:r w:rsidR="00B503EE">
        <w:t xml:space="preserve">tran en </w:t>
      </w:r>
      <w:r w:rsidR="00B503EE" w:rsidRPr="00B503EE">
        <w:t>Anexo VATT_2_Resultados VATT</w:t>
      </w:r>
      <w:r w:rsidR="00B503EE">
        <w:t>.</w:t>
      </w:r>
    </w:p>
    <w:p w14:paraId="0B36371F" w14:textId="77777777" w:rsidR="00365A19" w:rsidRDefault="00365A19" w:rsidP="009E32FD">
      <w:pPr>
        <w:rPr>
          <w:highlight w:val="yellow"/>
          <w:lang w:val="es-CL"/>
        </w:rPr>
      </w:pPr>
    </w:p>
    <w:p w14:paraId="2865864E" w14:textId="77777777" w:rsidR="008F013C" w:rsidRPr="008F013C" w:rsidRDefault="008F013C" w:rsidP="008F013C">
      <w:pPr>
        <w:pStyle w:val="Ttulo1"/>
      </w:pPr>
      <w:bookmarkStart w:id="362" w:name="_Toc34687290"/>
      <w:r w:rsidRPr="008F013C">
        <w:t>FÓRMULAS DE INDEXACIÓN</w:t>
      </w:r>
      <w:r w:rsidR="001E13FF">
        <w:t xml:space="preserve"> y deflactores</w:t>
      </w:r>
      <w:bookmarkEnd w:id="362"/>
    </w:p>
    <w:p w14:paraId="59DE1C4D" w14:textId="77777777" w:rsidR="001E13FF" w:rsidRPr="00084018" w:rsidRDefault="00084018" w:rsidP="00084018">
      <w:pPr>
        <w:pStyle w:val="Ttulo2"/>
        <w:rPr>
          <w:sz w:val="24"/>
          <w:szCs w:val="24"/>
        </w:rPr>
      </w:pPr>
      <w:bookmarkStart w:id="363" w:name="_Toc34687291"/>
      <w:r>
        <w:rPr>
          <w:sz w:val="24"/>
          <w:szCs w:val="24"/>
        </w:rPr>
        <w:t>Fórmulas de Indexación</w:t>
      </w:r>
      <w:bookmarkEnd w:id="363"/>
    </w:p>
    <w:p w14:paraId="38F09821" w14:textId="77777777" w:rsidR="007A50E9" w:rsidRPr="007A50E9" w:rsidRDefault="007A50E9" w:rsidP="007A50E9">
      <w:pPr>
        <w:pStyle w:val="Ttulo3"/>
      </w:pPr>
      <w:bookmarkStart w:id="364" w:name="_Toc34687292"/>
      <w:r w:rsidRPr="007A50E9">
        <w:t>Estructura General</w:t>
      </w:r>
      <w:bookmarkEnd w:id="364"/>
    </w:p>
    <w:p w14:paraId="010901E2" w14:textId="77777777" w:rsidR="00084018" w:rsidRPr="00EE2F47" w:rsidRDefault="00084018" w:rsidP="00084018">
      <w:r w:rsidRPr="00EE2F47">
        <w:t>En el punto 3.10 de las Bases se presenta la estructura general -y única- de las fórmulas de indexación a aplicar al V.A.T.T. de cada tramo a fin de mantener su valor real durante el período de vigencia tarifario. Esta estructura se presenta como sigue</w:t>
      </w:r>
      <w:r>
        <w:rPr>
          <w:rStyle w:val="Refdenotaalpie"/>
        </w:rPr>
        <w:footnoteReference w:id="40"/>
      </w:r>
      <w:r w:rsidRPr="00EE2F47">
        <w:t>:</w:t>
      </w:r>
    </w:p>
    <w:p w14:paraId="5199F10D" w14:textId="77777777" w:rsidR="00084018" w:rsidRPr="00C636E3" w:rsidRDefault="00F5226B" w:rsidP="00084018">
      <w:pPr>
        <w:jc w:val="center"/>
      </w:pPr>
      <m:oMathPara>
        <m:oMath>
          <m:sSub>
            <m:sSubPr>
              <m:ctrlPr>
                <w:rPr>
                  <w:rFonts w:ascii="Cambria Math" w:hAnsi="Cambria Math"/>
                </w:rPr>
              </m:ctrlPr>
            </m:sSubPr>
            <m:e>
              <m:r>
                <w:rPr>
                  <w:rFonts w:ascii="Cambria Math" w:hAnsi="Cambria Math"/>
                </w:rPr>
                <m:t>VATT</m:t>
              </m:r>
            </m:e>
            <m:sub>
              <m:r>
                <w:rPr>
                  <w:rFonts w:ascii="Cambria Math" w:hAnsi="Cambria Math"/>
                </w:rPr>
                <m:t>n,k</m:t>
              </m:r>
            </m:sub>
          </m:sSub>
          <m:r>
            <w:rPr>
              <w:rFonts w:ascii="Cambria Math" w:hAnsi="Cambria Math"/>
            </w:rPr>
            <m:t>=</m:t>
          </m:r>
          <m:sSub>
            <m:sSubPr>
              <m:ctrlPr>
                <w:rPr>
                  <w:rFonts w:ascii="Cambria Math" w:hAnsi="Cambria Math"/>
                </w:rPr>
              </m:ctrlPr>
            </m:sSubPr>
            <m:e>
              <m:r>
                <w:rPr>
                  <w:rFonts w:ascii="Cambria Math" w:hAnsi="Cambria Math"/>
                </w:rPr>
                <m:t>AVI</m:t>
              </m:r>
            </m:e>
            <m:sub>
              <m:r>
                <w:rPr>
                  <w:rFonts w:ascii="Cambria Math" w:hAnsi="Cambria Math"/>
                </w:rPr>
                <m:t>n,0</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α</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IPC</m:t>
                      </m:r>
                    </m:e>
                    <m:sub>
                      <m:r>
                        <w:rPr>
                          <w:rFonts w:ascii="Cambria Math" w:hAnsi="Cambria Math"/>
                        </w:rPr>
                        <m:t>k</m:t>
                      </m:r>
                    </m:sub>
                  </m:sSub>
                </m:num>
                <m:den>
                  <m:sSub>
                    <m:sSubPr>
                      <m:ctrlPr>
                        <w:rPr>
                          <w:rFonts w:ascii="Cambria Math" w:hAnsi="Cambria Math"/>
                        </w:rPr>
                      </m:ctrlPr>
                    </m:sSubPr>
                    <m:e>
                      <m:r>
                        <w:rPr>
                          <w:rFonts w:ascii="Cambria Math" w:hAnsi="Cambria Math"/>
                        </w:rPr>
                        <m:t>IPC</m:t>
                      </m:r>
                    </m:e>
                    <m:sub>
                      <m:r>
                        <w:rPr>
                          <w:rFonts w:ascii="Cambria Math" w:hAnsi="Cambria Math"/>
                        </w:rPr>
                        <m:t>0</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0</m:t>
                      </m:r>
                    </m:sub>
                  </m:sSub>
                </m:num>
                <m:den>
                  <m:sSub>
                    <m:sSubPr>
                      <m:ctrlPr>
                        <w:rPr>
                          <w:rFonts w:ascii="Cambria Math" w:hAnsi="Cambria Math"/>
                        </w:rPr>
                      </m:ctrlPr>
                    </m:sSubPr>
                    <m:e>
                      <m:r>
                        <w:rPr>
                          <w:rFonts w:ascii="Cambria Math" w:hAnsi="Cambria Math"/>
                        </w:rPr>
                        <m:t>D</m:t>
                      </m:r>
                    </m:e>
                    <m:sub>
                      <m:r>
                        <w:rPr>
                          <w:rFonts w:ascii="Cambria Math" w:hAnsi="Cambria Math"/>
                        </w:rPr>
                        <m:t>k</m:t>
                      </m:r>
                    </m:sub>
                  </m:sSub>
                </m:den>
              </m:f>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m:t>
                      </m:r>
                    </m:e>
                    <m:sub>
                      <m:r>
                        <w:rPr>
                          <w:rFonts w:ascii="Cambria Math" w:hAnsi="Cambria Math"/>
                        </w:rPr>
                        <m:t>k</m:t>
                      </m:r>
                    </m:sub>
                  </m:sSub>
                </m:num>
                <m:den>
                  <m:sSub>
                    <m:sSubPr>
                      <m:ctrlPr>
                        <w:rPr>
                          <w:rFonts w:ascii="Cambria Math" w:hAnsi="Cambria Math"/>
                        </w:rPr>
                      </m:ctrlPr>
                    </m:sSubPr>
                    <m:e>
                      <m:r>
                        <w:rPr>
                          <w:rFonts w:ascii="Cambria Math" w:hAnsi="Cambria Math"/>
                        </w:rPr>
                        <m:t>CPI</m:t>
                      </m:r>
                    </m:e>
                    <m:sub>
                      <m:r>
                        <w:rPr>
                          <w:rFonts w:ascii="Cambria Math" w:hAnsi="Cambria Math"/>
                        </w:rPr>
                        <m:t>0</m:t>
                      </m:r>
                    </m:sub>
                  </m:sSub>
                </m:den>
              </m:f>
              <m:r>
                <w:rPr>
                  <w:rFonts w:ascii="Cambria Math" w:hAnsi="Cambria Math"/>
                </w:rPr>
                <m:t>∙</m:t>
              </m:r>
              <m:f>
                <m:fPr>
                  <m:ctrlPr>
                    <w:rPr>
                      <w:rFonts w:ascii="Cambria Math" w:hAnsi="Cambria Math"/>
                    </w:rPr>
                  </m:ctrlPr>
                </m:fPr>
                <m:num>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k</m:t>
                          </m:r>
                        </m:sub>
                      </m:sSub>
                    </m:e>
                  </m:d>
                </m:num>
                <m:den>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0</m:t>
                          </m:r>
                        </m:sub>
                      </m:sSub>
                    </m:e>
                  </m:d>
                </m:den>
              </m:f>
            </m:e>
          </m:d>
          <m:r>
            <w:rPr>
              <w:rFonts w:ascii="Cambria Math" w:hAnsi="Cambria Math"/>
            </w:rPr>
            <m:t>+</m:t>
          </m:r>
          <m:sSub>
            <m:sSubPr>
              <m:ctrlPr>
                <w:rPr>
                  <w:rFonts w:ascii="Cambria Math" w:hAnsi="Cambria Math"/>
                </w:rPr>
              </m:ctrlPr>
            </m:sSubPr>
            <m:e>
              <m:r>
                <w:rPr>
                  <w:rFonts w:ascii="Cambria Math" w:hAnsi="Cambria Math"/>
                </w:rPr>
                <m:t>COMA</m:t>
              </m:r>
            </m:e>
            <m:sub>
              <m:r>
                <w:rPr>
                  <w:rFonts w:ascii="Cambria Math" w:hAnsi="Cambria Math"/>
                </w:rPr>
                <m:t>n,0</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IPC</m:t>
                  </m:r>
                </m:e>
                <m:sub>
                  <m:r>
                    <w:rPr>
                      <w:rFonts w:ascii="Cambria Math" w:hAnsi="Cambria Math"/>
                    </w:rPr>
                    <m:t>k</m:t>
                  </m:r>
                </m:sub>
              </m:sSub>
            </m:num>
            <m:den>
              <m:sSub>
                <m:sSubPr>
                  <m:ctrlPr>
                    <w:rPr>
                      <w:rFonts w:ascii="Cambria Math" w:hAnsi="Cambria Math"/>
                    </w:rPr>
                  </m:ctrlPr>
                </m:sSubPr>
                <m:e>
                  <m:r>
                    <w:rPr>
                      <w:rFonts w:ascii="Cambria Math" w:hAnsi="Cambria Math"/>
                    </w:rPr>
                    <m:t>IPC</m:t>
                  </m:r>
                </m:e>
                <m:sub>
                  <m:r>
                    <w:rPr>
                      <w:rFonts w:ascii="Cambria Math" w:hAnsi="Cambria Math"/>
                    </w:rPr>
                    <m:t>0</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0</m:t>
                  </m:r>
                </m:sub>
              </m:sSub>
            </m:num>
            <m:den>
              <m:sSub>
                <m:sSubPr>
                  <m:ctrlPr>
                    <w:rPr>
                      <w:rFonts w:ascii="Cambria Math" w:hAnsi="Cambria Math"/>
                    </w:rPr>
                  </m:ctrlPr>
                </m:sSubPr>
                <m:e>
                  <m:r>
                    <w:rPr>
                      <w:rFonts w:ascii="Cambria Math" w:hAnsi="Cambria Math"/>
                    </w:rPr>
                    <m:t>D</m:t>
                  </m:r>
                </m:e>
                <m:sub>
                  <m:r>
                    <w:rPr>
                      <w:rFonts w:ascii="Cambria Math" w:hAnsi="Cambria Math"/>
                    </w:rPr>
                    <m:t>k</m:t>
                  </m:r>
                </m:sub>
              </m:sSub>
            </m:den>
          </m:f>
        </m:oMath>
      </m:oMathPara>
    </w:p>
    <w:p w14:paraId="19C1512C" w14:textId="77777777" w:rsidR="00084018" w:rsidRPr="00C636E3" w:rsidRDefault="00F5226B" w:rsidP="00084018">
      <w:pPr>
        <w:jc w:val="center"/>
      </w:pPr>
      <m:oMathPara>
        <m:oMath>
          <m:sSub>
            <m:sSubPr>
              <m:ctrlPr>
                <w:rPr>
                  <w:rFonts w:ascii="Cambria Math" w:hAnsi="Cambria Math"/>
                </w:rPr>
              </m:ctrlPr>
            </m:sSubPr>
            <m:e>
              <m:r>
                <w:rPr>
                  <w:rFonts w:ascii="Cambria Math" w:hAnsi="Cambria Math"/>
                </w:rPr>
                <m:t>+AEIR</m:t>
              </m:r>
            </m:e>
            <m:sub>
              <m:r>
                <w:rPr>
                  <w:rFonts w:ascii="Cambria Math" w:hAnsi="Cambria Math"/>
                </w:rPr>
                <m:t>n,0</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γ</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IPC</m:t>
                      </m:r>
                    </m:e>
                    <m:sub>
                      <m:r>
                        <w:rPr>
                          <w:rFonts w:ascii="Cambria Math" w:hAnsi="Cambria Math"/>
                        </w:rPr>
                        <m:t>k</m:t>
                      </m:r>
                    </m:sub>
                  </m:sSub>
                </m:num>
                <m:den>
                  <m:sSub>
                    <m:sSubPr>
                      <m:ctrlPr>
                        <w:rPr>
                          <w:rFonts w:ascii="Cambria Math" w:hAnsi="Cambria Math"/>
                        </w:rPr>
                      </m:ctrlPr>
                    </m:sSubPr>
                    <m:e>
                      <m:r>
                        <w:rPr>
                          <w:rFonts w:ascii="Cambria Math" w:hAnsi="Cambria Math"/>
                        </w:rPr>
                        <m:t>IPC</m:t>
                      </m:r>
                    </m:e>
                    <m:sub>
                      <m:r>
                        <w:rPr>
                          <w:rFonts w:ascii="Cambria Math" w:hAnsi="Cambria Math"/>
                        </w:rPr>
                        <m:t>0</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0</m:t>
                      </m:r>
                    </m:sub>
                  </m:sSub>
                </m:num>
                <m:den>
                  <m:sSub>
                    <m:sSubPr>
                      <m:ctrlPr>
                        <w:rPr>
                          <w:rFonts w:ascii="Cambria Math" w:hAnsi="Cambria Math"/>
                        </w:rPr>
                      </m:ctrlPr>
                    </m:sSubPr>
                    <m:e>
                      <m:r>
                        <w:rPr>
                          <w:rFonts w:ascii="Cambria Math" w:hAnsi="Cambria Math"/>
                        </w:rPr>
                        <m:t>D</m:t>
                      </m:r>
                    </m:e>
                    <m:sub>
                      <m:r>
                        <w:rPr>
                          <w:rFonts w:ascii="Cambria Math" w:hAnsi="Cambria Math"/>
                        </w:rPr>
                        <m:t>k</m:t>
                      </m:r>
                    </m:sub>
                  </m:sSub>
                </m:den>
              </m:f>
              <m: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m:t>
                      </m:r>
                    </m:e>
                    <m:sub>
                      <m:r>
                        <w:rPr>
                          <w:rFonts w:ascii="Cambria Math" w:hAnsi="Cambria Math"/>
                        </w:rPr>
                        <m:t>k</m:t>
                      </m:r>
                    </m:sub>
                  </m:sSub>
                </m:num>
                <m:den>
                  <m:sSub>
                    <m:sSubPr>
                      <m:ctrlPr>
                        <w:rPr>
                          <w:rFonts w:ascii="Cambria Math" w:hAnsi="Cambria Math"/>
                        </w:rPr>
                      </m:ctrlPr>
                    </m:sSubPr>
                    <m:e>
                      <m:r>
                        <w:rPr>
                          <w:rFonts w:ascii="Cambria Math" w:hAnsi="Cambria Math"/>
                        </w:rPr>
                        <m:t>CPI</m:t>
                      </m:r>
                    </m:e>
                    <m:sub>
                      <m:r>
                        <w:rPr>
                          <w:rFonts w:ascii="Cambria Math" w:hAnsi="Cambria Math"/>
                        </w:rPr>
                        <m:t>0</m:t>
                      </m:r>
                    </m:sub>
                  </m:sSub>
                </m:den>
              </m:f>
              <m:r>
                <w:rPr>
                  <w:rFonts w:ascii="Cambria Math" w:hAnsi="Cambria Math"/>
                </w:rPr>
                <m:t>∙</m:t>
              </m:r>
              <m:f>
                <m:fPr>
                  <m:ctrlPr>
                    <w:rPr>
                      <w:rFonts w:ascii="Cambria Math" w:hAnsi="Cambria Math"/>
                    </w:rPr>
                  </m:ctrlPr>
                </m:fPr>
                <m:num>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k</m:t>
                          </m:r>
                        </m:sub>
                      </m:sSub>
                    </m:e>
                  </m:d>
                </m:num>
                <m:den>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Ta</m:t>
                          </m:r>
                        </m:e>
                        <m:sub>
                          <m:r>
                            <w:rPr>
                              <w:rFonts w:ascii="Cambria Math" w:hAnsi="Cambria Math"/>
                            </w:rPr>
                            <m:t>0</m:t>
                          </m:r>
                        </m:sub>
                      </m:sSub>
                    </m:e>
                  </m:d>
                </m:den>
              </m:f>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k</m:t>
                  </m:r>
                </m:sub>
              </m:sSub>
            </m:num>
            <m:den>
              <m:sSub>
                <m:sSubPr>
                  <m:ctrlPr>
                    <w:rPr>
                      <w:rFonts w:ascii="Cambria Math" w:hAnsi="Cambria Math"/>
                    </w:rPr>
                  </m:ctrlPr>
                </m:sSubPr>
                <m:e>
                  <m:r>
                    <w:rPr>
                      <w:rFonts w:ascii="Cambria Math" w:hAnsi="Cambria Math"/>
                    </w:rPr>
                    <m:t>t</m:t>
                  </m:r>
                </m:e>
                <m:sub>
                  <m:r>
                    <w:rPr>
                      <w:rFonts w:ascii="Cambria Math" w:hAnsi="Cambria Math"/>
                    </w:rPr>
                    <m:t>0</m:t>
                  </m:r>
                </m:sub>
              </m:sSub>
            </m:den>
          </m:f>
          <m:r>
            <w:rPr>
              <w:rFonts w:ascii="Cambria Math" w:hAnsi="Cambria Math"/>
            </w:rPr>
            <m:t>∙</m:t>
          </m:r>
          <m:f>
            <m:fPr>
              <m:ctrlPr>
                <w:rPr>
                  <w:rFonts w:ascii="Cambria Math" w:hAnsi="Cambria Math"/>
                </w:rPr>
              </m:ctrlPr>
            </m:fPr>
            <m:num>
              <m:r>
                <w:rPr>
                  <w:rFonts w:ascii="Cambria Math" w:hAnsi="Cambria Math"/>
                </w:rPr>
                <m:t>1-</m:t>
              </m:r>
              <m:sSub>
                <m:sSubPr>
                  <m:ctrlPr>
                    <w:rPr>
                      <w:rFonts w:ascii="Cambria Math" w:hAnsi="Cambria Math"/>
                    </w:rPr>
                  </m:ctrlPr>
                </m:sSubPr>
                <m:e>
                  <m:r>
                    <w:rPr>
                      <w:rFonts w:ascii="Cambria Math" w:hAnsi="Cambria Math"/>
                    </w:rPr>
                    <m:t>t</m:t>
                  </m:r>
                </m:e>
                <m:sub>
                  <m:r>
                    <w:rPr>
                      <w:rFonts w:ascii="Cambria Math" w:hAnsi="Cambria Math"/>
                    </w:rPr>
                    <m:t>0</m:t>
                  </m:r>
                </m:sub>
              </m:sSub>
            </m:num>
            <m:den>
              <m:r>
                <w:rPr>
                  <w:rFonts w:ascii="Cambria Math" w:hAnsi="Cambria Math"/>
                </w:rPr>
                <m:t>1-</m:t>
              </m:r>
              <m:sSub>
                <m:sSubPr>
                  <m:ctrlPr>
                    <w:rPr>
                      <w:rFonts w:ascii="Cambria Math" w:hAnsi="Cambria Math"/>
                    </w:rPr>
                  </m:ctrlPr>
                </m:sSubPr>
                <m:e>
                  <m:r>
                    <w:rPr>
                      <w:rFonts w:ascii="Cambria Math" w:hAnsi="Cambria Math"/>
                    </w:rPr>
                    <m:t>t</m:t>
                  </m:r>
                </m:e>
                <m:sub>
                  <m:r>
                    <w:rPr>
                      <w:rFonts w:ascii="Cambria Math" w:hAnsi="Cambria Math"/>
                    </w:rPr>
                    <m:t>k</m:t>
                  </m:r>
                </m:sub>
              </m:sSub>
            </m:den>
          </m:f>
        </m:oMath>
      </m:oMathPara>
    </w:p>
    <w:p w14:paraId="2853D4EF" w14:textId="77777777" w:rsidR="00084018" w:rsidRDefault="00084018" w:rsidP="00084018">
      <w:r>
        <w:t>Donde:</w:t>
      </w:r>
    </w:p>
    <w:tbl>
      <w:tblPr>
        <w:tblW w:w="0" w:type="auto"/>
        <w:tblLook w:val="04A0" w:firstRow="1" w:lastRow="0" w:firstColumn="1" w:lastColumn="0" w:noHBand="0" w:noVBand="1"/>
      </w:tblPr>
      <w:tblGrid>
        <w:gridCol w:w="2791"/>
        <w:gridCol w:w="6899"/>
      </w:tblGrid>
      <w:tr w:rsidR="00084018" w:rsidRPr="004E31A7" w14:paraId="6C651140" w14:textId="77777777">
        <w:tc>
          <w:tcPr>
            <w:tcW w:w="2830" w:type="dxa"/>
            <w:shd w:val="clear" w:color="auto" w:fill="auto"/>
          </w:tcPr>
          <w:p w14:paraId="331CA765" w14:textId="77777777" w:rsidR="00084018" w:rsidRPr="004E31A7" w:rsidRDefault="00084018" w:rsidP="00404361">
            <w:pPr>
              <w:spacing w:after="0" w:line="240" w:lineRule="auto"/>
              <w:rPr>
                <w:highlight w:val="lightGray"/>
              </w:rPr>
            </w:pPr>
            <w:r w:rsidRPr="004E31A7">
              <w:t xml:space="preserve">VATT </w:t>
            </w:r>
            <w:r w:rsidRPr="00084018">
              <w:rPr>
                <w:vertAlign w:val="subscript"/>
              </w:rPr>
              <w:t>n,k</w:t>
            </w:r>
            <w:r w:rsidRPr="004E31A7">
              <w:t xml:space="preserve">       :</w:t>
            </w:r>
          </w:p>
        </w:tc>
        <w:tc>
          <w:tcPr>
            <w:tcW w:w="6998" w:type="dxa"/>
            <w:shd w:val="clear" w:color="auto" w:fill="auto"/>
          </w:tcPr>
          <w:p w14:paraId="6D4EADF9" w14:textId="77777777" w:rsidR="00084018" w:rsidRPr="004E31A7" w:rsidRDefault="00084018" w:rsidP="00404361">
            <w:pPr>
              <w:spacing w:after="0" w:line="240" w:lineRule="auto"/>
            </w:pPr>
            <w:r w:rsidRPr="004E31A7">
              <w:t>Valor del A.V.I. + C.O.M.A. + A.E.I.R. del tramo n en el mes k, en dólares.</w:t>
            </w:r>
          </w:p>
          <w:p w14:paraId="7E7512F4" w14:textId="77777777" w:rsidR="00084018" w:rsidRPr="004E31A7" w:rsidRDefault="00084018" w:rsidP="00404361">
            <w:pPr>
              <w:spacing w:after="0" w:line="240" w:lineRule="auto"/>
              <w:rPr>
                <w:highlight w:val="lightGray"/>
              </w:rPr>
            </w:pPr>
          </w:p>
        </w:tc>
      </w:tr>
      <w:tr w:rsidR="00084018" w:rsidRPr="004E31A7" w14:paraId="74D60BC5" w14:textId="77777777">
        <w:tc>
          <w:tcPr>
            <w:tcW w:w="2830" w:type="dxa"/>
            <w:shd w:val="clear" w:color="auto" w:fill="auto"/>
          </w:tcPr>
          <w:p w14:paraId="7C53B2C4" w14:textId="77777777" w:rsidR="00084018" w:rsidRPr="004E31A7" w:rsidRDefault="00084018" w:rsidP="00404361">
            <w:pPr>
              <w:spacing w:after="0" w:line="240" w:lineRule="auto"/>
              <w:rPr>
                <w:highlight w:val="lightGray"/>
              </w:rPr>
            </w:pPr>
            <w:r w:rsidRPr="004E31A7">
              <w:t xml:space="preserve">AVI </w:t>
            </w:r>
            <w:r w:rsidRPr="00084018">
              <w:rPr>
                <w:vertAlign w:val="subscript"/>
              </w:rPr>
              <w:t>n,o</w:t>
            </w:r>
            <w:r w:rsidRPr="004E31A7">
              <w:t xml:space="preserve">          :</w:t>
            </w:r>
          </w:p>
        </w:tc>
        <w:tc>
          <w:tcPr>
            <w:tcW w:w="6998" w:type="dxa"/>
            <w:shd w:val="clear" w:color="auto" w:fill="auto"/>
          </w:tcPr>
          <w:p w14:paraId="31FE0669" w14:textId="77777777" w:rsidR="00084018" w:rsidRPr="004E31A7" w:rsidRDefault="00084018" w:rsidP="00404361">
            <w:pPr>
              <w:spacing w:after="0" w:line="240" w:lineRule="auto"/>
            </w:pPr>
            <w:r w:rsidRPr="004E31A7">
              <w:t>Valor del A.V.I. del tramo n en la fecha de referencia de los Estudios, en dólares.</w:t>
            </w:r>
          </w:p>
          <w:p w14:paraId="7948B1B3" w14:textId="77777777" w:rsidR="00084018" w:rsidRPr="004E31A7" w:rsidRDefault="00084018" w:rsidP="00404361">
            <w:pPr>
              <w:spacing w:after="0" w:line="240" w:lineRule="auto"/>
              <w:rPr>
                <w:highlight w:val="lightGray"/>
              </w:rPr>
            </w:pPr>
          </w:p>
        </w:tc>
      </w:tr>
      <w:tr w:rsidR="00084018" w:rsidRPr="004E31A7" w14:paraId="3A55BA6D" w14:textId="77777777">
        <w:tc>
          <w:tcPr>
            <w:tcW w:w="2830" w:type="dxa"/>
            <w:shd w:val="clear" w:color="auto" w:fill="auto"/>
          </w:tcPr>
          <w:p w14:paraId="528E8C8F" w14:textId="77777777" w:rsidR="00084018" w:rsidRPr="004E31A7" w:rsidRDefault="00084018" w:rsidP="00404361">
            <w:pPr>
              <w:spacing w:after="0" w:line="240" w:lineRule="auto"/>
              <w:rPr>
                <w:highlight w:val="lightGray"/>
              </w:rPr>
            </w:pPr>
            <w:r w:rsidRPr="004E31A7">
              <w:t xml:space="preserve">COMA </w:t>
            </w:r>
            <w:r w:rsidRPr="00084018">
              <w:rPr>
                <w:vertAlign w:val="subscript"/>
              </w:rPr>
              <w:t>n,o</w:t>
            </w:r>
            <w:r w:rsidRPr="004E31A7">
              <w:t xml:space="preserve">     :</w:t>
            </w:r>
          </w:p>
        </w:tc>
        <w:tc>
          <w:tcPr>
            <w:tcW w:w="6998" w:type="dxa"/>
            <w:shd w:val="clear" w:color="auto" w:fill="auto"/>
          </w:tcPr>
          <w:p w14:paraId="41B33DDD" w14:textId="77777777" w:rsidR="00084018" w:rsidRPr="004E31A7" w:rsidRDefault="00084018" w:rsidP="00404361">
            <w:pPr>
              <w:spacing w:after="0" w:line="240" w:lineRule="auto"/>
            </w:pPr>
            <w:r w:rsidRPr="004E31A7">
              <w:t>Valor del C.O.M.A. del tramo n en la fecha de referencia de los Estudios, en dólares.</w:t>
            </w:r>
          </w:p>
          <w:p w14:paraId="1459210D" w14:textId="77777777" w:rsidR="00084018" w:rsidRPr="004E31A7" w:rsidRDefault="00084018" w:rsidP="00404361">
            <w:pPr>
              <w:spacing w:after="0" w:line="240" w:lineRule="auto"/>
              <w:rPr>
                <w:highlight w:val="lightGray"/>
              </w:rPr>
            </w:pPr>
          </w:p>
        </w:tc>
      </w:tr>
      <w:tr w:rsidR="00084018" w:rsidRPr="004E31A7" w14:paraId="038CDCBA" w14:textId="77777777">
        <w:tc>
          <w:tcPr>
            <w:tcW w:w="2830" w:type="dxa"/>
            <w:shd w:val="clear" w:color="auto" w:fill="auto"/>
          </w:tcPr>
          <w:p w14:paraId="05DDC51D" w14:textId="77777777" w:rsidR="00084018" w:rsidRPr="004E31A7" w:rsidRDefault="00084018" w:rsidP="00404361">
            <w:pPr>
              <w:spacing w:after="0" w:line="240" w:lineRule="auto"/>
              <w:rPr>
                <w:highlight w:val="lightGray"/>
              </w:rPr>
            </w:pPr>
            <w:r w:rsidRPr="004E31A7">
              <w:t xml:space="preserve">AEIR </w:t>
            </w:r>
            <w:r w:rsidRPr="00084018">
              <w:rPr>
                <w:vertAlign w:val="subscript"/>
              </w:rPr>
              <w:t>n,0</w:t>
            </w:r>
            <w:r w:rsidRPr="004E31A7">
              <w:t xml:space="preserve">        :</w:t>
            </w:r>
          </w:p>
        </w:tc>
        <w:tc>
          <w:tcPr>
            <w:tcW w:w="6998" w:type="dxa"/>
            <w:shd w:val="clear" w:color="auto" w:fill="auto"/>
          </w:tcPr>
          <w:p w14:paraId="27DF9106" w14:textId="77777777" w:rsidR="00084018" w:rsidRPr="004E31A7" w:rsidRDefault="00084018" w:rsidP="00404361">
            <w:pPr>
              <w:spacing w:after="0" w:line="240" w:lineRule="auto"/>
            </w:pPr>
            <w:r w:rsidRPr="004E31A7">
              <w:t>Valor del A.E.I.R. del tramo n en la fecha de referencia de Estudios, en dólares.</w:t>
            </w:r>
          </w:p>
          <w:p w14:paraId="46CB6274" w14:textId="77777777" w:rsidR="00084018" w:rsidRPr="004E31A7" w:rsidRDefault="00084018" w:rsidP="00404361">
            <w:pPr>
              <w:spacing w:after="0" w:line="240" w:lineRule="auto"/>
              <w:rPr>
                <w:highlight w:val="lightGray"/>
              </w:rPr>
            </w:pPr>
          </w:p>
        </w:tc>
      </w:tr>
      <w:tr w:rsidR="00084018" w:rsidRPr="004E31A7" w14:paraId="49D2B4FA" w14:textId="77777777">
        <w:tc>
          <w:tcPr>
            <w:tcW w:w="2830" w:type="dxa"/>
            <w:shd w:val="clear" w:color="auto" w:fill="auto"/>
          </w:tcPr>
          <w:p w14:paraId="4DFC8437" w14:textId="77777777" w:rsidR="00084018" w:rsidRPr="004E31A7" w:rsidRDefault="00084018" w:rsidP="00404361">
            <w:pPr>
              <w:spacing w:after="0" w:line="240" w:lineRule="auto"/>
              <w:rPr>
                <w:highlight w:val="lightGray"/>
              </w:rPr>
            </w:pPr>
            <w:r w:rsidRPr="004E31A7">
              <w:t>IPC</w:t>
            </w:r>
            <w:r w:rsidRPr="00084018">
              <w:rPr>
                <w:vertAlign w:val="subscript"/>
              </w:rPr>
              <w:t xml:space="preserve"> k</w:t>
            </w:r>
            <w:r w:rsidRPr="004E31A7">
              <w:t xml:space="preserve">               :</w:t>
            </w:r>
          </w:p>
        </w:tc>
        <w:tc>
          <w:tcPr>
            <w:tcW w:w="6998" w:type="dxa"/>
            <w:shd w:val="clear" w:color="auto" w:fill="auto"/>
          </w:tcPr>
          <w:p w14:paraId="6B69181B" w14:textId="77777777" w:rsidR="00084018" w:rsidRPr="004E31A7" w:rsidRDefault="00084018" w:rsidP="00404361">
            <w:pPr>
              <w:spacing w:after="0" w:line="240" w:lineRule="auto"/>
            </w:pPr>
            <w:r w:rsidRPr="004E31A7">
              <w:t>Valor del Índice de Precios al Consumidor en el segundo mes anterior al mes k, publicado por el Instituto Nacional de Estadísticas (INE).</w:t>
            </w:r>
          </w:p>
          <w:p w14:paraId="39CEB3C1" w14:textId="77777777" w:rsidR="00084018" w:rsidRPr="004E31A7" w:rsidRDefault="00084018" w:rsidP="00404361">
            <w:pPr>
              <w:spacing w:after="0" w:line="240" w:lineRule="auto"/>
              <w:rPr>
                <w:highlight w:val="lightGray"/>
              </w:rPr>
            </w:pPr>
          </w:p>
        </w:tc>
      </w:tr>
      <w:tr w:rsidR="00084018" w:rsidRPr="004E31A7" w14:paraId="655697D2" w14:textId="77777777">
        <w:tc>
          <w:tcPr>
            <w:tcW w:w="2830" w:type="dxa"/>
            <w:shd w:val="clear" w:color="auto" w:fill="auto"/>
          </w:tcPr>
          <w:p w14:paraId="3375A7B3" w14:textId="77777777" w:rsidR="00084018" w:rsidRPr="004E31A7" w:rsidRDefault="00084018" w:rsidP="00404361">
            <w:pPr>
              <w:spacing w:after="0" w:line="240" w:lineRule="auto"/>
              <w:rPr>
                <w:highlight w:val="lightGray"/>
              </w:rPr>
            </w:pPr>
            <w:r w:rsidRPr="004E31A7">
              <w:t xml:space="preserve">CPI </w:t>
            </w:r>
            <w:r w:rsidRPr="00084018">
              <w:rPr>
                <w:vertAlign w:val="subscript"/>
              </w:rPr>
              <w:t>k</w:t>
            </w:r>
            <w:r w:rsidRPr="004E31A7">
              <w:t xml:space="preserve">               :</w:t>
            </w:r>
          </w:p>
        </w:tc>
        <w:tc>
          <w:tcPr>
            <w:tcW w:w="6998" w:type="dxa"/>
            <w:shd w:val="clear" w:color="auto" w:fill="auto"/>
          </w:tcPr>
          <w:p w14:paraId="43AF3F71" w14:textId="77777777" w:rsidR="00084018" w:rsidRPr="004E31A7" w:rsidRDefault="00084018" w:rsidP="00404361">
            <w:pPr>
              <w:spacing w:after="0" w:line="240" w:lineRule="auto"/>
            </w:pPr>
            <w:r w:rsidRPr="004E31A7">
              <w:t>Valor del índice Consumer Price Index (All Urban Consumers), en el segundo mes anterior al mes k, publicado por el Bureau of Labor Statistics (BLS) del Gobierno de los Estados Unidos de América (Código BLS: CUUR0000SA0).</w:t>
            </w:r>
          </w:p>
          <w:p w14:paraId="35219B7B" w14:textId="77777777" w:rsidR="00084018" w:rsidRPr="004E31A7" w:rsidRDefault="00084018" w:rsidP="00404361">
            <w:pPr>
              <w:spacing w:after="0" w:line="240" w:lineRule="auto"/>
              <w:rPr>
                <w:highlight w:val="lightGray"/>
              </w:rPr>
            </w:pPr>
          </w:p>
        </w:tc>
      </w:tr>
      <w:tr w:rsidR="00084018" w:rsidRPr="004E31A7" w14:paraId="11404A93" w14:textId="77777777">
        <w:tc>
          <w:tcPr>
            <w:tcW w:w="2830" w:type="dxa"/>
            <w:shd w:val="clear" w:color="auto" w:fill="auto"/>
          </w:tcPr>
          <w:p w14:paraId="460B40D6" w14:textId="77777777" w:rsidR="00084018" w:rsidRPr="004E31A7" w:rsidRDefault="00084018" w:rsidP="00404361">
            <w:pPr>
              <w:spacing w:after="0" w:line="240" w:lineRule="auto"/>
              <w:rPr>
                <w:highlight w:val="lightGray"/>
              </w:rPr>
            </w:pPr>
            <w:r w:rsidRPr="004E31A7">
              <w:t xml:space="preserve">D </w:t>
            </w:r>
            <w:r w:rsidRPr="00A759A6">
              <w:rPr>
                <w:vertAlign w:val="subscript"/>
              </w:rPr>
              <w:t>k</w:t>
            </w:r>
            <w:r w:rsidRPr="004E31A7">
              <w:t xml:space="preserve">                  :</w:t>
            </w:r>
          </w:p>
        </w:tc>
        <w:tc>
          <w:tcPr>
            <w:tcW w:w="6998" w:type="dxa"/>
            <w:shd w:val="clear" w:color="auto" w:fill="auto"/>
          </w:tcPr>
          <w:p w14:paraId="38C31AA6" w14:textId="77777777" w:rsidR="00084018" w:rsidRPr="004E31A7" w:rsidRDefault="00084018" w:rsidP="00404361">
            <w:pPr>
              <w:spacing w:after="0" w:line="240" w:lineRule="auto"/>
            </w:pPr>
            <w:r w:rsidRPr="004E31A7">
              <w:t>Tipo de cambio observado para el dólar de los Estados Unidos de Norteamérica, publicado por el Banco Central de Chile, “Dólar Observado”. Se utilizará el valor promedio del segundo mes anterior a aquél en que las tarifas serán aplicadas.</w:t>
            </w:r>
          </w:p>
          <w:p w14:paraId="2FE22208" w14:textId="77777777" w:rsidR="00084018" w:rsidRPr="004E31A7" w:rsidRDefault="00084018" w:rsidP="00404361">
            <w:pPr>
              <w:spacing w:after="0" w:line="240" w:lineRule="auto"/>
              <w:rPr>
                <w:highlight w:val="lightGray"/>
              </w:rPr>
            </w:pPr>
          </w:p>
        </w:tc>
      </w:tr>
      <w:tr w:rsidR="00084018" w:rsidRPr="004E31A7" w14:paraId="0262B6E5" w14:textId="77777777">
        <w:tc>
          <w:tcPr>
            <w:tcW w:w="2830" w:type="dxa"/>
            <w:shd w:val="clear" w:color="auto" w:fill="auto"/>
          </w:tcPr>
          <w:p w14:paraId="6A79AFAF" w14:textId="77777777" w:rsidR="00084018" w:rsidRPr="004E31A7" w:rsidRDefault="00084018" w:rsidP="00404361">
            <w:pPr>
              <w:spacing w:after="0" w:line="240" w:lineRule="auto"/>
              <w:rPr>
                <w:highlight w:val="lightGray"/>
              </w:rPr>
            </w:pPr>
            <w:r w:rsidRPr="004E31A7">
              <w:t xml:space="preserve">Ta </w:t>
            </w:r>
            <w:r w:rsidRPr="00A759A6">
              <w:rPr>
                <w:vertAlign w:val="subscript"/>
              </w:rPr>
              <w:t>k</w:t>
            </w:r>
            <w:r w:rsidRPr="004E31A7">
              <w:t xml:space="preserve">               :</w:t>
            </w:r>
          </w:p>
        </w:tc>
        <w:tc>
          <w:tcPr>
            <w:tcW w:w="6998" w:type="dxa"/>
            <w:shd w:val="clear" w:color="auto" w:fill="auto"/>
          </w:tcPr>
          <w:p w14:paraId="5955B4F3" w14:textId="77777777" w:rsidR="00084018" w:rsidRPr="004E31A7" w:rsidRDefault="00084018" w:rsidP="00404361">
            <w:pPr>
              <w:spacing w:after="0" w:line="240" w:lineRule="auto"/>
              <w:rPr>
                <w:highlight w:val="lightGray"/>
              </w:rPr>
            </w:pPr>
            <w:r w:rsidRPr="004E31A7">
              <w:t>Tasa arancelaria vigente para la importación de equipo electromecánico. Se utilizará el valor vigente del último día hábil del segundo mes anterior a aquél en que las tarifas serán aplicadas.</w:t>
            </w:r>
          </w:p>
          <w:p w14:paraId="480BA917" w14:textId="77777777" w:rsidR="00084018" w:rsidRPr="004E31A7" w:rsidRDefault="00084018" w:rsidP="00404361">
            <w:pPr>
              <w:spacing w:after="0" w:line="240" w:lineRule="auto"/>
              <w:rPr>
                <w:highlight w:val="lightGray"/>
              </w:rPr>
            </w:pPr>
          </w:p>
        </w:tc>
      </w:tr>
      <w:tr w:rsidR="00084018" w:rsidRPr="004E31A7" w14:paraId="32A47EEF" w14:textId="77777777">
        <w:tc>
          <w:tcPr>
            <w:tcW w:w="2830" w:type="dxa"/>
            <w:shd w:val="clear" w:color="auto" w:fill="auto"/>
          </w:tcPr>
          <w:p w14:paraId="200F1302" w14:textId="77777777" w:rsidR="00084018" w:rsidRPr="004E31A7" w:rsidRDefault="00084018" w:rsidP="00404361">
            <w:pPr>
              <w:spacing w:after="0" w:line="240" w:lineRule="auto"/>
              <w:rPr>
                <w:highlight w:val="lightGray"/>
              </w:rPr>
            </w:pPr>
            <w:r w:rsidRPr="004E31A7">
              <w:t xml:space="preserve">t </w:t>
            </w:r>
            <w:r w:rsidRPr="00A759A6">
              <w:rPr>
                <w:vertAlign w:val="subscript"/>
              </w:rPr>
              <w:t>k</w:t>
            </w:r>
            <w:r w:rsidRPr="004E31A7">
              <w:t xml:space="preserve">                 :</w:t>
            </w:r>
          </w:p>
        </w:tc>
        <w:tc>
          <w:tcPr>
            <w:tcW w:w="6998" w:type="dxa"/>
            <w:shd w:val="clear" w:color="auto" w:fill="auto"/>
          </w:tcPr>
          <w:p w14:paraId="7D5906D2" w14:textId="77777777" w:rsidR="00084018" w:rsidRPr="004E31A7" w:rsidRDefault="00084018" w:rsidP="00404361">
            <w:pPr>
              <w:spacing w:after="0" w:line="240" w:lineRule="auto"/>
            </w:pPr>
            <w:r w:rsidRPr="004E31A7">
              <w:t>Tasa de impuestos a las utilidades de primera categoría aplicables a la empresa eficiente en el segundo mes anterior al mes k.</w:t>
            </w:r>
          </w:p>
          <w:p w14:paraId="5B67A7FD" w14:textId="77777777" w:rsidR="00084018" w:rsidRPr="004E31A7" w:rsidRDefault="00084018" w:rsidP="00404361">
            <w:pPr>
              <w:spacing w:after="0" w:line="240" w:lineRule="auto"/>
              <w:rPr>
                <w:highlight w:val="lightGray"/>
              </w:rPr>
            </w:pPr>
          </w:p>
        </w:tc>
      </w:tr>
      <w:tr w:rsidR="00084018" w:rsidRPr="004E31A7" w14:paraId="5A8D1139" w14:textId="77777777">
        <w:tc>
          <w:tcPr>
            <w:tcW w:w="2830" w:type="dxa"/>
            <w:shd w:val="clear" w:color="auto" w:fill="auto"/>
          </w:tcPr>
          <w:p w14:paraId="6BA6717C" w14:textId="77777777" w:rsidR="00084018" w:rsidRPr="004E31A7" w:rsidRDefault="00084018" w:rsidP="00404361">
            <w:pPr>
              <w:spacing w:after="0" w:line="240" w:lineRule="auto"/>
              <w:rPr>
                <w:highlight w:val="lightGray"/>
              </w:rPr>
            </w:pPr>
            <w:r w:rsidRPr="004E31A7">
              <w:rPr>
                <w:rFonts w:ascii="Symbol" w:hAnsi="Symbol"/>
              </w:rPr>
              <w:t></w:t>
            </w:r>
            <w:r w:rsidRPr="004E31A7">
              <w:t xml:space="preserve">j, </w:t>
            </w:r>
            <w:r w:rsidRPr="004E31A7">
              <w:rPr>
                <w:rFonts w:ascii="Symbol" w:hAnsi="Symbol"/>
              </w:rPr>
              <w:t></w:t>
            </w:r>
            <w:r w:rsidRPr="004E31A7">
              <w:t xml:space="preserve">j, </w:t>
            </w:r>
            <w:r w:rsidRPr="004E31A7">
              <w:rPr>
                <w:rFonts w:ascii="Symbol" w:hAnsi="Symbol"/>
              </w:rPr>
              <w:t></w:t>
            </w:r>
            <w:r w:rsidRPr="004E31A7">
              <w:t xml:space="preserve">j, </w:t>
            </w:r>
            <w:r w:rsidRPr="004E31A7">
              <w:rPr>
                <w:rFonts w:ascii="Symbol" w:hAnsi="Symbol"/>
              </w:rPr>
              <w:t></w:t>
            </w:r>
            <w:r w:rsidRPr="004E31A7">
              <w:t>j  :</w:t>
            </w:r>
          </w:p>
        </w:tc>
        <w:tc>
          <w:tcPr>
            <w:tcW w:w="6998" w:type="dxa"/>
            <w:shd w:val="clear" w:color="auto" w:fill="auto"/>
          </w:tcPr>
          <w:p w14:paraId="6B5C9A01" w14:textId="77777777" w:rsidR="00084018" w:rsidRPr="004E31A7" w:rsidRDefault="00084018" w:rsidP="00404361">
            <w:pPr>
              <w:spacing w:after="0" w:line="240" w:lineRule="auto"/>
              <w:rPr>
                <w:highlight w:val="lightGray"/>
              </w:rPr>
            </w:pPr>
            <w:r w:rsidRPr="004E31A7">
              <w:t xml:space="preserve">Coeficientes de indexación para el tipo de tramo j. Se debe cumplir que </w:t>
            </w:r>
            <w:r w:rsidRPr="004E31A7">
              <w:rPr>
                <w:rFonts w:ascii="Symbol" w:hAnsi="Symbol"/>
              </w:rPr>
              <w:t></w:t>
            </w:r>
            <w:r w:rsidRPr="004E31A7">
              <w:t>j+</w:t>
            </w:r>
            <w:r w:rsidRPr="004E31A7">
              <w:rPr>
                <w:rFonts w:ascii="Symbol" w:hAnsi="Symbol"/>
              </w:rPr>
              <w:t></w:t>
            </w:r>
            <w:r w:rsidRPr="004E31A7">
              <w:t xml:space="preserve">j =1, y </w:t>
            </w:r>
            <w:r w:rsidRPr="004E31A7">
              <w:rPr>
                <w:rFonts w:ascii="Symbol" w:hAnsi="Symbol"/>
              </w:rPr>
              <w:t></w:t>
            </w:r>
            <w:r w:rsidRPr="004E31A7">
              <w:t>j+</w:t>
            </w:r>
            <w:r w:rsidRPr="004E31A7">
              <w:rPr>
                <w:rFonts w:ascii="Symbol" w:hAnsi="Symbol"/>
              </w:rPr>
              <w:t></w:t>
            </w:r>
            <w:r w:rsidRPr="004E31A7">
              <w:t>j =1</w:t>
            </w:r>
          </w:p>
        </w:tc>
      </w:tr>
    </w:tbl>
    <w:p w14:paraId="70DA9118" w14:textId="77777777" w:rsidR="00084018" w:rsidRPr="004E31A7" w:rsidRDefault="00084018" w:rsidP="00084018">
      <w:pPr>
        <w:rPr>
          <w:highlight w:val="lightGray"/>
        </w:rPr>
      </w:pPr>
    </w:p>
    <w:p w14:paraId="0BFD3A50" w14:textId="77777777" w:rsidR="00084018" w:rsidRPr="00084018" w:rsidRDefault="00084018" w:rsidP="007A50E9">
      <w:pPr>
        <w:pStyle w:val="Ttulo3"/>
      </w:pPr>
      <w:bookmarkStart w:id="365" w:name="_Toc27147814"/>
      <w:bookmarkStart w:id="366" w:name="_Toc34687293"/>
      <w:r w:rsidRPr="00084018">
        <w:t>Indexadores y Valores Base</w:t>
      </w:r>
      <w:bookmarkEnd w:id="365"/>
      <w:bookmarkEnd w:id="366"/>
    </w:p>
    <w:p w14:paraId="0CB2B475" w14:textId="77777777" w:rsidR="00084018" w:rsidRDefault="00084018" w:rsidP="00084018">
      <w:r>
        <w:t xml:space="preserve">Se determinan a continuación los valores base de la fórmula de indexación, a saber, los valores de </w:t>
      </w:r>
      <w:r w:rsidRPr="00EE2F47">
        <w:t>Ta</w:t>
      </w:r>
      <w:r w:rsidRPr="003C7297">
        <w:rPr>
          <w:vertAlign w:val="subscript"/>
        </w:rPr>
        <w:t>o</w:t>
      </w:r>
      <w:r>
        <w:t xml:space="preserve">, </w:t>
      </w:r>
      <w:r w:rsidRPr="00EE2F47">
        <w:t>IPC</w:t>
      </w:r>
      <w:r w:rsidRPr="003C7297">
        <w:rPr>
          <w:vertAlign w:val="subscript"/>
        </w:rPr>
        <w:t>o</w:t>
      </w:r>
      <w:r w:rsidRPr="00EE2F47">
        <w:t>, CPI</w:t>
      </w:r>
      <w:r w:rsidRPr="003C7297">
        <w:rPr>
          <w:vertAlign w:val="subscript"/>
        </w:rPr>
        <w:t>o</w:t>
      </w:r>
      <w:r w:rsidRPr="00EE2F47">
        <w:t>, Tc</w:t>
      </w:r>
      <w:r w:rsidRPr="003C7297">
        <w:rPr>
          <w:vertAlign w:val="subscript"/>
        </w:rPr>
        <w:t>o</w:t>
      </w:r>
      <w:r>
        <w:t>.</w:t>
      </w:r>
      <w:r w:rsidRPr="00EE2F47">
        <w:t xml:space="preserve"> </w:t>
      </w:r>
    </w:p>
    <w:p w14:paraId="3EC1921E" w14:textId="77777777" w:rsidR="00084018" w:rsidRPr="00EE2F47" w:rsidRDefault="00084018" w:rsidP="00084018">
      <w:r w:rsidRPr="00EE2F47">
        <w:t xml:space="preserve">Conforme las Bases lo establecen, el valor de los indexadores </w:t>
      </w:r>
      <w:r>
        <w:t>contenidos en la fórmula</w:t>
      </w:r>
      <w:r w:rsidRPr="00EE2F47">
        <w:t>, a aplicar en el mes en que las tarifas serán aplicadas, o mes “k”, corresponden al mostrado en el segundo mes anterior a aquél. Considerando que el valor base del V.A.T.T., esto es su valor para el mes k=0, se establece a diciembre de 2017, el mes de los valores base de los indexadores se establecería a octubre de 2017 en tanto éste corresponde al segundo mes anterior.</w:t>
      </w:r>
    </w:p>
    <w:p w14:paraId="230F69C8" w14:textId="77777777" w:rsidR="00084018" w:rsidRDefault="00084018" w:rsidP="00084018">
      <w:r>
        <w:t>Así, los valores base se establecen como se señala a continuación.</w:t>
      </w:r>
    </w:p>
    <w:p w14:paraId="2159F22D" w14:textId="77777777" w:rsidR="00084018" w:rsidRPr="00035E3B" w:rsidRDefault="00084018" w:rsidP="002E20CA">
      <w:pPr>
        <w:numPr>
          <w:ilvl w:val="0"/>
          <w:numId w:val="16"/>
        </w:numPr>
        <w:rPr>
          <w:b/>
          <w:bCs/>
        </w:rPr>
      </w:pPr>
      <w:r w:rsidRPr="00DE7C78">
        <w:rPr>
          <w:b/>
          <w:bCs/>
        </w:rPr>
        <w:t xml:space="preserve"> </w:t>
      </w:r>
      <w:r w:rsidRPr="00035E3B">
        <w:rPr>
          <w:b/>
          <w:bCs/>
        </w:rPr>
        <w:t>Tasa de Arancel (Ta)</w:t>
      </w:r>
      <w:r w:rsidRPr="00DE7C78">
        <w:rPr>
          <w:vertAlign w:val="superscript"/>
        </w:rPr>
        <w:footnoteReference w:id="41"/>
      </w:r>
    </w:p>
    <w:p w14:paraId="12AC7DFE" w14:textId="77777777" w:rsidR="00084018" w:rsidRDefault="00084018" w:rsidP="00084018">
      <w:r>
        <w:t>Se c</w:t>
      </w:r>
      <w:r w:rsidRPr="00BC416F">
        <w:t xml:space="preserve">onsiderará el arancel general establecido actualmente por la Ley N°19.589 de 2003 del Ministerio de Hacienda, </w:t>
      </w:r>
      <w:r>
        <w:t xml:space="preserve">que corresponde al 6%, y </w:t>
      </w:r>
      <w:r w:rsidRPr="00BC416F">
        <w:t>que no ha sufrido variaciones desde entonces</w:t>
      </w:r>
      <w:r>
        <w:t xml:space="preserve">. El valor base de la tasa de arancel </w:t>
      </w:r>
      <w:r w:rsidRPr="00EE2F47">
        <w:t>Ta</w:t>
      </w:r>
      <w:r w:rsidRPr="003C7297">
        <w:rPr>
          <w:vertAlign w:val="subscript"/>
        </w:rPr>
        <w:t>o</w:t>
      </w:r>
      <w:r>
        <w:t xml:space="preserve"> corresponderá, entonces, al 6%, es decir, </w:t>
      </w:r>
      <w:r w:rsidRPr="00DE7C78">
        <w:rPr>
          <w:b/>
          <w:bCs/>
        </w:rPr>
        <w:t>Ta</w:t>
      </w:r>
      <w:r w:rsidRPr="00DE7C78">
        <w:rPr>
          <w:b/>
          <w:bCs/>
          <w:vertAlign w:val="subscript"/>
        </w:rPr>
        <w:t>o</w:t>
      </w:r>
      <w:r w:rsidRPr="00DE7C78">
        <w:rPr>
          <w:b/>
          <w:bCs/>
        </w:rPr>
        <w:t xml:space="preserve"> = 0,06</w:t>
      </w:r>
      <w:r>
        <w:t>.</w:t>
      </w:r>
    </w:p>
    <w:p w14:paraId="7E6A4459" w14:textId="77777777" w:rsidR="00084018" w:rsidRPr="003C7297" w:rsidRDefault="00084018" w:rsidP="002E20CA">
      <w:pPr>
        <w:numPr>
          <w:ilvl w:val="0"/>
          <w:numId w:val="16"/>
        </w:numPr>
        <w:rPr>
          <w:b/>
          <w:bCs/>
        </w:rPr>
      </w:pPr>
      <w:r w:rsidRPr="003C7297">
        <w:rPr>
          <w:b/>
          <w:bCs/>
        </w:rPr>
        <w:t>Índice de Precios al Consumidor (IPC)</w:t>
      </w:r>
    </w:p>
    <w:p w14:paraId="4DCD0AAF" w14:textId="77777777" w:rsidR="00084018" w:rsidRDefault="00084018" w:rsidP="00084018">
      <w:r w:rsidRPr="00EE2F47">
        <w:t>Para indexar las componentes de costo nacionales, las bases instruyen considerar la variación del Índice de Precios al Consumidor (IPC) publicado por el Instituto Nacional de Estadísticas (INE). Actualmente el INE emite el indicador de IPC con base en el año 2018. La tabla siguiente muestra la serie empalmada -a base constante- con base en 2018 pa</w:t>
      </w:r>
      <w:r w:rsidR="008A5FF6">
        <w:t>ra el período enero 2017 a diciembre</w:t>
      </w:r>
      <w:r w:rsidRPr="00EE2F47">
        <w:t xml:space="preserve"> 2019</w:t>
      </w:r>
      <w:r w:rsidRPr="006B2448">
        <w:rPr>
          <w:rStyle w:val="Refdenotaalpie"/>
        </w:rPr>
        <w:footnoteReference w:id="42"/>
      </w:r>
      <w:r w:rsidRPr="00EE2F47">
        <w:t>:</w:t>
      </w:r>
    </w:p>
    <w:p w14:paraId="4E1FBB42" w14:textId="7D92662D" w:rsidR="00084018" w:rsidRDefault="00084018" w:rsidP="00084018">
      <w:pPr>
        <w:spacing w:after="120"/>
        <w:jc w:val="center"/>
        <w:rPr>
          <w:b/>
          <w:bCs/>
          <w:sz w:val="20"/>
          <w:szCs w:val="20"/>
        </w:rPr>
      </w:pPr>
      <w:bookmarkStart w:id="367" w:name="_Toc27147884"/>
      <w:r>
        <w:rPr>
          <w:b/>
          <w:bCs/>
          <w:sz w:val="20"/>
          <w:szCs w:val="20"/>
        </w:rPr>
        <w:t>Tabla Nº</w:t>
      </w:r>
      <w:r w:rsidRPr="00635F7D">
        <w:rPr>
          <w:b/>
          <w:bCs/>
          <w:sz w:val="20"/>
          <w:szCs w:val="20"/>
        </w:rPr>
        <w:t xml:space="preserve"> </w:t>
      </w:r>
      <w:r w:rsidR="009F3AA0">
        <w:rPr>
          <w:b/>
          <w:bCs/>
          <w:sz w:val="20"/>
          <w:szCs w:val="20"/>
        </w:rPr>
        <w:t>9</w:t>
      </w:r>
      <w:r w:rsidRPr="00635F7D">
        <w:rPr>
          <w:b/>
          <w:bCs/>
          <w:sz w:val="20"/>
          <w:szCs w:val="20"/>
        </w:rPr>
        <w:t xml:space="preserve"> </w:t>
      </w:r>
      <w:r w:rsidRPr="0077496F">
        <w:rPr>
          <w:b/>
          <w:bCs/>
          <w:sz w:val="20"/>
          <w:szCs w:val="20"/>
        </w:rPr>
        <w:t>IPC Base 2018</w:t>
      </w:r>
      <w:bookmarkEnd w:id="367"/>
    </w:p>
    <w:tbl>
      <w:tblPr>
        <w:tblW w:w="9021" w:type="dxa"/>
        <w:jc w:val="center"/>
        <w:tblCellMar>
          <w:left w:w="70" w:type="dxa"/>
          <w:right w:w="70" w:type="dxa"/>
        </w:tblCellMar>
        <w:tblLook w:val="0000" w:firstRow="0" w:lastRow="0" w:firstColumn="0" w:lastColumn="0" w:noHBand="0" w:noVBand="0"/>
      </w:tblPr>
      <w:tblGrid>
        <w:gridCol w:w="694"/>
        <w:gridCol w:w="704"/>
        <w:gridCol w:w="704"/>
        <w:gridCol w:w="704"/>
        <w:gridCol w:w="704"/>
        <w:gridCol w:w="704"/>
        <w:gridCol w:w="581"/>
        <w:gridCol w:w="704"/>
        <w:gridCol w:w="704"/>
        <w:gridCol w:w="704"/>
        <w:gridCol w:w="704"/>
        <w:gridCol w:w="704"/>
        <w:gridCol w:w="706"/>
      </w:tblGrid>
      <w:tr w:rsidR="009072B2" w:rsidRPr="009072B2" w14:paraId="2225067D" w14:textId="77777777" w:rsidTr="00A43C8E">
        <w:trPr>
          <w:trHeight w:val="262"/>
          <w:jc w:val="center"/>
        </w:trPr>
        <w:tc>
          <w:tcPr>
            <w:tcW w:w="694" w:type="dxa"/>
            <w:vMerge w:val="restart"/>
            <w:tcBorders>
              <w:top w:val="single" w:sz="4" w:space="0" w:color="auto"/>
              <w:left w:val="single" w:sz="4" w:space="0" w:color="auto"/>
              <w:bottom w:val="single" w:sz="4" w:space="0" w:color="auto"/>
              <w:right w:val="single" w:sz="4" w:space="0" w:color="auto"/>
            </w:tcBorders>
            <w:shd w:val="solid" w:color="BFBFBF" w:themeColor="background1" w:themeShade="BF" w:fill="auto"/>
            <w:noWrap/>
            <w:vAlign w:val="bottom"/>
          </w:tcPr>
          <w:p w14:paraId="325FAB18"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Año</w:t>
            </w:r>
          </w:p>
        </w:tc>
        <w:tc>
          <w:tcPr>
            <w:tcW w:w="8327" w:type="dxa"/>
            <w:gridSpan w:val="12"/>
            <w:tcBorders>
              <w:top w:val="single" w:sz="4" w:space="0" w:color="auto"/>
              <w:left w:val="nil"/>
              <w:bottom w:val="single" w:sz="4" w:space="0" w:color="auto"/>
              <w:right w:val="single" w:sz="4" w:space="0" w:color="auto"/>
            </w:tcBorders>
            <w:shd w:val="solid" w:color="BFBFBF" w:themeColor="background1" w:themeShade="BF" w:fill="auto"/>
            <w:noWrap/>
            <w:vAlign w:val="bottom"/>
          </w:tcPr>
          <w:p w14:paraId="1B338293"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IPC Base 2018, serie empalmada INE</w:t>
            </w:r>
          </w:p>
        </w:tc>
      </w:tr>
      <w:tr w:rsidR="009072B2" w:rsidRPr="009072B2" w14:paraId="199A3026" w14:textId="77777777" w:rsidTr="00A43C8E">
        <w:trPr>
          <w:trHeight w:val="262"/>
          <w:jc w:val="center"/>
        </w:trPr>
        <w:tc>
          <w:tcPr>
            <w:tcW w:w="694" w:type="dxa"/>
            <w:vMerge/>
            <w:tcBorders>
              <w:top w:val="single" w:sz="4" w:space="0" w:color="auto"/>
              <w:left w:val="single" w:sz="4" w:space="0" w:color="auto"/>
              <w:bottom w:val="single" w:sz="4" w:space="0" w:color="auto"/>
              <w:right w:val="single" w:sz="4" w:space="0" w:color="auto"/>
            </w:tcBorders>
            <w:shd w:val="solid" w:color="BFBFBF" w:themeColor="background1" w:themeShade="BF" w:fill="auto"/>
            <w:vAlign w:val="center"/>
          </w:tcPr>
          <w:p w14:paraId="0176AF06" w14:textId="77777777" w:rsidR="009072B2" w:rsidRPr="009072B2" w:rsidRDefault="009072B2" w:rsidP="009072B2">
            <w:pPr>
              <w:spacing w:after="0" w:line="240" w:lineRule="auto"/>
              <w:jc w:val="left"/>
              <w:rPr>
                <w:color w:val="000000"/>
                <w:sz w:val="18"/>
                <w:szCs w:val="18"/>
                <w:lang w:val="es-CL" w:eastAsia="es-CL"/>
              </w:rPr>
            </w:pP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412522D7"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ene</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48B66BA5"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feb</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194C8092"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mar</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26ED1C89"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abr</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716C6FC9"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may</w:t>
            </w:r>
          </w:p>
        </w:tc>
        <w:tc>
          <w:tcPr>
            <w:tcW w:w="581" w:type="dxa"/>
            <w:tcBorders>
              <w:top w:val="nil"/>
              <w:left w:val="nil"/>
              <w:bottom w:val="single" w:sz="4" w:space="0" w:color="auto"/>
              <w:right w:val="single" w:sz="4" w:space="0" w:color="auto"/>
            </w:tcBorders>
            <w:shd w:val="solid" w:color="BFBFBF" w:themeColor="background1" w:themeShade="BF" w:fill="auto"/>
            <w:noWrap/>
            <w:vAlign w:val="bottom"/>
          </w:tcPr>
          <w:p w14:paraId="68095ED0"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jun</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4A8747E0"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jul</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42DD2EF2"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ago</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3A5EDA33"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sep</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63E599A9"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oct</w:t>
            </w:r>
          </w:p>
        </w:tc>
        <w:tc>
          <w:tcPr>
            <w:tcW w:w="704" w:type="dxa"/>
            <w:tcBorders>
              <w:top w:val="nil"/>
              <w:left w:val="nil"/>
              <w:bottom w:val="single" w:sz="4" w:space="0" w:color="auto"/>
              <w:right w:val="single" w:sz="4" w:space="0" w:color="auto"/>
            </w:tcBorders>
            <w:shd w:val="solid" w:color="BFBFBF" w:themeColor="background1" w:themeShade="BF" w:fill="auto"/>
            <w:noWrap/>
            <w:vAlign w:val="bottom"/>
          </w:tcPr>
          <w:p w14:paraId="7A44DF01"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nov</w:t>
            </w:r>
          </w:p>
        </w:tc>
        <w:tc>
          <w:tcPr>
            <w:tcW w:w="706" w:type="dxa"/>
            <w:tcBorders>
              <w:top w:val="nil"/>
              <w:left w:val="nil"/>
              <w:bottom w:val="single" w:sz="4" w:space="0" w:color="auto"/>
              <w:right w:val="single" w:sz="4" w:space="0" w:color="auto"/>
            </w:tcBorders>
            <w:shd w:val="solid" w:color="BFBFBF" w:themeColor="background1" w:themeShade="BF" w:fill="auto"/>
            <w:noWrap/>
            <w:vAlign w:val="bottom"/>
          </w:tcPr>
          <w:p w14:paraId="3F2C17CF" w14:textId="77777777" w:rsidR="009072B2" w:rsidRPr="009072B2" w:rsidRDefault="009072B2" w:rsidP="009072B2">
            <w:pPr>
              <w:spacing w:after="0" w:line="240" w:lineRule="auto"/>
              <w:jc w:val="center"/>
              <w:rPr>
                <w:b/>
                <w:color w:val="000000"/>
                <w:sz w:val="18"/>
                <w:szCs w:val="18"/>
                <w:lang w:val="es-CL" w:eastAsia="es-CL"/>
              </w:rPr>
            </w:pPr>
            <w:r w:rsidRPr="009072B2">
              <w:rPr>
                <w:b/>
                <w:color w:val="000000"/>
                <w:sz w:val="18"/>
                <w:szCs w:val="18"/>
                <w:lang w:val="es-CL" w:eastAsia="es-CL"/>
              </w:rPr>
              <w:t>dic</w:t>
            </w:r>
          </w:p>
        </w:tc>
      </w:tr>
      <w:tr w:rsidR="009072B2" w:rsidRPr="009072B2" w14:paraId="7F0DADF3" w14:textId="77777777">
        <w:trPr>
          <w:trHeight w:val="262"/>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4B35F460"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2017</w:t>
            </w:r>
          </w:p>
        </w:tc>
        <w:tc>
          <w:tcPr>
            <w:tcW w:w="704" w:type="dxa"/>
            <w:tcBorders>
              <w:top w:val="nil"/>
              <w:left w:val="nil"/>
              <w:bottom w:val="single" w:sz="4" w:space="0" w:color="auto"/>
              <w:right w:val="single" w:sz="4" w:space="0" w:color="auto"/>
            </w:tcBorders>
            <w:shd w:val="clear" w:color="auto" w:fill="auto"/>
            <w:noWrap/>
            <w:vAlign w:val="bottom"/>
          </w:tcPr>
          <w:p w14:paraId="6FECE728"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96,46</w:t>
            </w:r>
          </w:p>
        </w:tc>
        <w:tc>
          <w:tcPr>
            <w:tcW w:w="704" w:type="dxa"/>
            <w:tcBorders>
              <w:top w:val="nil"/>
              <w:left w:val="nil"/>
              <w:bottom w:val="single" w:sz="4" w:space="0" w:color="auto"/>
              <w:right w:val="single" w:sz="4" w:space="0" w:color="auto"/>
            </w:tcBorders>
            <w:shd w:val="clear" w:color="auto" w:fill="auto"/>
            <w:noWrap/>
            <w:vAlign w:val="bottom"/>
          </w:tcPr>
          <w:p w14:paraId="6E6CD30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96,69</w:t>
            </w:r>
          </w:p>
        </w:tc>
        <w:tc>
          <w:tcPr>
            <w:tcW w:w="704" w:type="dxa"/>
            <w:tcBorders>
              <w:top w:val="nil"/>
              <w:left w:val="nil"/>
              <w:bottom w:val="single" w:sz="4" w:space="0" w:color="auto"/>
              <w:right w:val="single" w:sz="4" w:space="0" w:color="auto"/>
            </w:tcBorders>
            <w:shd w:val="clear" w:color="auto" w:fill="auto"/>
            <w:noWrap/>
            <w:vAlign w:val="bottom"/>
          </w:tcPr>
          <w:p w14:paraId="5FE8AA2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97,06</w:t>
            </w:r>
          </w:p>
        </w:tc>
        <w:tc>
          <w:tcPr>
            <w:tcW w:w="704" w:type="dxa"/>
            <w:tcBorders>
              <w:top w:val="nil"/>
              <w:left w:val="nil"/>
              <w:bottom w:val="single" w:sz="4" w:space="0" w:color="auto"/>
              <w:right w:val="single" w:sz="4" w:space="0" w:color="auto"/>
            </w:tcBorders>
            <w:shd w:val="clear" w:color="auto" w:fill="auto"/>
            <w:noWrap/>
            <w:vAlign w:val="bottom"/>
          </w:tcPr>
          <w:p w14:paraId="7BD488AF"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97,3</w:t>
            </w:r>
          </w:p>
        </w:tc>
        <w:tc>
          <w:tcPr>
            <w:tcW w:w="704" w:type="dxa"/>
            <w:tcBorders>
              <w:top w:val="nil"/>
              <w:left w:val="nil"/>
              <w:bottom w:val="single" w:sz="4" w:space="0" w:color="auto"/>
              <w:right w:val="single" w:sz="4" w:space="0" w:color="auto"/>
            </w:tcBorders>
            <w:shd w:val="clear" w:color="auto" w:fill="auto"/>
            <w:noWrap/>
            <w:vAlign w:val="bottom"/>
          </w:tcPr>
          <w:p w14:paraId="238C9EB5"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97,42</w:t>
            </w:r>
          </w:p>
        </w:tc>
        <w:tc>
          <w:tcPr>
            <w:tcW w:w="581" w:type="dxa"/>
            <w:tcBorders>
              <w:top w:val="nil"/>
              <w:left w:val="nil"/>
              <w:bottom w:val="single" w:sz="4" w:space="0" w:color="auto"/>
              <w:right w:val="single" w:sz="4" w:space="0" w:color="auto"/>
            </w:tcBorders>
            <w:shd w:val="clear" w:color="auto" w:fill="auto"/>
            <w:noWrap/>
            <w:vAlign w:val="bottom"/>
          </w:tcPr>
          <w:p w14:paraId="64B1466A"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97,04</w:t>
            </w:r>
          </w:p>
        </w:tc>
        <w:tc>
          <w:tcPr>
            <w:tcW w:w="704" w:type="dxa"/>
            <w:tcBorders>
              <w:top w:val="nil"/>
              <w:left w:val="nil"/>
              <w:bottom w:val="single" w:sz="4" w:space="0" w:color="auto"/>
              <w:right w:val="single" w:sz="4" w:space="0" w:color="auto"/>
            </w:tcBorders>
            <w:shd w:val="clear" w:color="auto" w:fill="auto"/>
            <w:noWrap/>
            <w:vAlign w:val="bottom"/>
          </w:tcPr>
          <w:p w14:paraId="7FE7475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97,27</w:t>
            </w:r>
          </w:p>
        </w:tc>
        <w:tc>
          <w:tcPr>
            <w:tcW w:w="704" w:type="dxa"/>
            <w:tcBorders>
              <w:top w:val="nil"/>
              <w:left w:val="nil"/>
              <w:bottom w:val="single" w:sz="4" w:space="0" w:color="auto"/>
              <w:right w:val="single" w:sz="4" w:space="0" w:color="auto"/>
            </w:tcBorders>
            <w:shd w:val="clear" w:color="auto" w:fill="auto"/>
            <w:noWrap/>
            <w:vAlign w:val="bottom"/>
          </w:tcPr>
          <w:p w14:paraId="66A8D7F4"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97,47</w:t>
            </w:r>
          </w:p>
        </w:tc>
        <w:tc>
          <w:tcPr>
            <w:tcW w:w="704" w:type="dxa"/>
            <w:tcBorders>
              <w:top w:val="nil"/>
              <w:left w:val="nil"/>
              <w:bottom w:val="single" w:sz="4" w:space="0" w:color="auto"/>
              <w:right w:val="single" w:sz="4" w:space="0" w:color="auto"/>
            </w:tcBorders>
            <w:shd w:val="clear" w:color="auto" w:fill="auto"/>
            <w:noWrap/>
            <w:vAlign w:val="bottom"/>
          </w:tcPr>
          <w:p w14:paraId="76719583"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97,32</w:t>
            </w:r>
          </w:p>
        </w:tc>
        <w:tc>
          <w:tcPr>
            <w:tcW w:w="704" w:type="dxa"/>
            <w:tcBorders>
              <w:top w:val="nil"/>
              <w:left w:val="nil"/>
              <w:bottom w:val="single" w:sz="4" w:space="0" w:color="auto"/>
              <w:right w:val="single" w:sz="4" w:space="0" w:color="auto"/>
            </w:tcBorders>
            <w:shd w:val="clear" w:color="auto" w:fill="auto"/>
            <w:noWrap/>
            <w:vAlign w:val="bottom"/>
          </w:tcPr>
          <w:p w14:paraId="7E81B5AD"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97,89</w:t>
            </w:r>
          </w:p>
        </w:tc>
        <w:tc>
          <w:tcPr>
            <w:tcW w:w="704" w:type="dxa"/>
            <w:tcBorders>
              <w:top w:val="nil"/>
              <w:left w:val="nil"/>
              <w:bottom w:val="single" w:sz="4" w:space="0" w:color="auto"/>
              <w:right w:val="single" w:sz="4" w:space="0" w:color="auto"/>
            </w:tcBorders>
            <w:shd w:val="clear" w:color="auto" w:fill="auto"/>
            <w:noWrap/>
            <w:vAlign w:val="bottom"/>
          </w:tcPr>
          <w:p w14:paraId="5123AE0D"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97,98</w:t>
            </w:r>
          </w:p>
        </w:tc>
        <w:tc>
          <w:tcPr>
            <w:tcW w:w="706" w:type="dxa"/>
            <w:tcBorders>
              <w:top w:val="nil"/>
              <w:left w:val="nil"/>
              <w:bottom w:val="single" w:sz="4" w:space="0" w:color="auto"/>
              <w:right w:val="single" w:sz="4" w:space="0" w:color="auto"/>
            </w:tcBorders>
            <w:shd w:val="clear" w:color="auto" w:fill="auto"/>
            <w:noWrap/>
            <w:vAlign w:val="bottom"/>
          </w:tcPr>
          <w:p w14:paraId="60D8FA78"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98,12</w:t>
            </w:r>
          </w:p>
        </w:tc>
      </w:tr>
      <w:tr w:rsidR="009072B2" w:rsidRPr="009072B2" w14:paraId="15788FFB" w14:textId="77777777">
        <w:trPr>
          <w:trHeight w:val="262"/>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4AD733BF"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2018</w:t>
            </w:r>
          </w:p>
        </w:tc>
        <w:tc>
          <w:tcPr>
            <w:tcW w:w="704" w:type="dxa"/>
            <w:tcBorders>
              <w:top w:val="nil"/>
              <w:left w:val="nil"/>
              <w:bottom w:val="single" w:sz="4" w:space="0" w:color="auto"/>
              <w:right w:val="single" w:sz="4" w:space="0" w:color="auto"/>
            </w:tcBorders>
            <w:shd w:val="clear" w:color="auto" w:fill="auto"/>
            <w:noWrap/>
            <w:vAlign w:val="bottom"/>
          </w:tcPr>
          <w:p w14:paraId="3CE8F29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98,57</w:t>
            </w:r>
          </w:p>
        </w:tc>
        <w:tc>
          <w:tcPr>
            <w:tcW w:w="704" w:type="dxa"/>
            <w:tcBorders>
              <w:top w:val="nil"/>
              <w:left w:val="nil"/>
              <w:bottom w:val="single" w:sz="4" w:space="0" w:color="auto"/>
              <w:right w:val="single" w:sz="4" w:space="0" w:color="auto"/>
            </w:tcBorders>
            <w:shd w:val="clear" w:color="auto" w:fill="auto"/>
            <w:noWrap/>
            <w:vAlign w:val="bottom"/>
          </w:tcPr>
          <w:p w14:paraId="4FAF5A4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98,62</w:t>
            </w:r>
          </w:p>
        </w:tc>
        <w:tc>
          <w:tcPr>
            <w:tcW w:w="704" w:type="dxa"/>
            <w:tcBorders>
              <w:top w:val="nil"/>
              <w:left w:val="nil"/>
              <w:bottom w:val="single" w:sz="4" w:space="0" w:color="auto"/>
              <w:right w:val="single" w:sz="4" w:space="0" w:color="auto"/>
            </w:tcBorders>
            <w:shd w:val="clear" w:color="auto" w:fill="auto"/>
            <w:noWrap/>
            <w:vAlign w:val="bottom"/>
          </w:tcPr>
          <w:p w14:paraId="15274451"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98,82</w:t>
            </w:r>
          </w:p>
        </w:tc>
        <w:tc>
          <w:tcPr>
            <w:tcW w:w="704" w:type="dxa"/>
            <w:tcBorders>
              <w:top w:val="nil"/>
              <w:left w:val="nil"/>
              <w:bottom w:val="single" w:sz="4" w:space="0" w:color="auto"/>
              <w:right w:val="single" w:sz="4" w:space="0" w:color="auto"/>
            </w:tcBorders>
            <w:shd w:val="clear" w:color="auto" w:fill="auto"/>
            <w:noWrap/>
            <w:vAlign w:val="bottom"/>
          </w:tcPr>
          <w:p w14:paraId="1E7487D5"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99,13</w:t>
            </w:r>
          </w:p>
        </w:tc>
        <w:tc>
          <w:tcPr>
            <w:tcW w:w="704" w:type="dxa"/>
            <w:tcBorders>
              <w:top w:val="nil"/>
              <w:left w:val="nil"/>
              <w:bottom w:val="single" w:sz="4" w:space="0" w:color="auto"/>
              <w:right w:val="single" w:sz="4" w:space="0" w:color="auto"/>
            </w:tcBorders>
            <w:shd w:val="clear" w:color="auto" w:fill="auto"/>
            <w:noWrap/>
            <w:vAlign w:val="bottom"/>
          </w:tcPr>
          <w:p w14:paraId="778BB6E4"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99,41</w:t>
            </w:r>
          </w:p>
        </w:tc>
        <w:tc>
          <w:tcPr>
            <w:tcW w:w="581" w:type="dxa"/>
            <w:tcBorders>
              <w:top w:val="nil"/>
              <w:left w:val="nil"/>
              <w:bottom w:val="single" w:sz="4" w:space="0" w:color="auto"/>
              <w:right w:val="single" w:sz="4" w:space="0" w:color="auto"/>
            </w:tcBorders>
            <w:shd w:val="clear" w:color="auto" w:fill="auto"/>
            <w:noWrap/>
            <w:vAlign w:val="bottom"/>
          </w:tcPr>
          <w:p w14:paraId="45F431BA"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99,51</w:t>
            </w:r>
          </w:p>
        </w:tc>
        <w:tc>
          <w:tcPr>
            <w:tcW w:w="704" w:type="dxa"/>
            <w:tcBorders>
              <w:top w:val="nil"/>
              <w:left w:val="nil"/>
              <w:bottom w:val="single" w:sz="4" w:space="0" w:color="auto"/>
              <w:right w:val="single" w:sz="4" w:space="0" w:color="auto"/>
            </w:tcBorders>
            <w:shd w:val="clear" w:color="auto" w:fill="auto"/>
            <w:noWrap/>
            <w:vAlign w:val="bottom"/>
          </w:tcPr>
          <w:p w14:paraId="442491CC"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99,86</w:t>
            </w:r>
          </w:p>
        </w:tc>
        <w:tc>
          <w:tcPr>
            <w:tcW w:w="704" w:type="dxa"/>
            <w:tcBorders>
              <w:top w:val="nil"/>
              <w:left w:val="nil"/>
              <w:bottom w:val="single" w:sz="4" w:space="0" w:color="auto"/>
              <w:right w:val="single" w:sz="4" w:space="0" w:color="auto"/>
            </w:tcBorders>
            <w:shd w:val="clear" w:color="auto" w:fill="auto"/>
            <w:noWrap/>
            <w:vAlign w:val="bottom"/>
          </w:tcPr>
          <w:p w14:paraId="49FA2829"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100,04</w:t>
            </w:r>
          </w:p>
        </w:tc>
        <w:tc>
          <w:tcPr>
            <w:tcW w:w="704" w:type="dxa"/>
            <w:tcBorders>
              <w:top w:val="nil"/>
              <w:left w:val="nil"/>
              <w:bottom w:val="single" w:sz="4" w:space="0" w:color="auto"/>
              <w:right w:val="single" w:sz="4" w:space="0" w:color="auto"/>
            </w:tcBorders>
            <w:shd w:val="clear" w:color="auto" w:fill="auto"/>
            <w:noWrap/>
            <w:vAlign w:val="bottom"/>
          </w:tcPr>
          <w:p w14:paraId="1CE379B3"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100,38</w:t>
            </w:r>
          </w:p>
        </w:tc>
        <w:tc>
          <w:tcPr>
            <w:tcW w:w="704" w:type="dxa"/>
            <w:tcBorders>
              <w:top w:val="nil"/>
              <w:left w:val="nil"/>
              <w:bottom w:val="single" w:sz="4" w:space="0" w:color="auto"/>
              <w:right w:val="single" w:sz="4" w:space="0" w:color="auto"/>
            </w:tcBorders>
            <w:shd w:val="clear" w:color="auto" w:fill="auto"/>
            <w:noWrap/>
            <w:vAlign w:val="bottom"/>
          </w:tcPr>
          <w:p w14:paraId="5DC08278"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100,74</w:t>
            </w:r>
          </w:p>
        </w:tc>
        <w:tc>
          <w:tcPr>
            <w:tcW w:w="704" w:type="dxa"/>
            <w:tcBorders>
              <w:top w:val="nil"/>
              <w:left w:val="nil"/>
              <w:bottom w:val="single" w:sz="4" w:space="0" w:color="auto"/>
              <w:right w:val="single" w:sz="4" w:space="0" w:color="auto"/>
            </w:tcBorders>
            <w:shd w:val="clear" w:color="auto" w:fill="auto"/>
            <w:noWrap/>
            <w:vAlign w:val="bottom"/>
          </w:tcPr>
          <w:p w14:paraId="3D5A2982"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100,74</w:t>
            </w:r>
          </w:p>
        </w:tc>
        <w:tc>
          <w:tcPr>
            <w:tcW w:w="706" w:type="dxa"/>
            <w:tcBorders>
              <w:top w:val="nil"/>
              <w:left w:val="nil"/>
              <w:bottom w:val="single" w:sz="4" w:space="0" w:color="auto"/>
              <w:right w:val="single" w:sz="4" w:space="0" w:color="auto"/>
            </w:tcBorders>
            <w:shd w:val="clear" w:color="auto" w:fill="auto"/>
            <w:noWrap/>
            <w:vAlign w:val="bottom"/>
          </w:tcPr>
          <w:p w14:paraId="46F739FE"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100,64</w:t>
            </w:r>
          </w:p>
        </w:tc>
      </w:tr>
      <w:tr w:rsidR="009072B2" w:rsidRPr="009072B2" w14:paraId="5E84EE56" w14:textId="77777777">
        <w:trPr>
          <w:trHeight w:val="262"/>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14:paraId="4D384755"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2019</w:t>
            </w:r>
          </w:p>
        </w:tc>
        <w:tc>
          <w:tcPr>
            <w:tcW w:w="704" w:type="dxa"/>
            <w:tcBorders>
              <w:top w:val="nil"/>
              <w:left w:val="nil"/>
              <w:bottom w:val="single" w:sz="4" w:space="0" w:color="auto"/>
              <w:right w:val="single" w:sz="4" w:space="0" w:color="auto"/>
            </w:tcBorders>
            <w:shd w:val="clear" w:color="auto" w:fill="auto"/>
            <w:noWrap/>
            <w:vAlign w:val="bottom"/>
          </w:tcPr>
          <w:p w14:paraId="031555BC"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100,75</w:t>
            </w:r>
          </w:p>
        </w:tc>
        <w:tc>
          <w:tcPr>
            <w:tcW w:w="704" w:type="dxa"/>
            <w:tcBorders>
              <w:top w:val="nil"/>
              <w:left w:val="nil"/>
              <w:bottom w:val="single" w:sz="4" w:space="0" w:color="auto"/>
              <w:right w:val="single" w:sz="4" w:space="0" w:color="auto"/>
            </w:tcBorders>
            <w:shd w:val="clear" w:color="auto" w:fill="auto"/>
            <w:noWrap/>
            <w:vAlign w:val="bottom"/>
          </w:tcPr>
          <w:p w14:paraId="6486B635"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100,79</w:t>
            </w:r>
          </w:p>
        </w:tc>
        <w:tc>
          <w:tcPr>
            <w:tcW w:w="704" w:type="dxa"/>
            <w:tcBorders>
              <w:top w:val="nil"/>
              <w:left w:val="nil"/>
              <w:bottom w:val="single" w:sz="4" w:space="0" w:color="auto"/>
              <w:right w:val="single" w:sz="4" w:space="0" w:color="auto"/>
            </w:tcBorders>
            <w:shd w:val="clear" w:color="auto" w:fill="auto"/>
            <w:noWrap/>
            <w:vAlign w:val="bottom"/>
          </w:tcPr>
          <w:p w14:paraId="1F08EFD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101,27</w:t>
            </w:r>
          </w:p>
        </w:tc>
        <w:tc>
          <w:tcPr>
            <w:tcW w:w="704" w:type="dxa"/>
            <w:tcBorders>
              <w:top w:val="nil"/>
              <w:left w:val="nil"/>
              <w:bottom w:val="single" w:sz="4" w:space="0" w:color="auto"/>
              <w:right w:val="single" w:sz="4" w:space="0" w:color="auto"/>
            </w:tcBorders>
            <w:shd w:val="clear" w:color="auto" w:fill="auto"/>
            <w:noWrap/>
            <w:vAlign w:val="bottom"/>
          </w:tcPr>
          <w:p w14:paraId="34E5DAC1"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101,54</w:t>
            </w:r>
          </w:p>
        </w:tc>
        <w:tc>
          <w:tcPr>
            <w:tcW w:w="704" w:type="dxa"/>
            <w:tcBorders>
              <w:top w:val="nil"/>
              <w:left w:val="nil"/>
              <w:bottom w:val="single" w:sz="4" w:space="0" w:color="auto"/>
              <w:right w:val="single" w:sz="4" w:space="0" w:color="auto"/>
            </w:tcBorders>
            <w:shd w:val="clear" w:color="auto" w:fill="auto"/>
            <w:noWrap/>
            <w:vAlign w:val="bottom"/>
          </w:tcPr>
          <w:p w14:paraId="7105FB2C"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102,15</w:t>
            </w:r>
          </w:p>
        </w:tc>
        <w:tc>
          <w:tcPr>
            <w:tcW w:w="581" w:type="dxa"/>
            <w:tcBorders>
              <w:top w:val="nil"/>
              <w:left w:val="nil"/>
              <w:bottom w:val="single" w:sz="4" w:space="0" w:color="auto"/>
              <w:right w:val="single" w:sz="4" w:space="0" w:color="auto"/>
            </w:tcBorders>
            <w:shd w:val="clear" w:color="auto" w:fill="auto"/>
            <w:noWrap/>
            <w:vAlign w:val="bottom"/>
          </w:tcPr>
          <w:p w14:paraId="0D81B7C1"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102,2</w:t>
            </w:r>
          </w:p>
        </w:tc>
        <w:tc>
          <w:tcPr>
            <w:tcW w:w="704" w:type="dxa"/>
            <w:tcBorders>
              <w:top w:val="nil"/>
              <w:left w:val="nil"/>
              <w:bottom w:val="single" w:sz="4" w:space="0" w:color="auto"/>
              <w:right w:val="single" w:sz="4" w:space="0" w:color="auto"/>
            </w:tcBorders>
            <w:shd w:val="clear" w:color="auto" w:fill="auto"/>
            <w:noWrap/>
            <w:vAlign w:val="bottom"/>
          </w:tcPr>
          <w:p w14:paraId="447328D3"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102,43</w:t>
            </w:r>
          </w:p>
        </w:tc>
        <w:tc>
          <w:tcPr>
            <w:tcW w:w="704" w:type="dxa"/>
            <w:tcBorders>
              <w:top w:val="nil"/>
              <w:left w:val="nil"/>
              <w:bottom w:val="single" w:sz="4" w:space="0" w:color="auto"/>
              <w:right w:val="single" w:sz="4" w:space="0" w:color="auto"/>
            </w:tcBorders>
            <w:shd w:val="clear" w:color="auto" w:fill="auto"/>
            <w:noWrap/>
            <w:vAlign w:val="bottom"/>
          </w:tcPr>
          <w:p w14:paraId="10F20BF5"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102,62</w:t>
            </w:r>
          </w:p>
        </w:tc>
        <w:tc>
          <w:tcPr>
            <w:tcW w:w="704" w:type="dxa"/>
            <w:tcBorders>
              <w:top w:val="nil"/>
              <w:left w:val="nil"/>
              <w:bottom w:val="single" w:sz="4" w:space="0" w:color="auto"/>
              <w:right w:val="single" w:sz="4" w:space="0" w:color="auto"/>
            </w:tcBorders>
            <w:shd w:val="clear" w:color="auto" w:fill="auto"/>
            <w:noWrap/>
            <w:vAlign w:val="bottom"/>
          </w:tcPr>
          <w:p w14:paraId="30C17FA9"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102,63</w:t>
            </w:r>
          </w:p>
        </w:tc>
        <w:tc>
          <w:tcPr>
            <w:tcW w:w="704" w:type="dxa"/>
            <w:tcBorders>
              <w:top w:val="nil"/>
              <w:left w:val="nil"/>
              <w:bottom w:val="single" w:sz="4" w:space="0" w:color="auto"/>
              <w:right w:val="single" w:sz="4" w:space="0" w:color="auto"/>
            </w:tcBorders>
            <w:shd w:val="clear" w:color="auto" w:fill="auto"/>
            <w:noWrap/>
            <w:vAlign w:val="bottom"/>
          </w:tcPr>
          <w:p w14:paraId="0A4B3F14"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103,47</w:t>
            </w:r>
          </w:p>
        </w:tc>
        <w:tc>
          <w:tcPr>
            <w:tcW w:w="704" w:type="dxa"/>
            <w:tcBorders>
              <w:top w:val="nil"/>
              <w:left w:val="nil"/>
              <w:bottom w:val="single" w:sz="4" w:space="0" w:color="auto"/>
              <w:right w:val="single" w:sz="4" w:space="0" w:color="auto"/>
            </w:tcBorders>
            <w:shd w:val="clear" w:color="auto" w:fill="auto"/>
            <w:noWrap/>
            <w:vAlign w:val="bottom"/>
          </w:tcPr>
          <w:p w14:paraId="03BF9D17"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103,55</w:t>
            </w:r>
          </w:p>
        </w:tc>
        <w:tc>
          <w:tcPr>
            <w:tcW w:w="706" w:type="dxa"/>
            <w:tcBorders>
              <w:top w:val="nil"/>
              <w:left w:val="nil"/>
              <w:bottom w:val="single" w:sz="4" w:space="0" w:color="auto"/>
              <w:right w:val="single" w:sz="4" w:space="0" w:color="auto"/>
            </w:tcBorders>
            <w:shd w:val="clear" w:color="auto" w:fill="auto"/>
            <w:noWrap/>
            <w:vAlign w:val="bottom"/>
          </w:tcPr>
          <w:p w14:paraId="68FA1F05" w14:textId="77777777" w:rsidR="009072B2" w:rsidRPr="009072B2" w:rsidRDefault="009072B2" w:rsidP="009072B2">
            <w:pPr>
              <w:spacing w:after="0" w:line="240" w:lineRule="auto"/>
              <w:jc w:val="right"/>
              <w:rPr>
                <w:color w:val="000000"/>
                <w:sz w:val="18"/>
                <w:szCs w:val="18"/>
                <w:lang w:val="es-CL" w:eastAsia="es-CL"/>
              </w:rPr>
            </w:pPr>
            <w:r w:rsidRPr="009072B2">
              <w:rPr>
                <w:color w:val="000000"/>
                <w:sz w:val="18"/>
                <w:szCs w:val="18"/>
                <w:lang w:val="es-CL" w:eastAsia="es-CL"/>
              </w:rPr>
              <w:t>103,66</w:t>
            </w:r>
          </w:p>
        </w:tc>
      </w:tr>
    </w:tbl>
    <w:p w14:paraId="2CB84C2F" w14:textId="77777777" w:rsidR="0058219B" w:rsidRDefault="0058219B" w:rsidP="00084018"/>
    <w:p w14:paraId="354F72FA" w14:textId="77777777" w:rsidR="00084018" w:rsidRPr="00EE2F47" w:rsidRDefault="00084018" w:rsidP="00084018">
      <w:r w:rsidRPr="00EE2F47">
        <w:t xml:space="preserve">De esta forma, el valor base IPCo corresponde al valor de octubre de 2017, es decir </w:t>
      </w:r>
      <w:r w:rsidRPr="00F6077A">
        <w:rPr>
          <w:b/>
        </w:rPr>
        <w:t>IPC</w:t>
      </w:r>
      <w:r w:rsidRPr="007E5B28">
        <w:rPr>
          <w:b/>
          <w:vertAlign w:val="subscript"/>
        </w:rPr>
        <w:t>o</w:t>
      </w:r>
      <w:r>
        <w:rPr>
          <w:b/>
        </w:rPr>
        <w:t xml:space="preserve"> </w:t>
      </w:r>
      <w:r w:rsidRPr="00F6077A">
        <w:rPr>
          <w:b/>
        </w:rPr>
        <w:t>= 97,89</w:t>
      </w:r>
      <w:r w:rsidRPr="00EE2F47">
        <w:t>, con IPC base 2018.</w:t>
      </w:r>
    </w:p>
    <w:p w14:paraId="43FABABC" w14:textId="77777777" w:rsidR="00084018" w:rsidRPr="006B2448" w:rsidRDefault="00084018" w:rsidP="002E20CA">
      <w:pPr>
        <w:numPr>
          <w:ilvl w:val="0"/>
          <w:numId w:val="16"/>
        </w:numPr>
        <w:rPr>
          <w:b/>
          <w:bCs/>
        </w:rPr>
      </w:pPr>
      <w:r w:rsidRPr="006B2448">
        <w:rPr>
          <w:b/>
          <w:bCs/>
        </w:rPr>
        <w:t xml:space="preserve">Consumer Price Index </w:t>
      </w:r>
      <w:r>
        <w:rPr>
          <w:b/>
          <w:bCs/>
        </w:rPr>
        <w:t>(CPI)</w:t>
      </w:r>
    </w:p>
    <w:p w14:paraId="04DA96F1" w14:textId="77777777" w:rsidR="00084018" w:rsidRDefault="00084018" w:rsidP="00084018">
      <w:r w:rsidRPr="00EE2F47">
        <w:t xml:space="preserve">Según las bases lo señalan, las componentes de costo asociadas a recursos importados deben indexarse según la variación del </w:t>
      </w:r>
      <w:bookmarkStart w:id="368" w:name="_Hlk25659844"/>
      <w:r w:rsidRPr="00EE2F47">
        <w:t xml:space="preserve">Consumer Price Index </w:t>
      </w:r>
      <w:bookmarkEnd w:id="368"/>
      <w:r w:rsidRPr="00EE2F47">
        <w:t>(All Urban Consumers) publicado por el Bureau of Labor Statistics (BLS) del Gobierno de los Estados Unidos de América (Código BLS: CUUR0000SA0). La tabla siguiente muestra la serie de CPI pa</w:t>
      </w:r>
      <w:r w:rsidR="008A5FF6">
        <w:t>ra el período enero 2017 a diciembre</w:t>
      </w:r>
      <w:r w:rsidRPr="00EE2F47">
        <w:t xml:space="preserve"> 2019</w:t>
      </w:r>
      <w:r w:rsidRPr="006B2448">
        <w:rPr>
          <w:rStyle w:val="Refdenotaalpie"/>
        </w:rPr>
        <w:footnoteReference w:id="43"/>
      </w:r>
      <w:r w:rsidRPr="00EE2F47">
        <w:t>:</w:t>
      </w:r>
    </w:p>
    <w:p w14:paraId="50DD4A75" w14:textId="65D4B287" w:rsidR="00084018" w:rsidRDefault="00084018" w:rsidP="00397C1F">
      <w:pPr>
        <w:spacing w:after="0"/>
        <w:jc w:val="center"/>
        <w:rPr>
          <w:b/>
          <w:bCs/>
          <w:sz w:val="20"/>
          <w:szCs w:val="20"/>
          <w:lang w:val="en-US"/>
        </w:rPr>
      </w:pPr>
      <w:bookmarkStart w:id="369" w:name="_Toc27147885"/>
      <w:r w:rsidRPr="000F2820">
        <w:rPr>
          <w:b/>
          <w:bCs/>
          <w:sz w:val="20"/>
          <w:szCs w:val="20"/>
          <w:lang w:val="en-US"/>
        </w:rPr>
        <w:t xml:space="preserve">Tabla Nº </w:t>
      </w:r>
      <w:r w:rsidR="009F3AA0">
        <w:rPr>
          <w:b/>
          <w:bCs/>
          <w:sz w:val="20"/>
          <w:szCs w:val="20"/>
          <w:lang w:val="en-US"/>
        </w:rPr>
        <w:t>10</w:t>
      </w:r>
      <w:r w:rsidRPr="000F2820">
        <w:rPr>
          <w:b/>
          <w:bCs/>
          <w:sz w:val="20"/>
          <w:szCs w:val="20"/>
          <w:lang w:val="en-US"/>
        </w:rPr>
        <w:t xml:space="preserve"> Consumer Price Index All Urban Consumers</w:t>
      </w:r>
      <w:bookmarkEnd w:id="369"/>
    </w:p>
    <w:p w14:paraId="547E391A" w14:textId="77777777" w:rsidR="00397C1F" w:rsidRPr="002237F2" w:rsidRDefault="00397C1F" w:rsidP="00397C1F">
      <w:pPr>
        <w:spacing w:after="0"/>
        <w:jc w:val="center"/>
        <w:rPr>
          <w:lang w:val="en-US"/>
        </w:rPr>
      </w:pPr>
    </w:p>
    <w:tbl>
      <w:tblPr>
        <w:tblW w:w="9322" w:type="dxa"/>
        <w:jc w:val="center"/>
        <w:tblCellMar>
          <w:left w:w="70" w:type="dxa"/>
          <w:right w:w="70" w:type="dxa"/>
        </w:tblCellMar>
        <w:tblLook w:val="0000" w:firstRow="0" w:lastRow="0" w:firstColumn="0" w:lastColumn="0" w:noHBand="0" w:noVBand="0"/>
      </w:tblPr>
      <w:tblGrid>
        <w:gridCol w:w="716"/>
        <w:gridCol w:w="733"/>
        <w:gridCol w:w="733"/>
        <w:gridCol w:w="733"/>
        <w:gridCol w:w="733"/>
        <w:gridCol w:w="733"/>
        <w:gridCol w:w="733"/>
        <w:gridCol w:w="733"/>
        <w:gridCol w:w="733"/>
        <w:gridCol w:w="733"/>
        <w:gridCol w:w="733"/>
        <w:gridCol w:w="733"/>
        <w:gridCol w:w="733"/>
      </w:tblGrid>
      <w:tr w:rsidR="00397C1F" w:rsidRPr="00397C1F" w14:paraId="27DA52E8" w14:textId="77777777" w:rsidTr="00A43C8E">
        <w:trPr>
          <w:trHeight w:val="265"/>
          <w:jc w:val="center"/>
        </w:trPr>
        <w:tc>
          <w:tcPr>
            <w:tcW w:w="716" w:type="dxa"/>
            <w:vMerge w:val="restart"/>
            <w:tcBorders>
              <w:top w:val="single" w:sz="4" w:space="0" w:color="auto"/>
              <w:left w:val="single" w:sz="4" w:space="0" w:color="auto"/>
              <w:bottom w:val="single" w:sz="4" w:space="0" w:color="auto"/>
              <w:right w:val="single" w:sz="4" w:space="0" w:color="auto"/>
            </w:tcBorders>
            <w:shd w:val="solid" w:color="BFBFBF" w:themeColor="background1" w:themeShade="BF" w:fill="auto"/>
            <w:noWrap/>
            <w:vAlign w:val="bottom"/>
          </w:tcPr>
          <w:p w14:paraId="0961890B"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Año</w:t>
            </w:r>
          </w:p>
        </w:tc>
        <w:tc>
          <w:tcPr>
            <w:tcW w:w="8606" w:type="dxa"/>
            <w:gridSpan w:val="12"/>
            <w:tcBorders>
              <w:top w:val="single" w:sz="4" w:space="0" w:color="auto"/>
              <w:left w:val="nil"/>
              <w:bottom w:val="single" w:sz="4" w:space="0" w:color="auto"/>
              <w:right w:val="single" w:sz="4" w:space="0" w:color="auto"/>
            </w:tcBorders>
            <w:shd w:val="solid" w:color="BFBFBF" w:themeColor="background1" w:themeShade="BF" w:fill="auto"/>
            <w:noWrap/>
            <w:vAlign w:val="bottom"/>
          </w:tcPr>
          <w:p w14:paraId="7DD3225D"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CPI-All Urban Consumers</w:t>
            </w:r>
          </w:p>
        </w:tc>
      </w:tr>
      <w:tr w:rsidR="00397C1F" w:rsidRPr="00397C1F" w14:paraId="7F1977D0" w14:textId="77777777" w:rsidTr="00A43C8E">
        <w:trPr>
          <w:trHeight w:val="265"/>
          <w:jc w:val="center"/>
        </w:trPr>
        <w:tc>
          <w:tcPr>
            <w:tcW w:w="716" w:type="dxa"/>
            <w:vMerge/>
            <w:tcBorders>
              <w:top w:val="single" w:sz="4" w:space="0" w:color="auto"/>
              <w:left w:val="single" w:sz="4" w:space="0" w:color="auto"/>
              <w:bottom w:val="single" w:sz="4" w:space="0" w:color="auto"/>
              <w:right w:val="single" w:sz="4" w:space="0" w:color="auto"/>
            </w:tcBorders>
            <w:shd w:val="solid" w:color="BFBFBF" w:themeColor="background1" w:themeShade="BF" w:fill="auto"/>
            <w:vAlign w:val="center"/>
          </w:tcPr>
          <w:p w14:paraId="7DAB5157" w14:textId="77777777" w:rsidR="00397C1F" w:rsidRPr="00397C1F" w:rsidRDefault="00397C1F" w:rsidP="00397C1F">
            <w:pPr>
              <w:spacing w:after="0" w:line="240" w:lineRule="auto"/>
              <w:jc w:val="left"/>
              <w:rPr>
                <w:color w:val="000000"/>
                <w:sz w:val="18"/>
                <w:szCs w:val="18"/>
                <w:lang w:val="es-CL" w:eastAsia="es-CL"/>
              </w:rPr>
            </w:pPr>
          </w:p>
        </w:tc>
        <w:tc>
          <w:tcPr>
            <w:tcW w:w="543" w:type="dxa"/>
            <w:tcBorders>
              <w:top w:val="nil"/>
              <w:left w:val="nil"/>
              <w:bottom w:val="single" w:sz="4" w:space="0" w:color="auto"/>
              <w:right w:val="single" w:sz="4" w:space="0" w:color="auto"/>
            </w:tcBorders>
            <w:shd w:val="solid" w:color="BFBFBF" w:themeColor="background1" w:themeShade="BF" w:fill="auto"/>
            <w:noWrap/>
            <w:vAlign w:val="bottom"/>
          </w:tcPr>
          <w:p w14:paraId="305C6640"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ene</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63CB719A"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feb</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0ED1FE4F"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mar</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2915DC9D"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abr</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46BD4A8D" w14:textId="64D251A4" w:rsidR="00397C1F" w:rsidRPr="00397C1F" w:rsidRDefault="00365A19" w:rsidP="00397C1F">
            <w:pPr>
              <w:spacing w:after="0" w:line="240" w:lineRule="auto"/>
              <w:jc w:val="center"/>
              <w:rPr>
                <w:b/>
                <w:color w:val="000000"/>
                <w:sz w:val="18"/>
                <w:szCs w:val="18"/>
                <w:lang w:val="es-CL" w:eastAsia="es-CL"/>
              </w:rPr>
            </w:pPr>
            <w:r w:rsidRPr="00397C1F">
              <w:rPr>
                <w:b/>
                <w:color w:val="000000"/>
                <w:sz w:val="18"/>
                <w:szCs w:val="18"/>
                <w:lang w:val="es-CL" w:eastAsia="es-CL"/>
              </w:rPr>
              <w:t>M</w:t>
            </w:r>
            <w:r w:rsidR="00397C1F" w:rsidRPr="00397C1F">
              <w:rPr>
                <w:b/>
                <w:color w:val="000000"/>
                <w:sz w:val="18"/>
                <w:szCs w:val="18"/>
                <w:lang w:val="es-CL" w:eastAsia="es-CL"/>
              </w:rPr>
              <w:t>ay</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66E1E30E"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jun</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02D07624"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jul</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125105B1"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ago</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49541D23"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sep</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3AEE9D49"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oct</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6F14BDA0"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nov</w:t>
            </w:r>
          </w:p>
        </w:tc>
        <w:tc>
          <w:tcPr>
            <w:tcW w:w="733" w:type="dxa"/>
            <w:tcBorders>
              <w:top w:val="nil"/>
              <w:left w:val="nil"/>
              <w:bottom w:val="single" w:sz="4" w:space="0" w:color="auto"/>
              <w:right w:val="single" w:sz="4" w:space="0" w:color="auto"/>
            </w:tcBorders>
            <w:shd w:val="solid" w:color="BFBFBF" w:themeColor="background1" w:themeShade="BF" w:fill="auto"/>
            <w:noWrap/>
            <w:vAlign w:val="bottom"/>
          </w:tcPr>
          <w:p w14:paraId="09BBA79A" w14:textId="77777777" w:rsidR="00397C1F" w:rsidRPr="00397C1F" w:rsidRDefault="00397C1F" w:rsidP="00397C1F">
            <w:pPr>
              <w:spacing w:after="0" w:line="240" w:lineRule="auto"/>
              <w:jc w:val="center"/>
              <w:rPr>
                <w:b/>
                <w:color w:val="000000"/>
                <w:sz w:val="18"/>
                <w:szCs w:val="18"/>
                <w:lang w:val="es-CL" w:eastAsia="es-CL"/>
              </w:rPr>
            </w:pPr>
            <w:r w:rsidRPr="00397C1F">
              <w:rPr>
                <w:b/>
                <w:color w:val="000000"/>
                <w:sz w:val="18"/>
                <w:szCs w:val="18"/>
                <w:lang w:val="es-CL" w:eastAsia="es-CL"/>
              </w:rPr>
              <w:t>dic</w:t>
            </w:r>
          </w:p>
        </w:tc>
      </w:tr>
      <w:tr w:rsidR="00397C1F" w:rsidRPr="00397C1F" w14:paraId="3EA38E2E" w14:textId="77777777">
        <w:trPr>
          <w:trHeight w:val="265"/>
          <w:jc w:val="center"/>
        </w:trPr>
        <w:tc>
          <w:tcPr>
            <w:tcW w:w="716" w:type="dxa"/>
            <w:tcBorders>
              <w:top w:val="nil"/>
              <w:left w:val="single" w:sz="4" w:space="0" w:color="auto"/>
              <w:bottom w:val="single" w:sz="4" w:space="0" w:color="auto"/>
              <w:right w:val="single" w:sz="4" w:space="0" w:color="auto"/>
            </w:tcBorders>
            <w:shd w:val="clear" w:color="auto" w:fill="auto"/>
            <w:noWrap/>
            <w:vAlign w:val="bottom"/>
          </w:tcPr>
          <w:p w14:paraId="0F166199"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2017</w:t>
            </w:r>
          </w:p>
        </w:tc>
        <w:tc>
          <w:tcPr>
            <w:tcW w:w="543" w:type="dxa"/>
            <w:tcBorders>
              <w:top w:val="nil"/>
              <w:left w:val="nil"/>
              <w:bottom w:val="single" w:sz="4" w:space="0" w:color="auto"/>
              <w:right w:val="single" w:sz="4" w:space="0" w:color="auto"/>
            </w:tcBorders>
            <w:shd w:val="clear" w:color="auto" w:fill="auto"/>
            <w:noWrap/>
            <w:vAlign w:val="bottom"/>
          </w:tcPr>
          <w:p w14:paraId="68AAE7F2"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242,839</w:t>
            </w:r>
          </w:p>
        </w:tc>
        <w:tc>
          <w:tcPr>
            <w:tcW w:w="733" w:type="dxa"/>
            <w:tcBorders>
              <w:top w:val="nil"/>
              <w:left w:val="nil"/>
              <w:bottom w:val="single" w:sz="4" w:space="0" w:color="auto"/>
              <w:right w:val="single" w:sz="4" w:space="0" w:color="auto"/>
            </w:tcBorders>
            <w:shd w:val="clear" w:color="auto" w:fill="auto"/>
            <w:noWrap/>
            <w:vAlign w:val="bottom"/>
          </w:tcPr>
          <w:p w14:paraId="7F91260C"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243,603</w:t>
            </w:r>
          </w:p>
        </w:tc>
        <w:tc>
          <w:tcPr>
            <w:tcW w:w="733" w:type="dxa"/>
            <w:tcBorders>
              <w:top w:val="nil"/>
              <w:left w:val="nil"/>
              <w:bottom w:val="single" w:sz="4" w:space="0" w:color="auto"/>
              <w:right w:val="single" w:sz="4" w:space="0" w:color="auto"/>
            </w:tcBorders>
            <w:shd w:val="clear" w:color="auto" w:fill="auto"/>
            <w:noWrap/>
            <w:vAlign w:val="bottom"/>
          </w:tcPr>
          <w:p w14:paraId="7E6D9337"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243,801</w:t>
            </w:r>
          </w:p>
        </w:tc>
        <w:tc>
          <w:tcPr>
            <w:tcW w:w="733" w:type="dxa"/>
            <w:tcBorders>
              <w:top w:val="nil"/>
              <w:left w:val="nil"/>
              <w:bottom w:val="single" w:sz="4" w:space="0" w:color="auto"/>
              <w:right w:val="single" w:sz="4" w:space="0" w:color="auto"/>
            </w:tcBorders>
            <w:shd w:val="clear" w:color="auto" w:fill="auto"/>
            <w:noWrap/>
            <w:vAlign w:val="bottom"/>
          </w:tcPr>
          <w:p w14:paraId="4CB5A4BC"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244,524</w:t>
            </w:r>
          </w:p>
        </w:tc>
        <w:tc>
          <w:tcPr>
            <w:tcW w:w="733" w:type="dxa"/>
            <w:tcBorders>
              <w:top w:val="nil"/>
              <w:left w:val="nil"/>
              <w:bottom w:val="single" w:sz="4" w:space="0" w:color="auto"/>
              <w:right w:val="single" w:sz="4" w:space="0" w:color="auto"/>
            </w:tcBorders>
            <w:shd w:val="clear" w:color="auto" w:fill="auto"/>
            <w:noWrap/>
            <w:vAlign w:val="bottom"/>
          </w:tcPr>
          <w:p w14:paraId="6F7D8E98"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244,733</w:t>
            </w:r>
          </w:p>
        </w:tc>
        <w:tc>
          <w:tcPr>
            <w:tcW w:w="733" w:type="dxa"/>
            <w:tcBorders>
              <w:top w:val="nil"/>
              <w:left w:val="nil"/>
              <w:bottom w:val="single" w:sz="4" w:space="0" w:color="auto"/>
              <w:right w:val="single" w:sz="4" w:space="0" w:color="auto"/>
            </w:tcBorders>
            <w:shd w:val="clear" w:color="auto" w:fill="auto"/>
            <w:noWrap/>
            <w:vAlign w:val="bottom"/>
          </w:tcPr>
          <w:p w14:paraId="3ED4564E"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244,955</w:t>
            </w:r>
          </w:p>
        </w:tc>
        <w:tc>
          <w:tcPr>
            <w:tcW w:w="733" w:type="dxa"/>
            <w:tcBorders>
              <w:top w:val="nil"/>
              <w:left w:val="nil"/>
              <w:bottom w:val="single" w:sz="4" w:space="0" w:color="auto"/>
              <w:right w:val="single" w:sz="4" w:space="0" w:color="auto"/>
            </w:tcBorders>
            <w:shd w:val="clear" w:color="auto" w:fill="auto"/>
            <w:noWrap/>
            <w:vAlign w:val="bottom"/>
          </w:tcPr>
          <w:p w14:paraId="72FFB630"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244,786</w:t>
            </w:r>
          </w:p>
        </w:tc>
        <w:tc>
          <w:tcPr>
            <w:tcW w:w="733" w:type="dxa"/>
            <w:tcBorders>
              <w:top w:val="nil"/>
              <w:left w:val="nil"/>
              <w:bottom w:val="single" w:sz="4" w:space="0" w:color="auto"/>
              <w:right w:val="single" w:sz="4" w:space="0" w:color="auto"/>
            </w:tcBorders>
            <w:shd w:val="clear" w:color="auto" w:fill="auto"/>
            <w:noWrap/>
            <w:vAlign w:val="bottom"/>
          </w:tcPr>
          <w:p w14:paraId="56FD570F"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245,519</w:t>
            </w:r>
          </w:p>
        </w:tc>
        <w:tc>
          <w:tcPr>
            <w:tcW w:w="733" w:type="dxa"/>
            <w:tcBorders>
              <w:top w:val="nil"/>
              <w:left w:val="nil"/>
              <w:bottom w:val="single" w:sz="4" w:space="0" w:color="auto"/>
              <w:right w:val="single" w:sz="4" w:space="0" w:color="auto"/>
            </w:tcBorders>
            <w:shd w:val="clear" w:color="auto" w:fill="auto"/>
            <w:noWrap/>
            <w:vAlign w:val="bottom"/>
          </w:tcPr>
          <w:p w14:paraId="5001AB99"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246,819</w:t>
            </w:r>
          </w:p>
        </w:tc>
        <w:tc>
          <w:tcPr>
            <w:tcW w:w="733" w:type="dxa"/>
            <w:tcBorders>
              <w:top w:val="nil"/>
              <w:left w:val="nil"/>
              <w:bottom w:val="single" w:sz="4" w:space="0" w:color="auto"/>
              <w:right w:val="single" w:sz="4" w:space="0" w:color="auto"/>
            </w:tcBorders>
            <w:shd w:val="clear" w:color="auto" w:fill="auto"/>
            <w:noWrap/>
            <w:vAlign w:val="bottom"/>
          </w:tcPr>
          <w:p w14:paraId="6B20DB8E"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246,663</w:t>
            </w:r>
          </w:p>
        </w:tc>
        <w:tc>
          <w:tcPr>
            <w:tcW w:w="733" w:type="dxa"/>
            <w:tcBorders>
              <w:top w:val="nil"/>
              <w:left w:val="nil"/>
              <w:bottom w:val="single" w:sz="4" w:space="0" w:color="auto"/>
              <w:right w:val="single" w:sz="4" w:space="0" w:color="auto"/>
            </w:tcBorders>
            <w:shd w:val="clear" w:color="auto" w:fill="auto"/>
            <w:noWrap/>
            <w:vAlign w:val="bottom"/>
          </w:tcPr>
          <w:p w14:paraId="6693C1A8"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246,669</w:t>
            </w:r>
          </w:p>
        </w:tc>
        <w:tc>
          <w:tcPr>
            <w:tcW w:w="733" w:type="dxa"/>
            <w:tcBorders>
              <w:top w:val="nil"/>
              <w:left w:val="nil"/>
              <w:bottom w:val="single" w:sz="4" w:space="0" w:color="auto"/>
              <w:right w:val="single" w:sz="4" w:space="0" w:color="auto"/>
            </w:tcBorders>
            <w:shd w:val="clear" w:color="auto" w:fill="auto"/>
            <w:noWrap/>
            <w:vAlign w:val="bottom"/>
          </w:tcPr>
          <w:p w14:paraId="4D793999"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246,524</w:t>
            </w:r>
          </w:p>
        </w:tc>
      </w:tr>
      <w:tr w:rsidR="00397C1F" w:rsidRPr="00397C1F" w14:paraId="73A1A6B1" w14:textId="77777777">
        <w:trPr>
          <w:trHeight w:val="265"/>
          <w:jc w:val="center"/>
        </w:trPr>
        <w:tc>
          <w:tcPr>
            <w:tcW w:w="716" w:type="dxa"/>
            <w:tcBorders>
              <w:top w:val="nil"/>
              <w:left w:val="single" w:sz="4" w:space="0" w:color="auto"/>
              <w:bottom w:val="single" w:sz="4" w:space="0" w:color="auto"/>
              <w:right w:val="single" w:sz="4" w:space="0" w:color="auto"/>
            </w:tcBorders>
            <w:shd w:val="clear" w:color="auto" w:fill="auto"/>
            <w:noWrap/>
            <w:vAlign w:val="bottom"/>
          </w:tcPr>
          <w:p w14:paraId="23924E42"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2018</w:t>
            </w:r>
          </w:p>
        </w:tc>
        <w:tc>
          <w:tcPr>
            <w:tcW w:w="543" w:type="dxa"/>
            <w:tcBorders>
              <w:top w:val="nil"/>
              <w:left w:val="nil"/>
              <w:bottom w:val="single" w:sz="4" w:space="0" w:color="auto"/>
              <w:right w:val="single" w:sz="4" w:space="0" w:color="auto"/>
            </w:tcBorders>
            <w:shd w:val="clear" w:color="auto" w:fill="auto"/>
            <w:noWrap/>
            <w:vAlign w:val="bottom"/>
          </w:tcPr>
          <w:p w14:paraId="3ED101C2"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247,867</w:t>
            </w:r>
          </w:p>
        </w:tc>
        <w:tc>
          <w:tcPr>
            <w:tcW w:w="733" w:type="dxa"/>
            <w:tcBorders>
              <w:top w:val="nil"/>
              <w:left w:val="nil"/>
              <w:bottom w:val="single" w:sz="4" w:space="0" w:color="auto"/>
              <w:right w:val="single" w:sz="4" w:space="0" w:color="auto"/>
            </w:tcBorders>
            <w:shd w:val="clear" w:color="auto" w:fill="auto"/>
            <w:noWrap/>
            <w:vAlign w:val="bottom"/>
          </w:tcPr>
          <w:p w14:paraId="733D49C3"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248,991</w:t>
            </w:r>
          </w:p>
        </w:tc>
        <w:tc>
          <w:tcPr>
            <w:tcW w:w="733" w:type="dxa"/>
            <w:tcBorders>
              <w:top w:val="nil"/>
              <w:left w:val="nil"/>
              <w:bottom w:val="single" w:sz="4" w:space="0" w:color="auto"/>
              <w:right w:val="single" w:sz="4" w:space="0" w:color="auto"/>
            </w:tcBorders>
            <w:shd w:val="clear" w:color="auto" w:fill="auto"/>
            <w:noWrap/>
            <w:vAlign w:val="bottom"/>
          </w:tcPr>
          <w:p w14:paraId="1143B953"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249,554</w:t>
            </w:r>
          </w:p>
        </w:tc>
        <w:tc>
          <w:tcPr>
            <w:tcW w:w="733" w:type="dxa"/>
            <w:tcBorders>
              <w:top w:val="nil"/>
              <w:left w:val="nil"/>
              <w:bottom w:val="single" w:sz="4" w:space="0" w:color="auto"/>
              <w:right w:val="single" w:sz="4" w:space="0" w:color="auto"/>
            </w:tcBorders>
            <w:shd w:val="clear" w:color="auto" w:fill="auto"/>
            <w:noWrap/>
            <w:vAlign w:val="bottom"/>
          </w:tcPr>
          <w:p w14:paraId="6E2965D0"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250,546</w:t>
            </w:r>
          </w:p>
        </w:tc>
        <w:tc>
          <w:tcPr>
            <w:tcW w:w="733" w:type="dxa"/>
            <w:tcBorders>
              <w:top w:val="nil"/>
              <w:left w:val="nil"/>
              <w:bottom w:val="single" w:sz="4" w:space="0" w:color="auto"/>
              <w:right w:val="single" w:sz="4" w:space="0" w:color="auto"/>
            </w:tcBorders>
            <w:shd w:val="clear" w:color="auto" w:fill="auto"/>
            <w:noWrap/>
            <w:vAlign w:val="bottom"/>
          </w:tcPr>
          <w:p w14:paraId="4533D366"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251,588</w:t>
            </w:r>
          </w:p>
        </w:tc>
        <w:tc>
          <w:tcPr>
            <w:tcW w:w="733" w:type="dxa"/>
            <w:tcBorders>
              <w:top w:val="nil"/>
              <w:left w:val="nil"/>
              <w:bottom w:val="single" w:sz="4" w:space="0" w:color="auto"/>
              <w:right w:val="single" w:sz="4" w:space="0" w:color="auto"/>
            </w:tcBorders>
            <w:shd w:val="clear" w:color="auto" w:fill="auto"/>
            <w:noWrap/>
            <w:vAlign w:val="bottom"/>
          </w:tcPr>
          <w:p w14:paraId="7041CD30"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251,989</w:t>
            </w:r>
          </w:p>
        </w:tc>
        <w:tc>
          <w:tcPr>
            <w:tcW w:w="733" w:type="dxa"/>
            <w:tcBorders>
              <w:top w:val="nil"/>
              <w:left w:val="nil"/>
              <w:bottom w:val="single" w:sz="4" w:space="0" w:color="auto"/>
              <w:right w:val="single" w:sz="4" w:space="0" w:color="auto"/>
            </w:tcBorders>
            <w:shd w:val="clear" w:color="auto" w:fill="auto"/>
            <w:noWrap/>
            <w:vAlign w:val="bottom"/>
          </w:tcPr>
          <w:p w14:paraId="2769A22D"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252,006</w:t>
            </w:r>
          </w:p>
        </w:tc>
        <w:tc>
          <w:tcPr>
            <w:tcW w:w="733" w:type="dxa"/>
            <w:tcBorders>
              <w:top w:val="nil"/>
              <w:left w:val="nil"/>
              <w:bottom w:val="single" w:sz="4" w:space="0" w:color="auto"/>
              <w:right w:val="single" w:sz="4" w:space="0" w:color="auto"/>
            </w:tcBorders>
            <w:shd w:val="clear" w:color="auto" w:fill="auto"/>
            <w:noWrap/>
            <w:vAlign w:val="bottom"/>
          </w:tcPr>
          <w:p w14:paraId="1A7F5604"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252,146</w:t>
            </w:r>
          </w:p>
        </w:tc>
        <w:tc>
          <w:tcPr>
            <w:tcW w:w="733" w:type="dxa"/>
            <w:tcBorders>
              <w:top w:val="nil"/>
              <w:left w:val="nil"/>
              <w:bottom w:val="single" w:sz="4" w:space="0" w:color="auto"/>
              <w:right w:val="single" w:sz="4" w:space="0" w:color="auto"/>
            </w:tcBorders>
            <w:shd w:val="clear" w:color="auto" w:fill="auto"/>
            <w:noWrap/>
            <w:vAlign w:val="bottom"/>
          </w:tcPr>
          <w:p w14:paraId="22139DBD"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252,439</w:t>
            </w:r>
          </w:p>
        </w:tc>
        <w:tc>
          <w:tcPr>
            <w:tcW w:w="733" w:type="dxa"/>
            <w:tcBorders>
              <w:top w:val="nil"/>
              <w:left w:val="nil"/>
              <w:bottom w:val="single" w:sz="4" w:space="0" w:color="auto"/>
              <w:right w:val="single" w:sz="4" w:space="0" w:color="auto"/>
            </w:tcBorders>
            <w:shd w:val="clear" w:color="auto" w:fill="auto"/>
            <w:noWrap/>
            <w:vAlign w:val="bottom"/>
          </w:tcPr>
          <w:p w14:paraId="65971DAC"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252,885</w:t>
            </w:r>
          </w:p>
        </w:tc>
        <w:tc>
          <w:tcPr>
            <w:tcW w:w="733" w:type="dxa"/>
            <w:tcBorders>
              <w:top w:val="nil"/>
              <w:left w:val="nil"/>
              <w:bottom w:val="single" w:sz="4" w:space="0" w:color="auto"/>
              <w:right w:val="single" w:sz="4" w:space="0" w:color="auto"/>
            </w:tcBorders>
            <w:shd w:val="clear" w:color="auto" w:fill="auto"/>
            <w:noWrap/>
            <w:vAlign w:val="bottom"/>
          </w:tcPr>
          <w:p w14:paraId="715A2A4B"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252,038</w:t>
            </w:r>
          </w:p>
        </w:tc>
        <w:tc>
          <w:tcPr>
            <w:tcW w:w="733" w:type="dxa"/>
            <w:tcBorders>
              <w:top w:val="nil"/>
              <w:left w:val="nil"/>
              <w:bottom w:val="single" w:sz="4" w:space="0" w:color="auto"/>
              <w:right w:val="single" w:sz="4" w:space="0" w:color="auto"/>
            </w:tcBorders>
            <w:shd w:val="clear" w:color="auto" w:fill="auto"/>
            <w:noWrap/>
            <w:vAlign w:val="bottom"/>
          </w:tcPr>
          <w:p w14:paraId="2B158525"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251,233</w:t>
            </w:r>
          </w:p>
        </w:tc>
      </w:tr>
      <w:tr w:rsidR="00397C1F" w:rsidRPr="00397C1F" w14:paraId="48B37EF2" w14:textId="77777777">
        <w:trPr>
          <w:trHeight w:val="265"/>
          <w:jc w:val="center"/>
        </w:trPr>
        <w:tc>
          <w:tcPr>
            <w:tcW w:w="716" w:type="dxa"/>
            <w:tcBorders>
              <w:top w:val="nil"/>
              <w:left w:val="single" w:sz="4" w:space="0" w:color="auto"/>
              <w:bottom w:val="single" w:sz="4" w:space="0" w:color="auto"/>
              <w:right w:val="single" w:sz="4" w:space="0" w:color="auto"/>
            </w:tcBorders>
            <w:shd w:val="clear" w:color="auto" w:fill="auto"/>
            <w:noWrap/>
            <w:vAlign w:val="bottom"/>
          </w:tcPr>
          <w:p w14:paraId="1B84D4BB"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2019</w:t>
            </w:r>
          </w:p>
        </w:tc>
        <w:tc>
          <w:tcPr>
            <w:tcW w:w="543" w:type="dxa"/>
            <w:tcBorders>
              <w:top w:val="nil"/>
              <w:left w:val="nil"/>
              <w:bottom w:val="single" w:sz="4" w:space="0" w:color="auto"/>
              <w:right w:val="single" w:sz="4" w:space="0" w:color="auto"/>
            </w:tcBorders>
            <w:shd w:val="clear" w:color="auto" w:fill="auto"/>
            <w:noWrap/>
            <w:vAlign w:val="bottom"/>
          </w:tcPr>
          <w:p w14:paraId="51E1CA4C"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251,712</w:t>
            </w:r>
          </w:p>
        </w:tc>
        <w:tc>
          <w:tcPr>
            <w:tcW w:w="733" w:type="dxa"/>
            <w:tcBorders>
              <w:top w:val="nil"/>
              <w:left w:val="nil"/>
              <w:bottom w:val="single" w:sz="4" w:space="0" w:color="auto"/>
              <w:right w:val="single" w:sz="4" w:space="0" w:color="auto"/>
            </w:tcBorders>
            <w:shd w:val="clear" w:color="auto" w:fill="auto"/>
            <w:noWrap/>
            <w:vAlign w:val="bottom"/>
          </w:tcPr>
          <w:p w14:paraId="5E1AA092"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252,776</w:t>
            </w:r>
          </w:p>
        </w:tc>
        <w:tc>
          <w:tcPr>
            <w:tcW w:w="733" w:type="dxa"/>
            <w:tcBorders>
              <w:top w:val="nil"/>
              <w:left w:val="nil"/>
              <w:bottom w:val="single" w:sz="4" w:space="0" w:color="auto"/>
              <w:right w:val="single" w:sz="4" w:space="0" w:color="auto"/>
            </w:tcBorders>
            <w:shd w:val="clear" w:color="auto" w:fill="auto"/>
            <w:noWrap/>
            <w:vAlign w:val="bottom"/>
          </w:tcPr>
          <w:p w14:paraId="3E8EEE82"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254,202</w:t>
            </w:r>
          </w:p>
        </w:tc>
        <w:tc>
          <w:tcPr>
            <w:tcW w:w="733" w:type="dxa"/>
            <w:tcBorders>
              <w:top w:val="nil"/>
              <w:left w:val="nil"/>
              <w:bottom w:val="single" w:sz="4" w:space="0" w:color="auto"/>
              <w:right w:val="single" w:sz="4" w:space="0" w:color="auto"/>
            </w:tcBorders>
            <w:shd w:val="clear" w:color="auto" w:fill="auto"/>
            <w:noWrap/>
            <w:vAlign w:val="bottom"/>
          </w:tcPr>
          <w:p w14:paraId="0C60D988"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255,548</w:t>
            </w:r>
          </w:p>
        </w:tc>
        <w:tc>
          <w:tcPr>
            <w:tcW w:w="733" w:type="dxa"/>
            <w:tcBorders>
              <w:top w:val="nil"/>
              <w:left w:val="nil"/>
              <w:bottom w:val="single" w:sz="4" w:space="0" w:color="auto"/>
              <w:right w:val="single" w:sz="4" w:space="0" w:color="auto"/>
            </w:tcBorders>
            <w:shd w:val="clear" w:color="auto" w:fill="auto"/>
            <w:noWrap/>
            <w:vAlign w:val="bottom"/>
          </w:tcPr>
          <w:p w14:paraId="7A85E3E2"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256,092</w:t>
            </w:r>
          </w:p>
        </w:tc>
        <w:tc>
          <w:tcPr>
            <w:tcW w:w="733" w:type="dxa"/>
            <w:tcBorders>
              <w:top w:val="nil"/>
              <w:left w:val="nil"/>
              <w:bottom w:val="single" w:sz="4" w:space="0" w:color="auto"/>
              <w:right w:val="single" w:sz="4" w:space="0" w:color="auto"/>
            </w:tcBorders>
            <w:shd w:val="clear" w:color="auto" w:fill="auto"/>
            <w:noWrap/>
            <w:vAlign w:val="bottom"/>
          </w:tcPr>
          <w:p w14:paraId="7D845F1E"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256,143</w:t>
            </w:r>
          </w:p>
        </w:tc>
        <w:tc>
          <w:tcPr>
            <w:tcW w:w="733" w:type="dxa"/>
            <w:tcBorders>
              <w:top w:val="nil"/>
              <w:left w:val="nil"/>
              <w:bottom w:val="single" w:sz="4" w:space="0" w:color="auto"/>
              <w:right w:val="single" w:sz="4" w:space="0" w:color="auto"/>
            </w:tcBorders>
            <w:shd w:val="clear" w:color="auto" w:fill="auto"/>
            <w:noWrap/>
            <w:vAlign w:val="bottom"/>
          </w:tcPr>
          <w:p w14:paraId="5A41F237"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256,571</w:t>
            </w:r>
          </w:p>
        </w:tc>
        <w:tc>
          <w:tcPr>
            <w:tcW w:w="733" w:type="dxa"/>
            <w:tcBorders>
              <w:top w:val="nil"/>
              <w:left w:val="nil"/>
              <w:bottom w:val="single" w:sz="4" w:space="0" w:color="auto"/>
              <w:right w:val="single" w:sz="4" w:space="0" w:color="auto"/>
            </w:tcBorders>
            <w:shd w:val="clear" w:color="auto" w:fill="auto"/>
            <w:noWrap/>
            <w:vAlign w:val="bottom"/>
          </w:tcPr>
          <w:p w14:paraId="2EF60C9C"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256,558</w:t>
            </w:r>
          </w:p>
        </w:tc>
        <w:tc>
          <w:tcPr>
            <w:tcW w:w="733" w:type="dxa"/>
            <w:tcBorders>
              <w:top w:val="nil"/>
              <w:left w:val="nil"/>
              <w:bottom w:val="single" w:sz="4" w:space="0" w:color="auto"/>
              <w:right w:val="single" w:sz="4" w:space="0" w:color="auto"/>
            </w:tcBorders>
            <w:shd w:val="clear" w:color="auto" w:fill="auto"/>
            <w:noWrap/>
            <w:vAlign w:val="bottom"/>
          </w:tcPr>
          <w:p w14:paraId="304E9457"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256,759</w:t>
            </w:r>
          </w:p>
        </w:tc>
        <w:tc>
          <w:tcPr>
            <w:tcW w:w="733" w:type="dxa"/>
            <w:tcBorders>
              <w:top w:val="nil"/>
              <w:left w:val="nil"/>
              <w:bottom w:val="single" w:sz="4" w:space="0" w:color="auto"/>
              <w:right w:val="single" w:sz="4" w:space="0" w:color="auto"/>
            </w:tcBorders>
            <w:shd w:val="clear" w:color="auto" w:fill="auto"/>
            <w:noWrap/>
            <w:vAlign w:val="bottom"/>
          </w:tcPr>
          <w:p w14:paraId="519D9503"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257,346</w:t>
            </w:r>
          </w:p>
        </w:tc>
        <w:tc>
          <w:tcPr>
            <w:tcW w:w="733" w:type="dxa"/>
            <w:tcBorders>
              <w:top w:val="nil"/>
              <w:left w:val="nil"/>
              <w:bottom w:val="single" w:sz="4" w:space="0" w:color="auto"/>
              <w:right w:val="single" w:sz="4" w:space="0" w:color="auto"/>
            </w:tcBorders>
            <w:shd w:val="clear" w:color="auto" w:fill="auto"/>
            <w:noWrap/>
            <w:vAlign w:val="bottom"/>
          </w:tcPr>
          <w:p w14:paraId="256A71E7"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257,208</w:t>
            </w:r>
          </w:p>
        </w:tc>
        <w:tc>
          <w:tcPr>
            <w:tcW w:w="733" w:type="dxa"/>
            <w:tcBorders>
              <w:top w:val="nil"/>
              <w:left w:val="nil"/>
              <w:bottom w:val="single" w:sz="4" w:space="0" w:color="auto"/>
              <w:right w:val="single" w:sz="4" w:space="0" w:color="auto"/>
            </w:tcBorders>
            <w:shd w:val="clear" w:color="auto" w:fill="auto"/>
            <w:noWrap/>
            <w:vAlign w:val="bottom"/>
          </w:tcPr>
          <w:p w14:paraId="7FA06E46" w14:textId="77777777" w:rsidR="00397C1F" w:rsidRPr="00397C1F" w:rsidRDefault="00397C1F" w:rsidP="00397C1F">
            <w:pPr>
              <w:spacing w:after="0" w:line="240" w:lineRule="auto"/>
              <w:jc w:val="right"/>
              <w:rPr>
                <w:color w:val="000000"/>
                <w:sz w:val="18"/>
                <w:szCs w:val="18"/>
                <w:lang w:val="es-CL" w:eastAsia="es-CL"/>
              </w:rPr>
            </w:pPr>
            <w:r w:rsidRPr="00397C1F">
              <w:rPr>
                <w:color w:val="000000"/>
                <w:sz w:val="18"/>
                <w:szCs w:val="18"/>
                <w:lang w:val="es-CL" w:eastAsia="es-CL"/>
              </w:rPr>
              <w:t>256,974</w:t>
            </w:r>
          </w:p>
        </w:tc>
      </w:tr>
    </w:tbl>
    <w:p w14:paraId="2919EC26" w14:textId="77777777" w:rsidR="009072B2" w:rsidRDefault="009072B2" w:rsidP="00084018"/>
    <w:p w14:paraId="6285264D" w14:textId="7392E5E1" w:rsidR="00084018" w:rsidRDefault="00084018" w:rsidP="00084018">
      <w:r w:rsidRPr="00EE2F47">
        <w:t xml:space="preserve">Así, el valor base para el CPI corresponde al valor de octubre de 2017, es decir, </w:t>
      </w:r>
      <w:r w:rsidRPr="00F6077A">
        <w:rPr>
          <w:b/>
        </w:rPr>
        <w:t>CPI</w:t>
      </w:r>
      <w:r w:rsidRPr="007E5B28">
        <w:rPr>
          <w:b/>
          <w:vertAlign w:val="subscript"/>
        </w:rPr>
        <w:t>o</w:t>
      </w:r>
      <w:r>
        <w:rPr>
          <w:b/>
        </w:rPr>
        <w:t xml:space="preserve"> </w:t>
      </w:r>
      <w:r w:rsidRPr="00F6077A">
        <w:rPr>
          <w:b/>
        </w:rPr>
        <w:t>=</w:t>
      </w:r>
      <w:r>
        <w:rPr>
          <w:b/>
        </w:rPr>
        <w:t xml:space="preserve"> </w:t>
      </w:r>
      <w:r w:rsidRPr="00F6077A">
        <w:rPr>
          <w:b/>
        </w:rPr>
        <w:t>246,663</w:t>
      </w:r>
      <w:r w:rsidRPr="00EE2F47">
        <w:t>.</w:t>
      </w:r>
    </w:p>
    <w:p w14:paraId="6589D8C1" w14:textId="77777777" w:rsidR="00365A19" w:rsidRPr="00EE2F47" w:rsidRDefault="00365A19" w:rsidP="00084018"/>
    <w:p w14:paraId="291B302A" w14:textId="77777777" w:rsidR="00084018" w:rsidRPr="006B2448" w:rsidRDefault="00084018" w:rsidP="002E20CA">
      <w:pPr>
        <w:numPr>
          <w:ilvl w:val="0"/>
          <w:numId w:val="16"/>
        </w:numPr>
        <w:rPr>
          <w:b/>
          <w:bCs/>
        </w:rPr>
      </w:pPr>
      <w:r w:rsidRPr="006B2448">
        <w:rPr>
          <w:b/>
          <w:bCs/>
        </w:rPr>
        <w:t>T</w:t>
      </w:r>
      <w:r>
        <w:rPr>
          <w:b/>
          <w:bCs/>
        </w:rPr>
        <w:t>ipo</w:t>
      </w:r>
      <w:r w:rsidRPr="006B2448">
        <w:rPr>
          <w:b/>
          <w:bCs/>
        </w:rPr>
        <w:t xml:space="preserve"> de Cambio</w:t>
      </w:r>
      <w:r>
        <w:rPr>
          <w:b/>
          <w:bCs/>
        </w:rPr>
        <w:t xml:space="preserve"> (D)</w:t>
      </w:r>
    </w:p>
    <w:p w14:paraId="13138D15" w14:textId="77777777" w:rsidR="00084018" w:rsidRDefault="00084018" w:rsidP="00084018">
      <w:r w:rsidRPr="00EE2F47">
        <w:t>Para el indexador Tipo de Cambio (</w:t>
      </w:r>
      <w:r>
        <w:t>D</w:t>
      </w:r>
      <w:r w:rsidRPr="00EE2F47">
        <w:t>), las bases instruyen la utilización del tipo de cambio observado para el dólar de los Estados Unidos de Norteamérica, publicado por el Banco Central de Chile, “Dólar Observado”. La siguiente tabla muestra su valor promedio mensual pa</w:t>
      </w:r>
      <w:r w:rsidR="00F72C28">
        <w:t>ra el período enero 2017 a diciembre</w:t>
      </w:r>
      <w:r w:rsidRPr="00EE2F47">
        <w:t xml:space="preserve"> de 2019</w:t>
      </w:r>
      <w:r w:rsidRPr="006B2448">
        <w:rPr>
          <w:rStyle w:val="Refdenotaalpie"/>
        </w:rPr>
        <w:footnoteReference w:id="44"/>
      </w:r>
      <w:r w:rsidRPr="00EE2F47">
        <w:t>.</w:t>
      </w:r>
    </w:p>
    <w:p w14:paraId="70181F97" w14:textId="7915A4DE" w:rsidR="00084018" w:rsidRDefault="00084018" w:rsidP="008A5FF6">
      <w:pPr>
        <w:spacing w:after="120"/>
        <w:jc w:val="center"/>
      </w:pPr>
      <w:bookmarkStart w:id="370" w:name="_Toc27147886"/>
      <w:r>
        <w:rPr>
          <w:b/>
          <w:bCs/>
          <w:sz w:val="20"/>
          <w:szCs w:val="20"/>
        </w:rPr>
        <w:t>Tabla Nº</w:t>
      </w:r>
      <w:r w:rsidRPr="00635F7D">
        <w:rPr>
          <w:b/>
          <w:bCs/>
          <w:sz w:val="20"/>
          <w:szCs w:val="20"/>
        </w:rPr>
        <w:t xml:space="preserve"> </w:t>
      </w:r>
      <w:r w:rsidR="009F3AA0">
        <w:rPr>
          <w:b/>
          <w:bCs/>
          <w:sz w:val="20"/>
          <w:szCs w:val="20"/>
        </w:rPr>
        <w:t>11</w:t>
      </w:r>
      <w:r w:rsidRPr="00635F7D">
        <w:rPr>
          <w:b/>
          <w:bCs/>
          <w:sz w:val="20"/>
          <w:szCs w:val="20"/>
        </w:rPr>
        <w:t xml:space="preserve"> </w:t>
      </w:r>
      <w:r w:rsidRPr="0077496F">
        <w:rPr>
          <w:b/>
          <w:bCs/>
          <w:sz w:val="20"/>
          <w:szCs w:val="20"/>
        </w:rPr>
        <w:t>Dólar Observado</w:t>
      </w:r>
      <w:bookmarkEnd w:id="370"/>
    </w:p>
    <w:tbl>
      <w:tblPr>
        <w:tblW w:w="9133" w:type="dxa"/>
        <w:jc w:val="center"/>
        <w:tblCellMar>
          <w:left w:w="70" w:type="dxa"/>
          <w:right w:w="70" w:type="dxa"/>
        </w:tblCellMar>
        <w:tblLook w:val="0000" w:firstRow="0" w:lastRow="0" w:firstColumn="0" w:lastColumn="0" w:noHBand="0" w:noVBand="0"/>
      </w:tblPr>
      <w:tblGrid>
        <w:gridCol w:w="557"/>
        <w:gridCol w:w="642"/>
        <w:gridCol w:w="721"/>
        <w:gridCol w:w="721"/>
        <w:gridCol w:w="721"/>
        <w:gridCol w:w="721"/>
        <w:gridCol w:w="721"/>
        <w:gridCol w:w="721"/>
        <w:gridCol w:w="721"/>
        <w:gridCol w:w="721"/>
        <w:gridCol w:w="721"/>
        <w:gridCol w:w="721"/>
        <w:gridCol w:w="724"/>
      </w:tblGrid>
      <w:tr w:rsidR="008A5FF6" w:rsidRPr="008A5FF6" w14:paraId="56B9D25E" w14:textId="77777777" w:rsidTr="00A43C8E">
        <w:trPr>
          <w:trHeight w:val="282"/>
          <w:jc w:val="center"/>
        </w:trPr>
        <w:tc>
          <w:tcPr>
            <w:tcW w:w="557" w:type="dxa"/>
            <w:vMerge w:val="restart"/>
            <w:tcBorders>
              <w:top w:val="single" w:sz="4" w:space="0" w:color="auto"/>
              <w:left w:val="single" w:sz="4" w:space="0" w:color="auto"/>
              <w:bottom w:val="single" w:sz="4" w:space="0" w:color="auto"/>
              <w:right w:val="single" w:sz="4" w:space="0" w:color="auto"/>
            </w:tcBorders>
            <w:shd w:val="solid" w:color="BFBFBF" w:themeColor="background1" w:themeShade="BF" w:fill="auto"/>
            <w:noWrap/>
            <w:vAlign w:val="bottom"/>
          </w:tcPr>
          <w:p w14:paraId="6880D033"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A</w:t>
            </w:r>
            <w:r>
              <w:rPr>
                <w:b/>
                <w:color w:val="000000"/>
                <w:sz w:val="18"/>
                <w:szCs w:val="18"/>
                <w:lang w:val="es-CL" w:eastAsia="es-CL"/>
              </w:rPr>
              <w:t>ño</w:t>
            </w:r>
          </w:p>
        </w:tc>
        <w:tc>
          <w:tcPr>
            <w:tcW w:w="8576" w:type="dxa"/>
            <w:gridSpan w:val="12"/>
            <w:tcBorders>
              <w:top w:val="single" w:sz="4" w:space="0" w:color="auto"/>
              <w:left w:val="nil"/>
              <w:bottom w:val="single" w:sz="4" w:space="0" w:color="auto"/>
              <w:right w:val="single" w:sz="4" w:space="0" w:color="auto"/>
            </w:tcBorders>
            <w:shd w:val="solid" w:color="BFBFBF" w:themeColor="background1" w:themeShade="BF" w:fill="auto"/>
            <w:noWrap/>
            <w:vAlign w:val="bottom"/>
          </w:tcPr>
          <w:p w14:paraId="30C0278B"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Dólar Observado, $/US$</w:t>
            </w:r>
          </w:p>
        </w:tc>
      </w:tr>
      <w:tr w:rsidR="008A5FF6" w:rsidRPr="008A5FF6" w14:paraId="186354FB" w14:textId="77777777" w:rsidTr="00A43C8E">
        <w:trPr>
          <w:trHeight w:val="282"/>
          <w:jc w:val="center"/>
        </w:trPr>
        <w:tc>
          <w:tcPr>
            <w:tcW w:w="557" w:type="dxa"/>
            <w:vMerge/>
            <w:tcBorders>
              <w:top w:val="single" w:sz="4" w:space="0" w:color="auto"/>
              <w:left w:val="single" w:sz="4" w:space="0" w:color="auto"/>
              <w:bottom w:val="single" w:sz="4" w:space="0" w:color="auto"/>
              <w:right w:val="single" w:sz="4" w:space="0" w:color="auto"/>
            </w:tcBorders>
            <w:shd w:val="solid" w:color="BFBFBF" w:themeColor="background1" w:themeShade="BF" w:fill="auto"/>
            <w:vAlign w:val="center"/>
          </w:tcPr>
          <w:p w14:paraId="31C835F1" w14:textId="77777777" w:rsidR="008A5FF6" w:rsidRPr="008A5FF6" w:rsidRDefault="008A5FF6" w:rsidP="008A5FF6">
            <w:pPr>
              <w:spacing w:after="0" w:line="240" w:lineRule="auto"/>
              <w:jc w:val="left"/>
              <w:rPr>
                <w:color w:val="000000"/>
                <w:sz w:val="18"/>
                <w:szCs w:val="18"/>
                <w:lang w:val="es-CL" w:eastAsia="es-CL"/>
              </w:rPr>
            </w:pPr>
          </w:p>
        </w:tc>
        <w:tc>
          <w:tcPr>
            <w:tcW w:w="642" w:type="dxa"/>
            <w:tcBorders>
              <w:top w:val="nil"/>
              <w:left w:val="nil"/>
              <w:bottom w:val="single" w:sz="4" w:space="0" w:color="auto"/>
              <w:right w:val="single" w:sz="4" w:space="0" w:color="auto"/>
            </w:tcBorders>
            <w:shd w:val="solid" w:color="BFBFBF" w:themeColor="background1" w:themeShade="BF" w:fill="auto"/>
            <w:noWrap/>
            <w:vAlign w:val="bottom"/>
          </w:tcPr>
          <w:p w14:paraId="68CA3790"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ene</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30C2876C"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feb</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31D21A98"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mar</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64530352"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abr</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5FB35347"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may</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7D8EB99C"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jun</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6773884F"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jul</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56413B9B"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ago</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1F987B48"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sep</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37BE480E"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oct</w:t>
            </w:r>
          </w:p>
        </w:tc>
        <w:tc>
          <w:tcPr>
            <w:tcW w:w="721" w:type="dxa"/>
            <w:tcBorders>
              <w:top w:val="nil"/>
              <w:left w:val="nil"/>
              <w:bottom w:val="single" w:sz="4" w:space="0" w:color="auto"/>
              <w:right w:val="single" w:sz="4" w:space="0" w:color="auto"/>
            </w:tcBorders>
            <w:shd w:val="solid" w:color="BFBFBF" w:themeColor="background1" w:themeShade="BF" w:fill="auto"/>
            <w:noWrap/>
            <w:vAlign w:val="bottom"/>
          </w:tcPr>
          <w:p w14:paraId="19DF2531"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nov</w:t>
            </w:r>
          </w:p>
        </w:tc>
        <w:tc>
          <w:tcPr>
            <w:tcW w:w="724" w:type="dxa"/>
            <w:tcBorders>
              <w:top w:val="nil"/>
              <w:left w:val="nil"/>
              <w:bottom w:val="single" w:sz="4" w:space="0" w:color="auto"/>
              <w:right w:val="single" w:sz="4" w:space="0" w:color="auto"/>
            </w:tcBorders>
            <w:shd w:val="solid" w:color="BFBFBF" w:themeColor="background1" w:themeShade="BF" w:fill="auto"/>
            <w:noWrap/>
            <w:vAlign w:val="bottom"/>
          </w:tcPr>
          <w:p w14:paraId="20A2960E" w14:textId="77777777" w:rsidR="008A5FF6" w:rsidRPr="008A5FF6" w:rsidRDefault="008A5FF6" w:rsidP="008A5FF6">
            <w:pPr>
              <w:spacing w:after="0" w:line="240" w:lineRule="auto"/>
              <w:jc w:val="center"/>
              <w:rPr>
                <w:b/>
                <w:color w:val="000000"/>
                <w:sz w:val="18"/>
                <w:szCs w:val="18"/>
                <w:lang w:val="es-CL" w:eastAsia="es-CL"/>
              </w:rPr>
            </w:pPr>
            <w:r w:rsidRPr="008A5FF6">
              <w:rPr>
                <w:b/>
                <w:color w:val="000000"/>
                <w:sz w:val="18"/>
                <w:szCs w:val="18"/>
                <w:lang w:val="es-CL" w:eastAsia="es-CL"/>
              </w:rPr>
              <w:t>dic</w:t>
            </w:r>
          </w:p>
        </w:tc>
      </w:tr>
      <w:tr w:rsidR="008A5FF6" w:rsidRPr="008A5FF6" w14:paraId="65122CBB" w14:textId="77777777">
        <w:trPr>
          <w:trHeight w:val="282"/>
          <w:jc w:val="center"/>
        </w:trPr>
        <w:tc>
          <w:tcPr>
            <w:tcW w:w="557" w:type="dxa"/>
            <w:tcBorders>
              <w:top w:val="nil"/>
              <w:left w:val="single" w:sz="4" w:space="0" w:color="auto"/>
              <w:bottom w:val="single" w:sz="4" w:space="0" w:color="auto"/>
              <w:right w:val="single" w:sz="4" w:space="0" w:color="auto"/>
            </w:tcBorders>
            <w:shd w:val="clear" w:color="auto" w:fill="auto"/>
            <w:noWrap/>
            <w:vAlign w:val="bottom"/>
          </w:tcPr>
          <w:p w14:paraId="35BFD602"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2017</w:t>
            </w:r>
          </w:p>
        </w:tc>
        <w:tc>
          <w:tcPr>
            <w:tcW w:w="642" w:type="dxa"/>
            <w:tcBorders>
              <w:top w:val="nil"/>
              <w:left w:val="nil"/>
              <w:bottom w:val="single" w:sz="4" w:space="0" w:color="auto"/>
              <w:right w:val="single" w:sz="4" w:space="0" w:color="auto"/>
            </w:tcBorders>
            <w:shd w:val="clear" w:color="auto" w:fill="auto"/>
            <w:noWrap/>
            <w:vAlign w:val="bottom"/>
          </w:tcPr>
          <w:p w14:paraId="1B81E6BE"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661,19</w:t>
            </w:r>
          </w:p>
        </w:tc>
        <w:tc>
          <w:tcPr>
            <w:tcW w:w="721" w:type="dxa"/>
            <w:tcBorders>
              <w:top w:val="nil"/>
              <w:left w:val="nil"/>
              <w:bottom w:val="single" w:sz="4" w:space="0" w:color="auto"/>
              <w:right w:val="single" w:sz="4" w:space="0" w:color="auto"/>
            </w:tcBorders>
            <w:shd w:val="clear" w:color="auto" w:fill="auto"/>
            <w:noWrap/>
            <w:vAlign w:val="bottom"/>
          </w:tcPr>
          <w:p w14:paraId="617DBC98"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643,21</w:t>
            </w:r>
          </w:p>
        </w:tc>
        <w:tc>
          <w:tcPr>
            <w:tcW w:w="721" w:type="dxa"/>
            <w:tcBorders>
              <w:top w:val="nil"/>
              <w:left w:val="nil"/>
              <w:bottom w:val="single" w:sz="4" w:space="0" w:color="auto"/>
              <w:right w:val="single" w:sz="4" w:space="0" w:color="auto"/>
            </w:tcBorders>
            <w:shd w:val="clear" w:color="auto" w:fill="auto"/>
            <w:noWrap/>
            <w:vAlign w:val="bottom"/>
          </w:tcPr>
          <w:p w14:paraId="2FB90E8D"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661,20</w:t>
            </w:r>
          </w:p>
        </w:tc>
        <w:tc>
          <w:tcPr>
            <w:tcW w:w="721" w:type="dxa"/>
            <w:tcBorders>
              <w:top w:val="nil"/>
              <w:left w:val="nil"/>
              <w:bottom w:val="single" w:sz="4" w:space="0" w:color="auto"/>
              <w:right w:val="single" w:sz="4" w:space="0" w:color="auto"/>
            </w:tcBorders>
            <w:shd w:val="clear" w:color="auto" w:fill="auto"/>
            <w:noWrap/>
            <w:vAlign w:val="bottom"/>
          </w:tcPr>
          <w:p w14:paraId="6970104F"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655,74</w:t>
            </w:r>
          </w:p>
        </w:tc>
        <w:tc>
          <w:tcPr>
            <w:tcW w:w="721" w:type="dxa"/>
            <w:tcBorders>
              <w:top w:val="nil"/>
              <w:left w:val="nil"/>
              <w:bottom w:val="single" w:sz="4" w:space="0" w:color="auto"/>
              <w:right w:val="single" w:sz="4" w:space="0" w:color="auto"/>
            </w:tcBorders>
            <w:shd w:val="clear" w:color="auto" w:fill="auto"/>
            <w:noWrap/>
            <w:vAlign w:val="bottom"/>
          </w:tcPr>
          <w:p w14:paraId="0B2EA5C8"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671,54</w:t>
            </w:r>
          </w:p>
        </w:tc>
        <w:tc>
          <w:tcPr>
            <w:tcW w:w="721" w:type="dxa"/>
            <w:tcBorders>
              <w:top w:val="nil"/>
              <w:left w:val="nil"/>
              <w:bottom w:val="single" w:sz="4" w:space="0" w:color="auto"/>
              <w:right w:val="single" w:sz="4" w:space="0" w:color="auto"/>
            </w:tcBorders>
            <w:shd w:val="clear" w:color="auto" w:fill="auto"/>
            <w:noWrap/>
            <w:vAlign w:val="bottom"/>
          </w:tcPr>
          <w:p w14:paraId="179A9F88"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665,15</w:t>
            </w:r>
          </w:p>
        </w:tc>
        <w:tc>
          <w:tcPr>
            <w:tcW w:w="721" w:type="dxa"/>
            <w:tcBorders>
              <w:top w:val="nil"/>
              <w:left w:val="nil"/>
              <w:bottom w:val="single" w:sz="4" w:space="0" w:color="auto"/>
              <w:right w:val="single" w:sz="4" w:space="0" w:color="auto"/>
            </w:tcBorders>
            <w:shd w:val="clear" w:color="auto" w:fill="auto"/>
            <w:noWrap/>
            <w:vAlign w:val="bottom"/>
          </w:tcPr>
          <w:p w14:paraId="21E6EEE3"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658,17</w:t>
            </w:r>
          </w:p>
        </w:tc>
        <w:tc>
          <w:tcPr>
            <w:tcW w:w="721" w:type="dxa"/>
            <w:tcBorders>
              <w:top w:val="nil"/>
              <w:left w:val="nil"/>
              <w:bottom w:val="single" w:sz="4" w:space="0" w:color="auto"/>
              <w:right w:val="single" w:sz="4" w:space="0" w:color="auto"/>
            </w:tcBorders>
            <w:shd w:val="clear" w:color="auto" w:fill="auto"/>
            <w:noWrap/>
            <w:vAlign w:val="bottom"/>
          </w:tcPr>
          <w:p w14:paraId="33674312"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644,24</w:t>
            </w:r>
          </w:p>
        </w:tc>
        <w:tc>
          <w:tcPr>
            <w:tcW w:w="721" w:type="dxa"/>
            <w:tcBorders>
              <w:top w:val="nil"/>
              <w:left w:val="nil"/>
              <w:bottom w:val="single" w:sz="4" w:space="0" w:color="auto"/>
              <w:right w:val="single" w:sz="4" w:space="0" w:color="auto"/>
            </w:tcBorders>
            <w:shd w:val="clear" w:color="auto" w:fill="auto"/>
            <w:noWrap/>
            <w:vAlign w:val="bottom"/>
          </w:tcPr>
          <w:p w14:paraId="1B84E3C1"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625,54</w:t>
            </w:r>
          </w:p>
        </w:tc>
        <w:tc>
          <w:tcPr>
            <w:tcW w:w="721" w:type="dxa"/>
            <w:tcBorders>
              <w:top w:val="nil"/>
              <w:left w:val="nil"/>
              <w:bottom w:val="single" w:sz="4" w:space="0" w:color="auto"/>
              <w:right w:val="single" w:sz="4" w:space="0" w:color="auto"/>
            </w:tcBorders>
            <w:shd w:val="clear" w:color="auto" w:fill="auto"/>
            <w:noWrap/>
            <w:vAlign w:val="bottom"/>
          </w:tcPr>
          <w:p w14:paraId="54223143"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629,55</w:t>
            </w:r>
          </w:p>
        </w:tc>
        <w:tc>
          <w:tcPr>
            <w:tcW w:w="721" w:type="dxa"/>
            <w:tcBorders>
              <w:top w:val="nil"/>
              <w:left w:val="nil"/>
              <w:bottom w:val="single" w:sz="4" w:space="0" w:color="auto"/>
              <w:right w:val="single" w:sz="4" w:space="0" w:color="auto"/>
            </w:tcBorders>
            <w:shd w:val="clear" w:color="auto" w:fill="auto"/>
            <w:noWrap/>
            <w:vAlign w:val="bottom"/>
          </w:tcPr>
          <w:p w14:paraId="3EC8C27D"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633,77</w:t>
            </w:r>
          </w:p>
        </w:tc>
        <w:tc>
          <w:tcPr>
            <w:tcW w:w="724" w:type="dxa"/>
            <w:tcBorders>
              <w:top w:val="nil"/>
              <w:left w:val="nil"/>
              <w:bottom w:val="single" w:sz="4" w:space="0" w:color="auto"/>
              <w:right w:val="single" w:sz="4" w:space="0" w:color="auto"/>
            </w:tcBorders>
            <w:shd w:val="clear" w:color="auto" w:fill="auto"/>
            <w:noWrap/>
            <w:vAlign w:val="bottom"/>
          </w:tcPr>
          <w:p w14:paraId="36DA0582"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636,92</w:t>
            </w:r>
          </w:p>
        </w:tc>
      </w:tr>
      <w:tr w:rsidR="008A5FF6" w:rsidRPr="008A5FF6" w14:paraId="5D7CAA7F" w14:textId="77777777">
        <w:trPr>
          <w:trHeight w:val="282"/>
          <w:jc w:val="center"/>
        </w:trPr>
        <w:tc>
          <w:tcPr>
            <w:tcW w:w="557" w:type="dxa"/>
            <w:tcBorders>
              <w:top w:val="nil"/>
              <w:left w:val="single" w:sz="4" w:space="0" w:color="auto"/>
              <w:bottom w:val="single" w:sz="4" w:space="0" w:color="auto"/>
              <w:right w:val="single" w:sz="4" w:space="0" w:color="auto"/>
            </w:tcBorders>
            <w:shd w:val="clear" w:color="auto" w:fill="auto"/>
            <w:noWrap/>
            <w:vAlign w:val="bottom"/>
          </w:tcPr>
          <w:p w14:paraId="054B0057"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2018</w:t>
            </w:r>
          </w:p>
        </w:tc>
        <w:tc>
          <w:tcPr>
            <w:tcW w:w="642" w:type="dxa"/>
            <w:tcBorders>
              <w:top w:val="nil"/>
              <w:left w:val="nil"/>
              <w:bottom w:val="single" w:sz="4" w:space="0" w:color="auto"/>
              <w:right w:val="single" w:sz="4" w:space="0" w:color="auto"/>
            </w:tcBorders>
            <w:shd w:val="clear" w:color="auto" w:fill="auto"/>
            <w:noWrap/>
            <w:vAlign w:val="bottom"/>
          </w:tcPr>
          <w:p w14:paraId="2958CD7E"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605,53</w:t>
            </w:r>
          </w:p>
        </w:tc>
        <w:tc>
          <w:tcPr>
            <w:tcW w:w="721" w:type="dxa"/>
            <w:tcBorders>
              <w:top w:val="nil"/>
              <w:left w:val="nil"/>
              <w:bottom w:val="single" w:sz="4" w:space="0" w:color="auto"/>
              <w:right w:val="single" w:sz="4" w:space="0" w:color="auto"/>
            </w:tcBorders>
            <w:shd w:val="clear" w:color="auto" w:fill="auto"/>
            <w:noWrap/>
            <w:vAlign w:val="bottom"/>
          </w:tcPr>
          <w:p w14:paraId="4ED023FA"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596,84</w:t>
            </w:r>
          </w:p>
        </w:tc>
        <w:tc>
          <w:tcPr>
            <w:tcW w:w="721" w:type="dxa"/>
            <w:tcBorders>
              <w:top w:val="nil"/>
              <w:left w:val="nil"/>
              <w:bottom w:val="single" w:sz="4" w:space="0" w:color="auto"/>
              <w:right w:val="single" w:sz="4" w:space="0" w:color="auto"/>
            </w:tcBorders>
            <w:shd w:val="clear" w:color="auto" w:fill="auto"/>
            <w:noWrap/>
            <w:vAlign w:val="bottom"/>
          </w:tcPr>
          <w:p w14:paraId="2201196B"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603,45</w:t>
            </w:r>
          </w:p>
        </w:tc>
        <w:tc>
          <w:tcPr>
            <w:tcW w:w="721" w:type="dxa"/>
            <w:tcBorders>
              <w:top w:val="nil"/>
              <w:left w:val="nil"/>
              <w:bottom w:val="single" w:sz="4" w:space="0" w:color="auto"/>
              <w:right w:val="single" w:sz="4" w:space="0" w:color="auto"/>
            </w:tcBorders>
            <w:shd w:val="clear" w:color="auto" w:fill="auto"/>
            <w:noWrap/>
            <w:vAlign w:val="bottom"/>
          </w:tcPr>
          <w:p w14:paraId="1F38F16B"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600,55</w:t>
            </w:r>
          </w:p>
        </w:tc>
        <w:tc>
          <w:tcPr>
            <w:tcW w:w="721" w:type="dxa"/>
            <w:tcBorders>
              <w:top w:val="nil"/>
              <w:left w:val="nil"/>
              <w:bottom w:val="single" w:sz="4" w:space="0" w:color="auto"/>
              <w:right w:val="single" w:sz="4" w:space="0" w:color="auto"/>
            </w:tcBorders>
            <w:shd w:val="clear" w:color="auto" w:fill="auto"/>
            <w:noWrap/>
            <w:vAlign w:val="bottom"/>
          </w:tcPr>
          <w:p w14:paraId="66925DA6"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626,12</w:t>
            </w:r>
          </w:p>
        </w:tc>
        <w:tc>
          <w:tcPr>
            <w:tcW w:w="721" w:type="dxa"/>
            <w:tcBorders>
              <w:top w:val="nil"/>
              <w:left w:val="nil"/>
              <w:bottom w:val="single" w:sz="4" w:space="0" w:color="auto"/>
              <w:right w:val="single" w:sz="4" w:space="0" w:color="auto"/>
            </w:tcBorders>
            <w:shd w:val="clear" w:color="auto" w:fill="auto"/>
            <w:noWrap/>
            <w:vAlign w:val="bottom"/>
          </w:tcPr>
          <w:p w14:paraId="181FA9F6"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636,15</w:t>
            </w:r>
          </w:p>
        </w:tc>
        <w:tc>
          <w:tcPr>
            <w:tcW w:w="721" w:type="dxa"/>
            <w:tcBorders>
              <w:top w:val="nil"/>
              <w:left w:val="nil"/>
              <w:bottom w:val="single" w:sz="4" w:space="0" w:color="auto"/>
              <w:right w:val="single" w:sz="4" w:space="0" w:color="auto"/>
            </w:tcBorders>
            <w:shd w:val="clear" w:color="auto" w:fill="auto"/>
            <w:noWrap/>
            <w:vAlign w:val="bottom"/>
          </w:tcPr>
          <w:p w14:paraId="11C7F120"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652,41</w:t>
            </w:r>
          </w:p>
        </w:tc>
        <w:tc>
          <w:tcPr>
            <w:tcW w:w="721" w:type="dxa"/>
            <w:tcBorders>
              <w:top w:val="nil"/>
              <w:left w:val="nil"/>
              <w:bottom w:val="single" w:sz="4" w:space="0" w:color="auto"/>
              <w:right w:val="single" w:sz="4" w:space="0" w:color="auto"/>
            </w:tcBorders>
            <w:shd w:val="clear" w:color="auto" w:fill="auto"/>
            <w:noWrap/>
            <w:vAlign w:val="bottom"/>
          </w:tcPr>
          <w:p w14:paraId="3E7A194A"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656,25</w:t>
            </w:r>
          </w:p>
        </w:tc>
        <w:tc>
          <w:tcPr>
            <w:tcW w:w="721" w:type="dxa"/>
            <w:tcBorders>
              <w:top w:val="nil"/>
              <w:left w:val="nil"/>
              <w:bottom w:val="single" w:sz="4" w:space="0" w:color="auto"/>
              <w:right w:val="single" w:sz="4" w:space="0" w:color="auto"/>
            </w:tcBorders>
            <w:shd w:val="clear" w:color="auto" w:fill="auto"/>
            <w:noWrap/>
            <w:vAlign w:val="bottom"/>
          </w:tcPr>
          <w:p w14:paraId="6D28FC5A"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680,91</w:t>
            </w:r>
          </w:p>
        </w:tc>
        <w:tc>
          <w:tcPr>
            <w:tcW w:w="721" w:type="dxa"/>
            <w:tcBorders>
              <w:top w:val="nil"/>
              <w:left w:val="nil"/>
              <w:bottom w:val="single" w:sz="4" w:space="0" w:color="auto"/>
              <w:right w:val="single" w:sz="4" w:space="0" w:color="auto"/>
            </w:tcBorders>
            <w:shd w:val="clear" w:color="auto" w:fill="auto"/>
            <w:noWrap/>
            <w:vAlign w:val="bottom"/>
          </w:tcPr>
          <w:p w14:paraId="58660C0B"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676,84</w:t>
            </w:r>
          </w:p>
        </w:tc>
        <w:tc>
          <w:tcPr>
            <w:tcW w:w="721" w:type="dxa"/>
            <w:tcBorders>
              <w:top w:val="nil"/>
              <w:left w:val="nil"/>
              <w:bottom w:val="single" w:sz="4" w:space="0" w:color="auto"/>
              <w:right w:val="single" w:sz="4" w:space="0" w:color="auto"/>
            </w:tcBorders>
            <w:shd w:val="clear" w:color="auto" w:fill="auto"/>
            <w:noWrap/>
            <w:vAlign w:val="bottom"/>
          </w:tcPr>
          <w:p w14:paraId="5DE8EBDE"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677,61</w:t>
            </w:r>
          </w:p>
        </w:tc>
        <w:tc>
          <w:tcPr>
            <w:tcW w:w="724" w:type="dxa"/>
            <w:tcBorders>
              <w:top w:val="nil"/>
              <w:left w:val="nil"/>
              <w:bottom w:val="single" w:sz="4" w:space="0" w:color="auto"/>
              <w:right w:val="single" w:sz="4" w:space="0" w:color="auto"/>
            </w:tcBorders>
            <w:shd w:val="clear" w:color="auto" w:fill="auto"/>
            <w:noWrap/>
            <w:vAlign w:val="bottom"/>
          </w:tcPr>
          <w:p w14:paraId="4BAD96BD"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681,99</w:t>
            </w:r>
          </w:p>
        </w:tc>
      </w:tr>
      <w:tr w:rsidR="008A5FF6" w:rsidRPr="008A5FF6" w14:paraId="200B7DC7" w14:textId="77777777">
        <w:trPr>
          <w:trHeight w:val="282"/>
          <w:jc w:val="center"/>
        </w:trPr>
        <w:tc>
          <w:tcPr>
            <w:tcW w:w="557" w:type="dxa"/>
            <w:tcBorders>
              <w:top w:val="nil"/>
              <w:left w:val="single" w:sz="4" w:space="0" w:color="auto"/>
              <w:bottom w:val="single" w:sz="4" w:space="0" w:color="auto"/>
              <w:right w:val="single" w:sz="4" w:space="0" w:color="auto"/>
            </w:tcBorders>
            <w:shd w:val="clear" w:color="auto" w:fill="auto"/>
            <w:noWrap/>
            <w:vAlign w:val="bottom"/>
          </w:tcPr>
          <w:p w14:paraId="12A5C22D"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2019</w:t>
            </w:r>
          </w:p>
        </w:tc>
        <w:tc>
          <w:tcPr>
            <w:tcW w:w="642" w:type="dxa"/>
            <w:tcBorders>
              <w:top w:val="nil"/>
              <w:left w:val="nil"/>
              <w:bottom w:val="single" w:sz="4" w:space="0" w:color="auto"/>
              <w:right w:val="single" w:sz="4" w:space="0" w:color="auto"/>
            </w:tcBorders>
            <w:shd w:val="clear" w:color="auto" w:fill="auto"/>
            <w:noWrap/>
            <w:vAlign w:val="bottom"/>
          </w:tcPr>
          <w:p w14:paraId="7C16EB5F"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677,06</w:t>
            </w:r>
          </w:p>
        </w:tc>
        <w:tc>
          <w:tcPr>
            <w:tcW w:w="721" w:type="dxa"/>
            <w:tcBorders>
              <w:top w:val="nil"/>
              <w:left w:val="nil"/>
              <w:bottom w:val="single" w:sz="4" w:space="0" w:color="auto"/>
              <w:right w:val="single" w:sz="4" w:space="0" w:color="auto"/>
            </w:tcBorders>
            <w:shd w:val="clear" w:color="auto" w:fill="auto"/>
            <w:noWrap/>
            <w:vAlign w:val="bottom"/>
          </w:tcPr>
          <w:p w14:paraId="1650901A"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656,30</w:t>
            </w:r>
          </w:p>
        </w:tc>
        <w:tc>
          <w:tcPr>
            <w:tcW w:w="721" w:type="dxa"/>
            <w:tcBorders>
              <w:top w:val="nil"/>
              <w:left w:val="nil"/>
              <w:bottom w:val="single" w:sz="4" w:space="0" w:color="auto"/>
              <w:right w:val="single" w:sz="4" w:space="0" w:color="auto"/>
            </w:tcBorders>
            <w:shd w:val="clear" w:color="auto" w:fill="auto"/>
            <w:noWrap/>
            <w:vAlign w:val="bottom"/>
          </w:tcPr>
          <w:p w14:paraId="2BB50133"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667,68</w:t>
            </w:r>
          </w:p>
        </w:tc>
        <w:tc>
          <w:tcPr>
            <w:tcW w:w="721" w:type="dxa"/>
            <w:tcBorders>
              <w:top w:val="nil"/>
              <w:left w:val="nil"/>
              <w:bottom w:val="single" w:sz="4" w:space="0" w:color="auto"/>
              <w:right w:val="single" w:sz="4" w:space="0" w:color="auto"/>
            </w:tcBorders>
            <w:shd w:val="clear" w:color="auto" w:fill="auto"/>
            <w:noWrap/>
            <w:vAlign w:val="bottom"/>
          </w:tcPr>
          <w:p w14:paraId="59FBCD81"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667,40</w:t>
            </w:r>
          </w:p>
        </w:tc>
        <w:tc>
          <w:tcPr>
            <w:tcW w:w="721" w:type="dxa"/>
            <w:tcBorders>
              <w:top w:val="nil"/>
              <w:left w:val="nil"/>
              <w:bottom w:val="single" w:sz="4" w:space="0" w:color="auto"/>
              <w:right w:val="single" w:sz="4" w:space="0" w:color="auto"/>
            </w:tcBorders>
            <w:shd w:val="clear" w:color="auto" w:fill="auto"/>
            <w:noWrap/>
            <w:vAlign w:val="bottom"/>
          </w:tcPr>
          <w:p w14:paraId="2C07AEBF"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692,00</w:t>
            </w:r>
          </w:p>
        </w:tc>
        <w:tc>
          <w:tcPr>
            <w:tcW w:w="721" w:type="dxa"/>
            <w:tcBorders>
              <w:top w:val="nil"/>
              <w:left w:val="nil"/>
              <w:bottom w:val="single" w:sz="4" w:space="0" w:color="auto"/>
              <w:right w:val="single" w:sz="4" w:space="0" w:color="auto"/>
            </w:tcBorders>
            <w:shd w:val="clear" w:color="auto" w:fill="auto"/>
            <w:noWrap/>
            <w:vAlign w:val="bottom"/>
          </w:tcPr>
          <w:p w14:paraId="3DC7A9E8"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692,41</w:t>
            </w:r>
          </w:p>
        </w:tc>
        <w:tc>
          <w:tcPr>
            <w:tcW w:w="721" w:type="dxa"/>
            <w:tcBorders>
              <w:top w:val="nil"/>
              <w:left w:val="nil"/>
              <w:bottom w:val="single" w:sz="4" w:space="0" w:color="auto"/>
              <w:right w:val="single" w:sz="4" w:space="0" w:color="auto"/>
            </w:tcBorders>
            <w:shd w:val="clear" w:color="auto" w:fill="auto"/>
            <w:noWrap/>
            <w:vAlign w:val="bottom"/>
          </w:tcPr>
          <w:p w14:paraId="2FCDFEED"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686,06</w:t>
            </w:r>
          </w:p>
        </w:tc>
        <w:tc>
          <w:tcPr>
            <w:tcW w:w="721" w:type="dxa"/>
            <w:tcBorders>
              <w:top w:val="nil"/>
              <w:left w:val="nil"/>
              <w:bottom w:val="single" w:sz="4" w:space="0" w:color="auto"/>
              <w:right w:val="single" w:sz="4" w:space="0" w:color="auto"/>
            </w:tcBorders>
            <w:shd w:val="clear" w:color="auto" w:fill="auto"/>
            <w:noWrap/>
            <w:vAlign w:val="bottom"/>
          </w:tcPr>
          <w:p w14:paraId="0CB9952E"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713,70</w:t>
            </w:r>
          </w:p>
        </w:tc>
        <w:tc>
          <w:tcPr>
            <w:tcW w:w="721" w:type="dxa"/>
            <w:tcBorders>
              <w:top w:val="nil"/>
              <w:left w:val="nil"/>
              <w:bottom w:val="single" w:sz="4" w:space="0" w:color="auto"/>
              <w:right w:val="single" w:sz="4" w:space="0" w:color="auto"/>
            </w:tcBorders>
            <w:shd w:val="clear" w:color="auto" w:fill="auto"/>
            <w:noWrap/>
            <w:vAlign w:val="bottom"/>
          </w:tcPr>
          <w:p w14:paraId="469CB956"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718,44</w:t>
            </w:r>
          </w:p>
        </w:tc>
        <w:tc>
          <w:tcPr>
            <w:tcW w:w="721" w:type="dxa"/>
            <w:tcBorders>
              <w:top w:val="nil"/>
              <w:left w:val="nil"/>
              <w:bottom w:val="single" w:sz="4" w:space="0" w:color="auto"/>
              <w:right w:val="single" w:sz="4" w:space="0" w:color="auto"/>
            </w:tcBorders>
            <w:shd w:val="clear" w:color="auto" w:fill="auto"/>
            <w:noWrap/>
            <w:vAlign w:val="bottom"/>
          </w:tcPr>
          <w:p w14:paraId="057EF7DB"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721,03</w:t>
            </w:r>
          </w:p>
        </w:tc>
        <w:tc>
          <w:tcPr>
            <w:tcW w:w="721" w:type="dxa"/>
            <w:tcBorders>
              <w:top w:val="nil"/>
              <w:left w:val="nil"/>
              <w:bottom w:val="single" w:sz="4" w:space="0" w:color="auto"/>
              <w:right w:val="single" w:sz="4" w:space="0" w:color="auto"/>
            </w:tcBorders>
            <w:shd w:val="clear" w:color="auto" w:fill="auto"/>
            <w:noWrap/>
            <w:vAlign w:val="bottom"/>
          </w:tcPr>
          <w:p w14:paraId="72F73757"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776,53</w:t>
            </w:r>
          </w:p>
        </w:tc>
        <w:tc>
          <w:tcPr>
            <w:tcW w:w="724" w:type="dxa"/>
            <w:tcBorders>
              <w:top w:val="nil"/>
              <w:left w:val="nil"/>
              <w:bottom w:val="single" w:sz="4" w:space="0" w:color="auto"/>
              <w:right w:val="single" w:sz="4" w:space="0" w:color="auto"/>
            </w:tcBorders>
            <w:shd w:val="clear" w:color="auto" w:fill="auto"/>
            <w:noWrap/>
            <w:vAlign w:val="bottom"/>
          </w:tcPr>
          <w:p w14:paraId="1112F9F2" w14:textId="77777777" w:rsidR="008A5FF6" w:rsidRPr="008A5FF6" w:rsidRDefault="008A5FF6" w:rsidP="008A5FF6">
            <w:pPr>
              <w:spacing w:after="0" w:line="240" w:lineRule="auto"/>
              <w:jc w:val="right"/>
              <w:rPr>
                <w:color w:val="000000"/>
                <w:sz w:val="18"/>
                <w:szCs w:val="18"/>
                <w:lang w:val="es-CL" w:eastAsia="es-CL"/>
              </w:rPr>
            </w:pPr>
            <w:r w:rsidRPr="008A5FF6">
              <w:rPr>
                <w:color w:val="000000"/>
                <w:sz w:val="18"/>
                <w:szCs w:val="18"/>
                <w:lang w:val="es-CL" w:eastAsia="es-CL"/>
              </w:rPr>
              <w:t>770,39</w:t>
            </w:r>
          </w:p>
        </w:tc>
      </w:tr>
    </w:tbl>
    <w:p w14:paraId="73E4EBFE" w14:textId="77777777" w:rsidR="008A5FF6" w:rsidRPr="00EE2F47" w:rsidRDefault="008A5FF6" w:rsidP="00084018">
      <w:pPr>
        <w:spacing w:after="120"/>
      </w:pPr>
    </w:p>
    <w:p w14:paraId="303E7206" w14:textId="77777777" w:rsidR="00084018" w:rsidRDefault="00084018" w:rsidP="00084018">
      <w:r w:rsidRPr="00EE2F47">
        <w:t xml:space="preserve">De esta forma, el valor base corresponde al valor promedio del mes de octubre de 2017, esto es, </w:t>
      </w:r>
      <w:r>
        <w:rPr>
          <w:b/>
        </w:rPr>
        <w:t>D</w:t>
      </w:r>
      <w:r w:rsidRPr="00F6077A">
        <w:rPr>
          <w:b/>
        </w:rPr>
        <w:t>o</w:t>
      </w:r>
      <w:r>
        <w:rPr>
          <w:b/>
        </w:rPr>
        <w:t xml:space="preserve"> </w:t>
      </w:r>
      <w:r w:rsidRPr="00F6077A">
        <w:rPr>
          <w:b/>
        </w:rPr>
        <w:t>=</w:t>
      </w:r>
      <w:r>
        <w:rPr>
          <w:b/>
        </w:rPr>
        <w:t xml:space="preserve"> </w:t>
      </w:r>
      <w:r w:rsidRPr="00F6077A">
        <w:rPr>
          <w:b/>
        </w:rPr>
        <w:t>629,55</w:t>
      </w:r>
      <w:r w:rsidRPr="00EE2F47">
        <w:t>.</w:t>
      </w:r>
    </w:p>
    <w:p w14:paraId="66A928AB" w14:textId="77777777" w:rsidR="00084018" w:rsidRPr="00046C79" w:rsidRDefault="00084018" w:rsidP="002E20CA">
      <w:pPr>
        <w:numPr>
          <w:ilvl w:val="0"/>
          <w:numId w:val="16"/>
        </w:numPr>
        <w:rPr>
          <w:b/>
          <w:bCs/>
        </w:rPr>
      </w:pPr>
      <w:r w:rsidRPr="00046C79">
        <w:rPr>
          <w:b/>
          <w:bCs/>
        </w:rPr>
        <w:t xml:space="preserve">Tasa de impuestos a las utilidades </w:t>
      </w:r>
      <w:r>
        <w:rPr>
          <w:b/>
          <w:bCs/>
        </w:rPr>
        <w:t>(t)</w:t>
      </w:r>
    </w:p>
    <w:p w14:paraId="028A15D2" w14:textId="56655224" w:rsidR="00084018" w:rsidRDefault="00084018" w:rsidP="00084018">
      <w:pPr>
        <w:rPr>
          <w:b/>
          <w:bCs/>
        </w:rPr>
      </w:pPr>
      <w:r>
        <w:t xml:space="preserve">La tasa de impuesto a la renta utilizada para determinar el valor base de A.E.I.R. corresponde, según se desarrolla en el punto </w:t>
      </w:r>
      <w:r w:rsidR="00932467">
        <w:t>12.9</w:t>
      </w:r>
      <w:r>
        <w:t xml:space="preserve"> al 27%. Luego el valor base corresponde a dicho valor, es decir, </w:t>
      </w:r>
      <w:r w:rsidR="007A50E9">
        <w:rPr>
          <w:b/>
          <w:bCs/>
        </w:rPr>
        <w:t>t</w:t>
      </w:r>
      <w:r w:rsidRPr="007E5B28">
        <w:rPr>
          <w:b/>
          <w:bCs/>
          <w:vertAlign w:val="subscript"/>
        </w:rPr>
        <w:t>o</w:t>
      </w:r>
      <w:r w:rsidRPr="00290613">
        <w:rPr>
          <w:b/>
          <w:bCs/>
        </w:rPr>
        <w:t xml:space="preserve"> = 0,27.</w:t>
      </w:r>
    </w:p>
    <w:p w14:paraId="2310520D" w14:textId="77777777" w:rsidR="00D84C43" w:rsidRDefault="00D84C43" w:rsidP="00084018">
      <w:pPr>
        <w:rPr>
          <w:bCs/>
        </w:rPr>
      </w:pPr>
      <w:r w:rsidRPr="00D84C43">
        <w:rPr>
          <w:bCs/>
        </w:rPr>
        <w:t xml:space="preserve">En </w:t>
      </w:r>
      <w:r>
        <w:rPr>
          <w:bCs/>
        </w:rPr>
        <w:t>síntesis, los valores base para los indexadores utilizados en la fórmula de indexación son los siguientes:</w:t>
      </w:r>
    </w:p>
    <w:p w14:paraId="44289222" w14:textId="77777777" w:rsidR="008D3DAC" w:rsidRPr="008D3DAC" w:rsidRDefault="008D3DAC" w:rsidP="008D3DAC">
      <w:pPr>
        <w:jc w:val="center"/>
        <w:rPr>
          <w:b/>
          <w:bCs/>
          <w:sz w:val="22"/>
          <w:szCs w:val="22"/>
        </w:rPr>
      </w:pPr>
      <w:r w:rsidRPr="008D3DAC">
        <w:rPr>
          <w:b/>
          <w:bCs/>
          <w:sz w:val="22"/>
          <w:szCs w:val="22"/>
        </w:rPr>
        <w:t>Valor Base Indexadores</w:t>
      </w:r>
    </w:p>
    <w:tbl>
      <w:tblPr>
        <w:tblStyle w:val="Tablaconcuadrcula"/>
        <w:tblW w:w="0" w:type="auto"/>
        <w:jc w:val="center"/>
        <w:tblLook w:val="01E0" w:firstRow="1" w:lastRow="1" w:firstColumn="1" w:lastColumn="1" w:noHBand="0" w:noVBand="0"/>
      </w:tblPr>
      <w:tblGrid>
        <w:gridCol w:w="2261"/>
        <w:gridCol w:w="2391"/>
      </w:tblGrid>
      <w:tr w:rsidR="008D3DAC" w:rsidRPr="00566D6A" w14:paraId="341003BA" w14:textId="77777777" w:rsidTr="00566D6A">
        <w:trPr>
          <w:trHeight w:hRule="exact" w:val="284"/>
          <w:jc w:val="center"/>
        </w:trPr>
        <w:tc>
          <w:tcPr>
            <w:tcW w:w="2261" w:type="dxa"/>
            <w:shd w:val="solid" w:color="D9D9D9" w:themeColor="background1" w:themeShade="D9" w:fill="auto"/>
            <w:vAlign w:val="center"/>
          </w:tcPr>
          <w:p w14:paraId="637AEFA3" w14:textId="77777777" w:rsidR="008D3DAC" w:rsidRPr="00566D6A" w:rsidRDefault="008D3DAC" w:rsidP="008D3DAC">
            <w:pPr>
              <w:jc w:val="center"/>
              <w:rPr>
                <w:b/>
                <w:bCs/>
                <w:sz w:val="20"/>
                <w:szCs w:val="20"/>
              </w:rPr>
            </w:pPr>
            <w:r w:rsidRPr="00566D6A">
              <w:rPr>
                <w:b/>
                <w:bCs/>
                <w:sz w:val="20"/>
                <w:szCs w:val="20"/>
              </w:rPr>
              <w:t>Indexador Base</w:t>
            </w:r>
          </w:p>
        </w:tc>
        <w:tc>
          <w:tcPr>
            <w:tcW w:w="2391" w:type="dxa"/>
            <w:shd w:val="solid" w:color="D9D9D9" w:themeColor="background1" w:themeShade="D9" w:fill="auto"/>
            <w:vAlign w:val="center"/>
          </w:tcPr>
          <w:p w14:paraId="7E483B18" w14:textId="77777777" w:rsidR="008D3DAC" w:rsidRPr="00566D6A" w:rsidRDefault="008D3DAC" w:rsidP="008D3DAC">
            <w:pPr>
              <w:jc w:val="center"/>
              <w:rPr>
                <w:b/>
                <w:bCs/>
                <w:sz w:val="20"/>
                <w:szCs w:val="20"/>
              </w:rPr>
            </w:pPr>
            <w:r w:rsidRPr="00566D6A">
              <w:rPr>
                <w:b/>
                <w:bCs/>
                <w:sz w:val="20"/>
                <w:szCs w:val="20"/>
              </w:rPr>
              <w:t>Valor Base</w:t>
            </w:r>
          </w:p>
        </w:tc>
      </w:tr>
      <w:tr w:rsidR="008D3DAC" w:rsidRPr="00566D6A" w14:paraId="2DC6A1BF" w14:textId="77777777" w:rsidTr="00566D6A">
        <w:trPr>
          <w:trHeight w:hRule="exact" w:val="284"/>
          <w:jc w:val="center"/>
        </w:trPr>
        <w:tc>
          <w:tcPr>
            <w:tcW w:w="2261" w:type="dxa"/>
            <w:vAlign w:val="center"/>
          </w:tcPr>
          <w:p w14:paraId="656BC1B9" w14:textId="77777777" w:rsidR="008D3DAC" w:rsidRPr="00566D6A" w:rsidRDefault="008D3DAC" w:rsidP="008D3DAC">
            <w:pPr>
              <w:jc w:val="center"/>
              <w:rPr>
                <w:b/>
                <w:bCs/>
                <w:sz w:val="20"/>
                <w:szCs w:val="20"/>
              </w:rPr>
            </w:pPr>
            <w:r w:rsidRPr="00566D6A">
              <w:rPr>
                <w:b/>
                <w:bCs/>
                <w:sz w:val="20"/>
                <w:szCs w:val="20"/>
              </w:rPr>
              <w:t>IPC</w:t>
            </w:r>
            <w:r w:rsidRPr="00566D6A">
              <w:rPr>
                <w:b/>
                <w:bCs/>
                <w:sz w:val="20"/>
                <w:szCs w:val="20"/>
                <w:vertAlign w:val="subscript"/>
              </w:rPr>
              <w:t>o</w:t>
            </w:r>
          </w:p>
        </w:tc>
        <w:tc>
          <w:tcPr>
            <w:tcW w:w="2391" w:type="dxa"/>
            <w:vAlign w:val="center"/>
          </w:tcPr>
          <w:p w14:paraId="71F3B729" w14:textId="77777777" w:rsidR="008D3DAC" w:rsidRPr="00566D6A" w:rsidRDefault="008D3DAC" w:rsidP="008D3DAC">
            <w:pPr>
              <w:jc w:val="center"/>
              <w:rPr>
                <w:b/>
                <w:bCs/>
                <w:sz w:val="20"/>
                <w:szCs w:val="20"/>
              </w:rPr>
            </w:pPr>
            <w:r w:rsidRPr="00566D6A">
              <w:rPr>
                <w:b/>
                <w:sz w:val="20"/>
                <w:szCs w:val="20"/>
              </w:rPr>
              <w:t>97,89</w:t>
            </w:r>
            <w:r w:rsidR="00566D6A">
              <w:rPr>
                <w:rStyle w:val="Refdenotaalpie"/>
                <w:b/>
                <w:bCs/>
                <w:szCs w:val="20"/>
              </w:rPr>
              <w:footnoteReference w:id="45"/>
            </w:r>
          </w:p>
        </w:tc>
      </w:tr>
      <w:tr w:rsidR="008D3DAC" w:rsidRPr="00566D6A" w14:paraId="3F923271" w14:textId="77777777" w:rsidTr="00566D6A">
        <w:trPr>
          <w:trHeight w:hRule="exact" w:val="284"/>
          <w:jc w:val="center"/>
        </w:trPr>
        <w:tc>
          <w:tcPr>
            <w:tcW w:w="2261" w:type="dxa"/>
            <w:vAlign w:val="center"/>
          </w:tcPr>
          <w:p w14:paraId="3837EDFC" w14:textId="77777777" w:rsidR="008D3DAC" w:rsidRPr="00566D6A" w:rsidRDefault="008D3DAC" w:rsidP="008D3DAC">
            <w:pPr>
              <w:jc w:val="center"/>
              <w:rPr>
                <w:b/>
                <w:bCs/>
                <w:sz w:val="20"/>
                <w:szCs w:val="20"/>
              </w:rPr>
            </w:pPr>
            <w:r w:rsidRPr="00566D6A">
              <w:rPr>
                <w:b/>
                <w:bCs/>
                <w:sz w:val="20"/>
                <w:szCs w:val="20"/>
              </w:rPr>
              <w:t>CPI</w:t>
            </w:r>
            <w:r w:rsidRPr="00566D6A">
              <w:rPr>
                <w:b/>
                <w:bCs/>
                <w:sz w:val="20"/>
                <w:szCs w:val="20"/>
                <w:vertAlign w:val="subscript"/>
              </w:rPr>
              <w:t>o</w:t>
            </w:r>
          </w:p>
        </w:tc>
        <w:tc>
          <w:tcPr>
            <w:tcW w:w="2391" w:type="dxa"/>
            <w:vAlign w:val="center"/>
          </w:tcPr>
          <w:p w14:paraId="54B1AEF8" w14:textId="77777777" w:rsidR="008D3DAC" w:rsidRPr="00566D6A" w:rsidRDefault="008D3DAC" w:rsidP="008D3DAC">
            <w:pPr>
              <w:jc w:val="center"/>
              <w:rPr>
                <w:b/>
                <w:bCs/>
                <w:sz w:val="20"/>
                <w:szCs w:val="20"/>
              </w:rPr>
            </w:pPr>
            <w:r w:rsidRPr="00566D6A">
              <w:rPr>
                <w:b/>
                <w:sz w:val="20"/>
                <w:szCs w:val="20"/>
              </w:rPr>
              <w:t>246,663</w:t>
            </w:r>
          </w:p>
        </w:tc>
      </w:tr>
      <w:tr w:rsidR="008D3DAC" w:rsidRPr="00566D6A" w14:paraId="6290A2EB" w14:textId="77777777" w:rsidTr="00566D6A">
        <w:trPr>
          <w:trHeight w:hRule="exact" w:val="284"/>
          <w:jc w:val="center"/>
        </w:trPr>
        <w:tc>
          <w:tcPr>
            <w:tcW w:w="2261" w:type="dxa"/>
            <w:vAlign w:val="center"/>
          </w:tcPr>
          <w:p w14:paraId="66A5E46D" w14:textId="77777777" w:rsidR="008D3DAC" w:rsidRPr="00566D6A" w:rsidRDefault="008D3DAC" w:rsidP="008D3DAC">
            <w:pPr>
              <w:jc w:val="center"/>
              <w:rPr>
                <w:b/>
                <w:bCs/>
                <w:sz w:val="20"/>
                <w:szCs w:val="20"/>
              </w:rPr>
            </w:pPr>
            <w:r w:rsidRPr="00566D6A">
              <w:rPr>
                <w:b/>
                <w:bCs/>
                <w:sz w:val="20"/>
                <w:szCs w:val="20"/>
              </w:rPr>
              <w:t>D</w:t>
            </w:r>
            <w:r w:rsidRPr="00566D6A">
              <w:rPr>
                <w:b/>
                <w:bCs/>
                <w:sz w:val="20"/>
                <w:szCs w:val="20"/>
                <w:vertAlign w:val="subscript"/>
              </w:rPr>
              <w:t>o</w:t>
            </w:r>
          </w:p>
        </w:tc>
        <w:tc>
          <w:tcPr>
            <w:tcW w:w="2391" w:type="dxa"/>
            <w:vAlign w:val="center"/>
          </w:tcPr>
          <w:p w14:paraId="05391F77" w14:textId="77777777" w:rsidR="008D3DAC" w:rsidRPr="00566D6A" w:rsidRDefault="008D3DAC" w:rsidP="008D3DAC">
            <w:pPr>
              <w:jc w:val="center"/>
              <w:rPr>
                <w:sz w:val="20"/>
                <w:szCs w:val="20"/>
              </w:rPr>
            </w:pPr>
            <w:r w:rsidRPr="00566D6A">
              <w:rPr>
                <w:b/>
                <w:sz w:val="20"/>
                <w:szCs w:val="20"/>
              </w:rPr>
              <w:t>629,55</w:t>
            </w:r>
          </w:p>
          <w:p w14:paraId="7B78C0FD" w14:textId="77777777" w:rsidR="008D3DAC" w:rsidRPr="00566D6A" w:rsidRDefault="008D3DAC" w:rsidP="008D3DAC">
            <w:pPr>
              <w:jc w:val="center"/>
              <w:rPr>
                <w:b/>
                <w:bCs/>
                <w:sz w:val="20"/>
                <w:szCs w:val="20"/>
              </w:rPr>
            </w:pPr>
          </w:p>
        </w:tc>
      </w:tr>
      <w:tr w:rsidR="008D3DAC" w:rsidRPr="00566D6A" w14:paraId="0B768C98" w14:textId="77777777" w:rsidTr="00566D6A">
        <w:trPr>
          <w:trHeight w:hRule="exact" w:val="284"/>
          <w:jc w:val="center"/>
        </w:trPr>
        <w:tc>
          <w:tcPr>
            <w:tcW w:w="2261" w:type="dxa"/>
            <w:vAlign w:val="center"/>
          </w:tcPr>
          <w:p w14:paraId="61C6F8B2" w14:textId="77777777" w:rsidR="008D3DAC" w:rsidRPr="00566D6A" w:rsidRDefault="008D3DAC" w:rsidP="008D3DAC">
            <w:pPr>
              <w:jc w:val="center"/>
              <w:rPr>
                <w:b/>
                <w:bCs/>
                <w:sz w:val="20"/>
                <w:szCs w:val="20"/>
              </w:rPr>
            </w:pPr>
            <w:r w:rsidRPr="00566D6A">
              <w:rPr>
                <w:b/>
                <w:bCs/>
                <w:sz w:val="20"/>
                <w:szCs w:val="20"/>
              </w:rPr>
              <w:t>Ta</w:t>
            </w:r>
            <w:r w:rsidRPr="00566D6A">
              <w:rPr>
                <w:b/>
                <w:bCs/>
                <w:sz w:val="20"/>
                <w:szCs w:val="20"/>
                <w:vertAlign w:val="subscript"/>
              </w:rPr>
              <w:t>o</w:t>
            </w:r>
          </w:p>
        </w:tc>
        <w:tc>
          <w:tcPr>
            <w:tcW w:w="2391" w:type="dxa"/>
            <w:vAlign w:val="center"/>
          </w:tcPr>
          <w:p w14:paraId="293FB103" w14:textId="77777777" w:rsidR="008D3DAC" w:rsidRPr="00566D6A" w:rsidRDefault="008D3DAC" w:rsidP="008D3DAC">
            <w:pPr>
              <w:jc w:val="center"/>
              <w:rPr>
                <w:b/>
                <w:bCs/>
                <w:sz w:val="20"/>
                <w:szCs w:val="20"/>
              </w:rPr>
            </w:pPr>
            <w:r w:rsidRPr="00566D6A">
              <w:rPr>
                <w:b/>
                <w:bCs/>
                <w:sz w:val="20"/>
                <w:szCs w:val="20"/>
              </w:rPr>
              <w:t>0,06</w:t>
            </w:r>
          </w:p>
        </w:tc>
      </w:tr>
      <w:tr w:rsidR="008D3DAC" w:rsidRPr="00566D6A" w14:paraId="73DA6927" w14:textId="77777777" w:rsidTr="00566D6A">
        <w:trPr>
          <w:trHeight w:hRule="exact" w:val="284"/>
          <w:jc w:val="center"/>
        </w:trPr>
        <w:tc>
          <w:tcPr>
            <w:tcW w:w="2261" w:type="dxa"/>
            <w:vAlign w:val="center"/>
          </w:tcPr>
          <w:p w14:paraId="5DFC6827" w14:textId="77777777" w:rsidR="008D3DAC" w:rsidRPr="00566D6A" w:rsidRDefault="008D3DAC" w:rsidP="008D3DAC">
            <w:pPr>
              <w:jc w:val="center"/>
              <w:rPr>
                <w:b/>
                <w:bCs/>
                <w:sz w:val="20"/>
                <w:szCs w:val="20"/>
              </w:rPr>
            </w:pPr>
            <w:r w:rsidRPr="00566D6A">
              <w:rPr>
                <w:b/>
                <w:bCs/>
                <w:sz w:val="20"/>
                <w:szCs w:val="20"/>
              </w:rPr>
              <w:t>t</w:t>
            </w:r>
            <w:r w:rsidRPr="00566D6A">
              <w:rPr>
                <w:b/>
                <w:bCs/>
                <w:sz w:val="20"/>
                <w:szCs w:val="20"/>
                <w:vertAlign w:val="subscript"/>
              </w:rPr>
              <w:t>o</w:t>
            </w:r>
          </w:p>
        </w:tc>
        <w:tc>
          <w:tcPr>
            <w:tcW w:w="2391" w:type="dxa"/>
            <w:vAlign w:val="center"/>
          </w:tcPr>
          <w:p w14:paraId="37347E34" w14:textId="77777777" w:rsidR="008D3DAC" w:rsidRPr="00566D6A" w:rsidRDefault="008D3DAC" w:rsidP="008D3DAC">
            <w:pPr>
              <w:jc w:val="center"/>
              <w:rPr>
                <w:b/>
                <w:bCs/>
                <w:sz w:val="20"/>
                <w:szCs w:val="20"/>
              </w:rPr>
            </w:pPr>
            <w:r w:rsidRPr="00566D6A">
              <w:rPr>
                <w:b/>
                <w:bCs/>
                <w:sz w:val="20"/>
                <w:szCs w:val="20"/>
              </w:rPr>
              <w:t>0,27</w:t>
            </w:r>
          </w:p>
        </w:tc>
      </w:tr>
    </w:tbl>
    <w:p w14:paraId="1D00FC53" w14:textId="77777777" w:rsidR="00D84C43" w:rsidRDefault="00D84C43" w:rsidP="00084018">
      <w:pPr>
        <w:rPr>
          <w:b/>
          <w:bCs/>
        </w:rPr>
      </w:pPr>
    </w:p>
    <w:p w14:paraId="03E716DA" w14:textId="77777777" w:rsidR="00365A19" w:rsidRPr="00290613" w:rsidRDefault="00365A19" w:rsidP="00084018">
      <w:pPr>
        <w:rPr>
          <w:b/>
          <w:bCs/>
        </w:rPr>
      </w:pPr>
    </w:p>
    <w:p w14:paraId="33B4B4DE" w14:textId="77777777" w:rsidR="00084018" w:rsidRPr="007A50E9" w:rsidRDefault="007A50E9" w:rsidP="007A50E9">
      <w:pPr>
        <w:pStyle w:val="Ttulo3"/>
      </w:pPr>
      <w:bookmarkStart w:id="371" w:name="_Toc34687294"/>
      <w:r w:rsidRPr="007A50E9">
        <w:t>Determinación de coeficientes de la fórmula de indexación</w:t>
      </w:r>
      <w:bookmarkEnd w:id="371"/>
    </w:p>
    <w:p w14:paraId="368B6D82" w14:textId="77777777" w:rsidR="00084018" w:rsidRPr="000734F6" w:rsidRDefault="00084018" w:rsidP="00084018">
      <w:pPr>
        <w:rPr>
          <w:highlight w:val="yellow"/>
        </w:rPr>
      </w:pPr>
      <w:r w:rsidRPr="00B919A9">
        <w:t>El punto 3.10 de las Bases se refiere a la estructuración de las fórmulas de indexación del V.A.T.T. de cada tramo “n” del sistema a valorizar, estableciendo los indexadores correspondientes, a saber, IPC nacional para indexar componentes de costo de inversión y explotación relacionados con bienes o insumos nacionales, y CPI para bienes o insumos importados. De esta forma, y en lo básico, corresponde al Consultor determinar lo pesos relativos de las respectivas partidas de costo que serán indexadas conforme a la variación de estos índices.</w:t>
      </w:r>
    </w:p>
    <w:p w14:paraId="1DF4EB4C" w14:textId="77777777" w:rsidR="00084018" w:rsidRDefault="00084018" w:rsidP="00084018">
      <w:r w:rsidRPr="00B919A9">
        <w:t>El literal a) del punto 3.10 solicita que, para estructurar fórmulas de indexación de los tramos a valorizar, éstas se analicen -y/o</w:t>
      </w:r>
      <w:r>
        <w:t xml:space="preserve"> diseñen eventualmente- considerando tipos de tramos -tramos de transporte y de subestación- y por nivel de tensión. Respecto a la definición de las fórmulas, el Consultor desarrolló su propuesta considerando la estructuración de una fórmula de indexación para cada tramo “n”, con prescindencia de la posibilidad de tipificarlos y/o agruparlos, por considerar esto último una simplificación que resulta en una pérdida de precisión eventualmente innecesaria</w:t>
      </w:r>
      <w:r>
        <w:rPr>
          <w:rStyle w:val="Refdenotaalpie"/>
        </w:rPr>
        <w:footnoteReference w:id="46"/>
      </w:r>
      <w:r>
        <w:t>.</w:t>
      </w:r>
    </w:p>
    <w:p w14:paraId="57F378A2" w14:textId="77777777" w:rsidR="00084018" w:rsidRDefault="00084018" w:rsidP="00084018">
      <w:r>
        <w:t xml:space="preserve">Conforme a lo anterior, los coeficientes </w:t>
      </w:r>
      <w:r w:rsidRPr="003C7297">
        <w:rPr>
          <w:rFonts w:ascii="Symbol" w:hAnsi="Symbol"/>
        </w:rPr>
        <w:t></w:t>
      </w:r>
      <w:r w:rsidRPr="00EE2F47">
        <w:t xml:space="preserve">j, </w:t>
      </w:r>
      <w:r w:rsidRPr="003C7297">
        <w:rPr>
          <w:rFonts w:ascii="Symbol" w:hAnsi="Symbol"/>
        </w:rPr>
        <w:t></w:t>
      </w:r>
      <w:r w:rsidRPr="00EE2F47">
        <w:t>j,</w:t>
      </w:r>
      <w:r>
        <w:t xml:space="preserve"> </w:t>
      </w:r>
      <w:r w:rsidRPr="003C7297">
        <w:rPr>
          <w:rFonts w:ascii="Symbol" w:hAnsi="Symbol"/>
        </w:rPr>
        <w:t></w:t>
      </w:r>
      <w:r w:rsidRPr="00EE2F47">
        <w:t>j,</w:t>
      </w:r>
      <w:r>
        <w:t xml:space="preserve"> </w:t>
      </w:r>
      <w:r w:rsidRPr="003C7297">
        <w:rPr>
          <w:rFonts w:ascii="Symbol" w:hAnsi="Symbol"/>
        </w:rPr>
        <w:t></w:t>
      </w:r>
      <w:r w:rsidRPr="00EE2F47">
        <w:t>j</w:t>
      </w:r>
      <w:r>
        <w:t xml:space="preserve"> de la fórmula de indexación resultan directamente de establecer para cada tramo las componentes de costo nacional e importado tanto en el A.V.I. como en el A.E.I.R, y consecuentemente su proporción o peso </w:t>
      </w:r>
      <w:r w:rsidR="00FB56A2">
        <w:t xml:space="preserve">relativo </w:t>
      </w:r>
      <w:r>
        <w:t>en el V.A.T.T.</w:t>
      </w:r>
    </w:p>
    <w:p w14:paraId="3267B745" w14:textId="77777777" w:rsidR="00216EF8" w:rsidRDefault="00216EF8" w:rsidP="00084018">
      <w:r>
        <w:t>El resultado de este tratamiento se presenta</w:t>
      </w:r>
      <w:r w:rsidR="0059056D">
        <w:t xml:space="preserve"> y detalla</w:t>
      </w:r>
      <w:r>
        <w:t xml:space="preserve"> en el </w:t>
      </w:r>
      <w:r w:rsidR="00B503EE" w:rsidRPr="00B503EE">
        <w:t>Anexo VATT_2_Resultados VATT</w:t>
      </w:r>
      <w:r w:rsidR="00B503EE">
        <w:t>.</w:t>
      </w:r>
    </w:p>
    <w:p w14:paraId="4FEE926E" w14:textId="77777777" w:rsidR="000A0E6A" w:rsidRDefault="000A0E6A" w:rsidP="00084018"/>
    <w:p w14:paraId="0E7460ED" w14:textId="77777777" w:rsidR="00724344" w:rsidRPr="00FB56A2" w:rsidRDefault="00FB56A2" w:rsidP="00FB56A2">
      <w:pPr>
        <w:pStyle w:val="Ttulo2"/>
        <w:rPr>
          <w:sz w:val="24"/>
          <w:szCs w:val="24"/>
        </w:rPr>
      </w:pPr>
      <w:bookmarkStart w:id="372" w:name="_Toc34687295"/>
      <w:r w:rsidRPr="00FB56A2">
        <w:rPr>
          <w:sz w:val="24"/>
          <w:szCs w:val="24"/>
        </w:rPr>
        <w:t>Referenciación de Precios a Diciembre de 2017. Deflactores</w:t>
      </w:r>
      <w:bookmarkEnd w:id="372"/>
    </w:p>
    <w:p w14:paraId="21B72B35" w14:textId="77777777" w:rsidR="007E5B28" w:rsidRPr="007E5B28" w:rsidRDefault="007E5B28" w:rsidP="007E5B28">
      <w:pPr>
        <w:pStyle w:val="Ttulo3"/>
      </w:pPr>
      <w:bookmarkStart w:id="373" w:name="_Toc34687296"/>
      <w:r w:rsidRPr="007E5B28">
        <w:t>Consideraciones Previas</w:t>
      </w:r>
      <w:bookmarkEnd w:id="373"/>
    </w:p>
    <w:p w14:paraId="0B015232" w14:textId="77777777" w:rsidR="007E5B28" w:rsidRDefault="007E5B28" w:rsidP="007E5B28">
      <w:r>
        <w:t>Las Bases instruyen que el V.A.T.T. sea expresado en US$ de diciembre de 2017. Como los valores de mercado obtenidos por el Consultor corresponden a valores cotizados durante el segundo semestre de 2019, se propuso en el Informe de Avance N°1 que los mismos sean expresados en dólares según la variación del CPI para las componentes de costo importadas, y según la de IPC para las componentes de costo nacionales, que estos indicadores presentan entre diciembre de 2017 y el mes correspondiente al valor cotizado.</w:t>
      </w:r>
    </w:p>
    <w:p w14:paraId="4CBAF5A5" w14:textId="77777777" w:rsidR="007E5B28" w:rsidRDefault="007E5B28" w:rsidP="007E5B28">
      <w:r>
        <w:t>Lo anterior, además, resulta plenamente consistente con la fórmula de indexación establecida en las Bases para el V.A.T.T., la que establece al CPI y al IPC como los indicadores de reajuste de precios y/o costos importados y nacionales respectivamente</w:t>
      </w:r>
      <w:r>
        <w:rPr>
          <w:rStyle w:val="Refdenotaalpie"/>
        </w:rPr>
        <w:footnoteReference w:id="47"/>
      </w:r>
      <w:r>
        <w:t xml:space="preserve">. Como la fórmula de indexación incluye otros dos parámetros de variación de costo, a saber, la tasa de arancel aduanero, y la tasa de impuestos, y los mismos no experimentan variación entre diciembre de 2017 y el año 2019 -pues en la fórmula se establecen como valores base los que éstos han presentado durante 2019- basta en principio con utilizar consistentemente como </w:t>
      </w:r>
      <w:r w:rsidRPr="007829DB">
        <w:rPr>
          <w:i/>
          <w:iCs/>
        </w:rPr>
        <w:t>deflactor</w:t>
      </w:r>
      <w:r>
        <w:t xml:space="preserve"> en dólares -variación “hacia atrás”- las estructuras de variación hacia el futuro establecidas en la fórmula de indexación, y que son:</w:t>
      </w:r>
    </w:p>
    <w:p w14:paraId="3B6E9E99" w14:textId="77777777" w:rsidR="007E5B28" w:rsidRDefault="00F5226B" w:rsidP="00464A14">
      <w:pPr>
        <w:jc w:val="center"/>
      </w:pPr>
      <m:oMath>
        <m:sSub>
          <m:sSubPr>
            <m:ctrlPr>
              <w:rPr>
                <w:rFonts w:ascii="Cambria Math" w:hAnsi="Cambria Math"/>
                <w:i/>
              </w:rPr>
            </m:ctrlPr>
          </m:sSubPr>
          <m:e>
            <m:r>
              <w:rPr>
                <w:rFonts w:ascii="Cambria Math" w:hAnsi="Cambria Math"/>
              </w:rPr>
              <m:t>Valor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Valor</m:t>
            </m:r>
          </m:e>
          <m:sub>
            <m:r>
              <w:rPr>
                <w:rFonts w:ascii="Cambria Math" w:hAnsi="Cambria Math"/>
              </w:rPr>
              <m:t>o</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IPC</m:t>
                </m:r>
              </m:e>
              <m:sub>
                <m:r>
                  <w:rPr>
                    <w:rFonts w:ascii="Cambria Math" w:hAnsi="Cambria Math"/>
                  </w:rPr>
                  <m:t>k</m:t>
                </m:r>
              </m:sub>
            </m:sSub>
          </m:num>
          <m:den>
            <m:sSub>
              <m:sSubPr>
                <m:ctrlPr>
                  <w:rPr>
                    <w:rFonts w:ascii="Cambria Math" w:hAnsi="Cambria Math"/>
                    <w:i/>
                  </w:rPr>
                </m:ctrlPr>
              </m:sSubPr>
              <m:e>
                <m:r>
                  <w:rPr>
                    <w:rFonts w:ascii="Cambria Math" w:hAnsi="Cambria Math"/>
                  </w:rPr>
                  <m:t>IPC</m:t>
                </m:r>
              </m:e>
              <m:sub>
                <m:r>
                  <w:rPr>
                    <w:rFonts w:ascii="Cambria Math" w:hAnsi="Cambria Math"/>
                  </w:rPr>
                  <m:t>o</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DOL</m:t>
                </m:r>
              </m:e>
              <m:sub>
                <m:r>
                  <w:rPr>
                    <w:rFonts w:ascii="Cambria Math" w:hAnsi="Cambria Math"/>
                  </w:rPr>
                  <m:t>o</m:t>
                </m:r>
              </m:sub>
            </m:sSub>
          </m:num>
          <m:den>
            <m:sSub>
              <m:sSubPr>
                <m:ctrlPr>
                  <w:rPr>
                    <w:rFonts w:ascii="Cambria Math" w:hAnsi="Cambria Math"/>
                    <w:i/>
                  </w:rPr>
                </m:ctrlPr>
              </m:sSubPr>
              <m:e>
                <m:r>
                  <w:rPr>
                    <w:rFonts w:ascii="Cambria Math" w:hAnsi="Cambria Math"/>
                  </w:rPr>
                  <m:t>DOL</m:t>
                </m:r>
              </m:e>
              <m:sub>
                <m:r>
                  <w:rPr>
                    <w:rFonts w:ascii="Cambria Math" w:hAnsi="Cambria Math"/>
                  </w:rPr>
                  <m:t>k</m:t>
                </m:r>
              </m:sub>
            </m:sSub>
          </m:den>
        </m:f>
      </m:oMath>
      <w:r w:rsidR="007E5B28" w:rsidRPr="00D815A1">
        <w:t xml:space="preserve"> </w:t>
      </w:r>
      <w:r w:rsidR="007E5B28">
        <w:tab/>
      </w:r>
      <w:r w:rsidR="007E5B28" w:rsidRPr="00FC367A">
        <w:t xml:space="preserve">para </w:t>
      </w:r>
      <w:r w:rsidR="007E5B28">
        <w:t>los costos de recursos nacionales; (1)</w:t>
      </w:r>
    </w:p>
    <w:p w14:paraId="1DC71D64" w14:textId="77777777" w:rsidR="007E5B28" w:rsidRDefault="00F5226B" w:rsidP="00464A14">
      <w:pPr>
        <w:jc w:val="center"/>
      </w:pPr>
      <m:oMath>
        <m:sSub>
          <m:sSubPr>
            <m:ctrlPr>
              <w:rPr>
                <w:rFonts w:ascii="Cambria Math" w:hAnsi="Cambria Math"/>
                <w:i/>
              </w:rPr>
            </m:ctrlPr>
          </m:sSubPr>
          <m:e>
            <m:r>
              <w:rPr>
                <w:rFonts w:ascii="Cambria Math" w:hAnsi="Cambria Math"/>
              </w:rPr>
              <m:t>Valor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Valor</m:t>
            </m:r>
          </m:e>
          <m:sub>
            <m:r>
              <w:rPr>
                <w:rFonts w:ascii="Cambria Math" w:hAnsi="Cambria Math"/>
              </w:rPr>
              <m:t>o</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CPI</m:t>
                </m:r>
              </m:e>
              <m:sub>
                <m:r>
                  <w:rPr>
                    <w:rFonts w:ascii="Cambria Math" w:hAnsi="Cambria Math"/>
                  </w:rPr>
                  <m:t>k</m:t>
                </m:r>
              </m:sub>
            </m:sSub>
          </m:num>
          <m:den>
            <m:sSub>
              <m:sSubPr>
                <m:ctrlPr>
                  <w:rPr>
                    <w:rFonts w:ascii="Cambria Math" w:hAnsi="Cambria Math"/>
                    <w:i/>
                  </w:rPr>
                </m:ctrlPr>
              </m:sSubPr>
              <m:e>
                <m:r>
                  <w:rPr>
                    <w:rFonts w:ascii="Cambria Math" w:hAnsi="Cambria Math"/>
                  </w:rPr>
                  <m:t>CPI</m:t>
                </m:r>
              </m:e>
              <m:sub>
                <m:r>
                  <w:rPr>
                    <w:rFonts w:ascii="Cambria Math" w:hAnsi="Cambria Math"/>
                  </w:rPr>
                  <m:t>o</m:t>
                </m:r>
              </m:sub>
            </m:sSub>
          </m:den>
        </m:f>
      </m:oMath>
      <w:r w:rsidR="007E5B28">
        <w:tab/>
      </w:r>
      <w:r w:rsidR="007E5B28">
        <w:tab/>
      </w:r>
      <w:r w:rsidR="007E5B28" w:rsidRPr="00FC367A">
        <w:t>para los costos de recursos importados</w:t>
      </w:r>
      <w:r w:rsidR="007E5B28">
        <w:t>; (2)</w:t>
      </w:r>
    </w:p>
    <w:p w14:paraId="7ABF3594" w14:textId="77777777" w:rsidR="007E5B28" w:rsidRDefault="007E5B28" w:rsidP="007E5B28">
      <w:r>
        <w:t xml:space="preserve">La definición consistente de un deflactor que utilice las señaladas estructuras de variación debe permitir que el valor determinado con él a diciembre de 2017, otorgue el valor de cotización a 2019 cuando sobre dicho valor se aplica -o se aplique- la fórmula de indexación indicada en las Bases. Para lograr plena consistencia, los valores base de los deflactores deben considerar los mismos valores base de la fórmula de indexación, valores que, como se vio en el punto </w:t>
      </w:r>
      <w:r w:rsidR="00B51BAA">
        <w:t>anterior</w:t>
      </w:r>
      <w:r>
        <w:t>, corresponden a valores a octubre de 2017.</w:t>
      </w:r>
    </w:p>
    <w:p w14:paraId="14776E12" w14:textId="77777777" w:rsidR="007E5B28" w:rsidRPr="001C1142" w:rsidRDefault="007E5B28" w:rsidP="007E5B28">
      <w:r>
        <w:t xml:space="preserve">Sin embargo, debe acogerse la instrucción contenida en </w:t>
      </w:r>
      <w:r w:rsidRPr="001C1142">
        <w:t xml:space="preserve">punto I del Capítulo II de las Bases, </w:t>
      </w:r>
      <w:r>
        <w:t xml:space="preserve">la </w:t>
      </w:r>
      <w:r w:rsidRPr="001C1142">
        <w:t>que señala:</w:t>
      </w:r>
    </w:p>
    <w:p w14:paraId="44C67364" w14:textId="77777777" w:rsidR="007E5B28" w:rsidRDefault="00891F98" w:rsidP="007E5B28">
      <w:pPr>
        <w:ind w:left="708"/>
      </w:pPr>
      <w:r>
        <w:t>“</w:t>
      </w:r>
      <w:r w:rsidR="007E5B28" w:rsidRPr="001C1142">
        <w:t xml:space="preserve">Todos los costos y precios relacionados con los Estudios, utilizados tanto en los resultados finales como en las etapas intermedias, deberán expresarse en dólares de Estados Unidos de América. Particularmente para referir los valores de componentes nacionales, originalmente expresados en pesos, se deberá considerar su valor al 31 de diciembre de 2017 y posteriormente su equivalencia en dólares, utilizando para ello el valor promedio mensual del dólar observado </w:t>
      </w:r>
      <w:r w:rsidR="007E5B28" w:rsidRPr="00602945">
        <w:t>publicado por el Banco Central para el mes de diciembre de 2017</w:t>
      </w:r>
      <w:r>
        <w:t>”</w:t>
      </w:r>
      <w:r w:rsidR="007E5B28" w:rsidRPr="001C1142">
        <w:t>.</w:t>
      </w:r>
    </w:p>
    <w:p w14:paraId="0C45AEC7" w14:textId="77777777" w:rsidR="007E5B28" w:rsidRDefault="007E5B28" w:rsidP="007E5B28">
      <w:r>
        <w:t>Vista esta disposición de las Bases, el Consultor ha optado por la utilización de deflactores con base en diciembre de 2017, esto es, considerando el valor del IPC y tasa de cambio a diciembre de 2017 para componentes de costo nacional, conforme lo ordena la señalada disposición de las Bases, y el valor del CPI también a diciembre de 2017 en consistencia con ella</w:t>
      </w:r>
      <w:r>
        <w:rPr>
          <w:rStyle w:val="Refdenotaalpie"/>
        </w:rPr>
        <w:footnoteReference w:id="48"/>
      </w:r>
      <w:r>
        <w:t xml:space="preserve">.  </w:t>
      </w:r>
    </w:p>
    <w:p w14:paraId="684ECDE6" w14:textId="77777777" w:rsidR="007E5B28" w:rsidRDefault="007E5B28" w:rsidP="007E5B28">
      <w:r w:rsidRPr="00BF3988">
        <w:t>De esta</w:t>
      </w:r>
      <w:r>
        <w:t xml:space="preserve"> forma, se determinan los deflactores para componentes de costo nacional y para componentes de costo importados como:</w:t>
      </w:r>
      <w:r w:rsidRPr="00BF3988">
        <w:t xml:space="preserve"> </w:t>
      </w:r>
    </w:p>
    <w:p w14:paraId="323DE6F1" w14:textId="77777777" w:rsidR="007E5B28" w:rsidRDefault="007E5B28" w:rsidP="002E20CA">
      <w:pPr>
        <w:numPr>
          <w:ilvl w:val="0"/>
          <w:numId w:val="15"/>
        </w:numPr>
        <w:spacing w:after="0" w:line="240" w:lineRule="auto"/>
      </w:pPr>
      <w:r w:rsidRPr="00540E3A">
        <w:rPr>
          <w:b/>
        </w:rPr>
        <w:t>Deflactor de Costo Nacional</w:t>
      </w:r>
      <w:r>
        <w:t>: A aplicar en forma multiplicativa sobre componentes de costo nacional cotizado pesos en el mes k del año 2019.</w:t>
      </w:r>
    </w:p>
    <w:p w14:paraId="0BD18518" w14:textId="77777777" w:rsidR="007E5B28" w:rsidRPr="00BF3988" w:rsidRDefault="007E5B28" w:rsidP="007E5B28"/>
    <w:p w14:paraId="7FEB9F84" w14:textId="77777777" w:rsidR="007E5B28" w:rsidRPr="00BF3988" w:rsidRDefault="00537CA4" w:rsidP="00537CA4">
      <w:pPr>
        <w:jc w:val="center"/>
      </w:pPr>
      <m:oMathPara>
        <m:oMath>
          <m:r>
            <w:rPr>
              <w:rFonts w:ascii="Cambria Math"/>
            </w:rPr>
            <m:t>DeflactNa</m:t>
          </m:r>
          <m:sSub>
            <m:sSubPr>
              <m:ctrlPr>
                <w:rPr>
                  <w:rFonts w:ascii="Cambria Math" w:hAnsi="Cambria Math"/>
                  <w:i/>
                </w:rPr>
              </m:ctrlPr>
            </m:sSubPr>
            <m:e>
              <m:r>
                <w:rPr>
                  <w:rFonts w:ascii="Cambria Math"/>
                </w:rPr>
                <m:t>c</m:t>
              </m:r>
            </m:e>
            <m:sub>
              <m:r>
                <w:rPr>
                  <w:rFonts w:ascii="Cambria Math"/>
                </w:rPr>
                <m:t>k</m:t>
              </m:r>
            </m:sub>
          </m:sSub>
          <m:r>
            <w:rPr>
              <w:rFonts w:ascii="Cambria Math"/>
            </w:rPr>
            <m:t>=</m:t>
          </m:r>
          <m:f>
            <m:fPr>
              <m:ctrlPr>
                <w:rPr>
                  <w:rFonts w:ascii="Cambria Math" w:hAnsi="Cambria Math"/>
                  <w:i/>
                </w:rPr>
              </m:ctrlPr>
            </m:fPr>
            <m:num>
              <m:r>
                <w:rPr>
                  <w:rFonts w:ascii="Cambria Math"/>
                </w:rPr>
                <m:t>IP</m:t>
              </m:r>
              <m:sSub>
                <m:sSubPr>
                  <m:ctrlPr>
                    <w:rPr>
                      <w:rFonts w:ascii="Cambria Math" w:hAnsi="Cambria Math"/>
                      <w:i/>
                    </w:rPr>
                  </m:ctrlPr>
                </m:sSubPr>
                <m:e>
                  <m:r>
                    <w:rPr>
                      <w:rFonts w:ascii="Cambria Math"/>
                    </w:rPr>
                    <m:t>C</m:t>
                  </m:r>
                </m:e>
                <m:sub>
                  <m:r>
                    <w:rPr>
                      <w:rFonts w:ascii="Cambria Math"/>
                    </w:rPr>
                    <m:t>dic2017</m:t>
                  </m:r>
                </m:sub>
              </m:sSub>
            </m:num>
            <m:den>
              <m:r>
                <w:rPr>
                  <w:rFonts w:ascii="Cambria Math"/>
                </w:rPr>
                <m:t>IP</m:t>
              </m:r>
              <m:sSub>
                <m:sSubPr>
                  <m:ctrlPr>
                    <w:rPr>
                      <w:rFonts w:ascii="Cambria Math" w:hAnsi="Cambria Math"/>
                      <w:i/>
                    </w:rPr>
                  </m:ctrlPr>
                </m:sSubPr>
                <m:e>
                  <m:r>
                    <w:rPr>
                      <w:rFonts w:ascii="Cambria Math"/>
                    </w:rPr>
                    <m:t>C</m:t>
                  </m:r>
                </m:e>
                <m:sub>
                  <m:r>
                    <w:rPr>
                      <w:rFonts w:ascii="Cambria Math"/>
                    </w:rPr>
                    <m:t>k</m:t>
                  </m:r>
                </m:sub>
              </m:sSub>
            </m:den>
          </m:f>
          <m:r>
            <w:rPr>
              <w:rFonts w:ascii="Cambria Math"/>
            </w:rPr>
            <m:t>×</m:t>
          </m:r>
          <m:f>
            <m:fPr>
              <m:ctrlPr>
                <w:rPr>
                  <w:rFonts w:ascii="Cambria Math" w:hAnsi="Cambria Math"/>
                  <w:i/>
                </w:rPr>
              </m:ctrlPr>
            </m:fPr>
            <m:num>
              <m:r>
                <w:rPr>
                  <w:rFonts w:ascii="Cambria Math"/>
                </w:rPr>
                <m:t>1</m:t>
              </m:r>
            </m:num>
            <m:den>
              <m:r>
                <w:rPr>
                  <w:rFonts w:ascii="Cambria Math"/>
                </w:rPr>
                <m:t>DO</m:t>
              </m:r>
              <m:sSub>
                <m:sSubPr>
                  <m:ctrlPr>
                    <w:rPr>
                      <w:rFonts w:ascii="Cambria Math" w:hAnsi="Cambria Math"/>
                      <w:i/>
                    </w:rPr>
                  </m:ctrlPr>
                </m:sSubPr>
                <m:e>
                  <m:r>
                    <w:rPr>
                      <w:rFonts w:ascii="Cambria Math"/>
                    </w:rPr>
                    <m:t>L</m:t>
                  </m:r>
                </m:e>
                <m:sub>
                  <m:r>
                    <w:rPr>
                      <w:rFonts w:ascii="Cambria Math"/>
                    </w:rPr>
                    <m:t>dic2017</m:t>
                  </m:r>
                </m:sub>
              </m:sSub>
            </m:den>
          </m:f>
        </m:oMath>
      </m:oMathPara>
    </w:p>
    <w:p w14:paraId="0D5374D5" w14:textId="77777777" w:rsidR="007E5B28" w:rsidRDefault="007E5B28" w:rsidP="002E20CA">
      <w:pPr>
        <w:numPr>
          <w:ilvl w:val="0"/>
          <w:numId w:val="15"/>
        </w:numPr>
        <w:spacing w:after="0" w:line="240" w:lineRule="auto"/>
        <w:rPr>
          <w:b/>
        </w:rPr>
      </w:pPr>
      <w:r>
        <w:rPr>
          <w:b/>
        </w:rPr>
        <w:t xml:space="preserve">Deflactor de Costo Importado: </w:t>
      </w:r>
      <w:r>
        <w:t>A aplicar en forma multiplicativa sobre componentes de costo importado cotizado en dólares en el mes k del año 2019.</w:t>
      </w:r>
    </w:p>
    <w:p w14:paraId="55B5B5D1" w14:textId="77777777" w:rsidR="007E5B28" w:rsidRDefault="007E5B28" w:rsidP="007E5B28">
      <w:pPr>
        <w:rPr>
          <w:b/>
        </w:rPr>
      </w:pPr>
    </w:p>
    <w:p w14:paraId="370CF3BC" w14:textId="77777777" w:rsidR="007E5B28" w:rsidRDefault="00F5226B" w:rsidP="00537CA4">
      <w:pPr>
        <w:jc w:val="center"/>
      </w:pPr>
      <m:oMathPara>
        <m:oMath>
          <m:sSub>
            <m:sSubPr>
              <m:ctrlPr>
                <w:rPr>
                  <w:rFonts w:ascii="Cambria Math" w:hAnsi="Cambria Math"/>
                  <w:i/>
                </w:rPr>
              </m:ctrlPr>
            </m:sSubPr>
            <m:e>
              <m:r>
                <w:rPr>
                  <w:rFonts w:ascii="Cambria Math"/>
                </w:rPr>
                <m:t>DeflactImp</m:t>
              </m:r>
            </m:e>
            <m:sub>
              <m:r>
                <w:rPr>
                  <w:rFonts w:ascii="Cambria Math"/>
                </w:rPr>
                <m:t>k</m:t>
              </m:r>
            </m:sub>
          </m:sSub>
          <m:r>
            <w:rPr>
              <w:rFonts w:ascii="Cambria Math"/>
            </w:rPr>
            <m:t>=</m:t>
          </m:r>
          <m:f>
            <m:fPr>
              <m:ctrlPr>
                <w:rPr>
                  <w:rFonts w:ascii="Cambria Math" w:hAnsi="Cambria Math"/>
                  <w:i/>
                </w:rPr>
              </m:ctrlPr>
            </m:fPr>
            <m:num>
              <m:r>
                <w:rPr>
                  <w:rFonts w:ascii="Cambria Math"/>
                </w:rPr>
                <m:t>CP</m:t>
              </m:r>
              <m:sSub>
                <m:sSubPr>
                  <m:ctrlPr>
                    <w:rPr>
                      <w:rFonts w:ascii="Cambria Math" w:hAnsi="Cambria Math"/>
                      <w:i/>
                    </w:rPr>
                  </m:ctrlPr>
                </m:sSubPr>
                <m:e>
                  <m:r>
                    <w:rPr>
                      <w:rFonts w:ascii="Cambria Math"/>
                    </w:rPr>
                    <m:t>I</m:t>
                  </m:r>
                </m:e>
                <m:sub>
                  <m:r>
                    <w:rPr>
                      <w:rFonts w:ascii="Cambria Math"/>
                    </w:rPr>
                    <m:t>dic2017</m:t>
                  </m:r>
                </m:sub>
              </m:sSub>
            </m:num>
            <m:den>
              <m:r>
                <w:rPr>
                  <w:rFonts w:ascii="Cambria Math"/>
                </w:rPr>
                <m:t>CP</m:t>
              </m:r>
              <m:sSub>
                <m:sSubPr>
                  <m:ctrlPr>
                    <w:rPr>
                      <w:rFonts w:ascii="Cambria Math" w:hAnsi="Cambria Math"/>
                      <w:i/>
                    </w:rPr>
                  </m:ctrlPr>
                </m:sSubPr>
                <m:e>
                  <m:r>
                    <w:rPr>
                      <w:rFonts w:ascii="Cambria Math"/>
                    </w:rPr>
                    <m:t>I</m:t>
                  </m:r>
                </m:e>
                <m:sub>
                  <m:r>
                    <w:rPr>
                      <w:rFonts w:ascii="Cambria Math"/>
                    </w:rPr>
                    <m:t>k</m:t>
                  </m:r>
                </m:sub>
              </m:sSub>
            </m:den>
          </m:f>
        </m:oMath>
      </m:oMathPara>
    </w:p>
    <w:p w14:paraId="06EF40DA" w14:textId="77777777" w:rsidR="007E5B28" w:rsidRDefault="007E5B28" w:rsidP="007E5B28">
      <w:r>
        <w:t>La aplicación de estos deflactores sobre los respectivos componentes cotizados en pesos o dólares, entrega directamente el valor correspondiente en dólares a diciembre de 2017.</w:t>
      </w:r>
    </w:p>
    <w:p w14:paraId="23979E99" w14:textId="77777777" w:rsidR="000A0E6A" w:rsidRDefault="000A0E6A" w:rsidP="007E5B28"/>
    <w:p w14:paraId="0AAC1E4A" w14:textId="77777777" w:rsidR="007E5B28" w:rsidRPr="00464A14" w:rsidRDefault="007E5B28" w:rsidP="00464A14">
      <w:pPr>
        <w:pStyle w:val="Ttulo3"/>
      </w:pPr>
      <w:bookmarkStart w:id="374" w:name="_Toc34687297"/>
      <w:r w:rsidRPr="00464A14">
        <w:t>Deflactores</w:t>
      </w:r>
      <w:bookmarkEnd w:id="374"/>
    </w:p>
    <w:p w14:paraId="0812B409" w14:textId="77777777" w:rsidR="007E5B28" w:rsidRDefault="00766532" w:rsidP="007E5B28">
      <w:r>
        <w:t>Conforme a lo señalado en el punto precedente</w:t>
      </w:r>
      <w:r w:rsidR="007E5B28">
        <w:t>, los deflactores a utilizar para referir o establecer en dólares de 20</w:t>
      </w:r>
      <w:r>
        <w:t>17 los valores cotizados en el e</w:t>
      </w:r>
      <w:r w:rsidR="007E5B28">
        <w:t>studio en el mes k, son los siguientes:</w:t>
      </w:r>
    </w:p>
    <w:p w14:paraId="509164C2" w14:textId="77777777" w:rsidR="005947B6" w:rsidRPr="00766532" w:rsidRDefault="005947B6" w:rsidP="00766532">
      <w:pPr>
        <w:jc w:val="center"/>
        <w:rPr>
          <w:b/>
          <w:sz w:val="22"/>
          <w:szCs w:val="22"/>
        </w:rPr>
      </w:pPr>
      <w:r w:rsidRPr="00766532">
        <w:rPr>
          <w:b/>
          <w:sz w:val="22"/>
          <w:szCs w:val="22"/>
        </w:rPr>
        <w:t>Deflactores</w:t>
      </w:r>
    </w:p>
    <w:tbl>
      <w:tblPr>
        <w:tblW w:w="6169" w:type="dxa"/>
        <w:jc w:val="center"/>
        <w:tblCellMar>
          <w:left w:w="70" w:type="dxa"/>
          <w:right w:w="70" w:type="dxa"/>
        </w:tblCellMar>
        <w:tblLook w:val="0000" w:firstRow="0" w:lastRow="0" w:firstColumn="0" w:lastColumn="0" w:noHBand="0" w:noVBand="0"/>
      </w:tblPr>
      <w:tblGrid>
        <w:gridCol w:w="1285"/>
        <w:gridCol w:w="2353"/>
        <w:gridCol w:w="2531"/>
      </w:tblGrid>
      <w:tr w:rsidR="007E5B28" w:rsidRPr="00766532" w14:paraId="264A7877" w14:textId="77777777" w:rsidTr="00C636E3">
        <w:trPr>
          <w:trHeight w:hRule="exact" w:val="284"/>
          <w:jc w:val="center"/>
        </w:trPr>
        <w:tc>
          <w:tcPr>
            <w:tcW w:w="1285" w:type="dxa"/>
            <w:tcBorders>
              <w:top w:val="single" w:sz="4" w:space="0" w:color="auto"/>
              <w:left w:val="single" w:sz="4" w:space="0" w:color="auto"/>
              <w:bottom w:val="nil"/>
              <w:right w:val="nil"/>
            </w:tcBorders>
            <w:shd w:val="solid" w:color="BFBFBF" w:themeColor="background1" w:themeShade="BF" w:fill="auto"/>
            <w:noWrap/>
            <w:vAlign w:val="bottom"/>
          </w:tcPr>
          <w:p w14:paraId="74D335BF" w14:textId="77777777" w:rsidR="007E5B28" w:rsidRPr="00766532" w:rsidRDefault="007E5B28" w:rsidP="00404361">
            <w:pPr>
              <w:rPr>
                <w:color w:val="000000"/>
                <w:sz w:val="18"/>
                <w:szCs w:val="18"/>
              </w:rPr>
            </w:pPr>
          </w:p>
        </w:tc>
        <w:tc>
          <w:tcPr>
            <w:tcW w:w="2353" w:type="dxa"/>
            <w:tcBorders>
              <w:top w:val="single" w:sz="4" w:space="0" w:color="auto"/>
              <w:left w:val="single" w:sz="4" w:space="0" w:color="auto"/>
              <w:bottom w:val="nil"/>
              <w:right w:val="single" w:sz="4" w:space="0" w:color="auto"/>
            </w:tcBorders>
            <w:shd w:val="solid" w:color="BFBFBF" w:themeColor="background1" w:themeShade="BF" w:fill="auto"/>
            <w:noWrap/>
            <w:vAlign w:val="bottom"/>
          </w:tcPr>
          <w:p w14:paraId="65C1E755" w14:textId="77777777" w:rsidR="007E5B28" w:rsidRPr="00766532" w:rsidRDefault="007E5B28" w:rsidP="00404361">
            <w:pPr>
              <w:jc w:val="center"/>
              <w:rPr>
                <w:b/>
                <w:bCs/>
                <w:color w:val="000000"/>
                <w:sz w:val="18"/>
                <w:szCs w:val="18"/>
              </w:rPr>
            </w:pPr>
            <w:r w:rsidRPr="00766532">
              <w:rPr>
                <w:b/>
                <w:bCs/>
                <w:color w:val="000000"/>
                <w:sz w:val="18"/>
                <w:szCs w:val="18"/>
              </w:rPr>
              <w:t>Deflactor Nacional</w:t>
            </w:r>
          </w:p>
        </w:tc>
        <w:tc>
          <w:tcPr>
            <w:tcW w:w="2531" w:type="dxa"/>
            <w:tcBorders>
              <w:top w:val="single" w:sz="4" w:space="0" w:color="auto"/>
              <w:left w:val="nil"/>
              <w:bottom w:val="nil"/>
              <w:right w:val="single" w:sz="4" w:space="0" w:color="auto"/>
            </w:tcBorders>
            <w:shd w:val="solid" w:color="BFBFBF" w:themeColor="background1" w:themeShade="BF" w:fill="auto"/>
            <w:noWrap/>
            <w:vAlign w:val="bottom"/>
          </w:tcPr>
          <w:p w14:paraId="5AD486F6" w14:textId="77777777" w:rsidR="007E5B28" w:rsidRPr="00766532" w:rsidRDefault="007E5B28" w:rsidP="00404361">
            <w:pPr>
              <w:jc w:val="center"/>
              <w:rPr>
                <w:b/>
                <w:bCs/>
                <w:color w:val="000000"/>
                <w:sz w:val="18"/>
                <w:szCs w:val="18"/>
              </w:rPr>
            </w:pPr>
            <w:r w:rsidRPr="00766532">
              <w:rPr>
                <w:b/>
                <w:bCs/>
                <w:color w:val="000000"/>
                <w:sz w:val="18"/>
                <w:szCs w:val="18"/>
              </w:rPr>
              <w:t>Deflactor Importado</w:t>
            </w:r>
          </w:p>
        </w:tc>
      </w:tr>
      <w:tr w:rsidR="007E5B28" w:rsidRPr="00C83B06" w14:paraId="326177CD" w14:textId="77777777" w:rsidTr="00C636E3">
        <w:trPr>
          <w:trHeight w:hRule="exact" w:val="284"/>
          <w:jc w:val="center"/>
        </w:trPr>
        <w:tc>
          <w:tcPr>
            <w:tcW w:w="1285" w:type="dxa"/>
            <w:tcBorders>
              <w:top w:val="nil"/>
              <w:left w:val="single" w:sz="4" w:space="0" w:color="auto"/>
              <w:bottom w:val="single" w:sz="4" w:space="0" w:color="auto"/>
              <w:right w:val="nil"/>
            </w:tcBorders>
            <w:shd w:val="solid" w:color="BFBFBF" w:themeColor="background1" w:themeShade="BF" w:fill="auto"/>
            <w:noWrap/>
            <w:vAlign w:val="bottom"/>
          </w:tcPr>
          <w:p w14:paraId="11FC32B1" w14:textId="77777777" w:rsidR="007E5B28" w:rsidRPr="00766532" w:rsidRDefault="00766532" w:rsidP="00766532">
            <w:pPr>
              <w:jc w:val="center"/>
              <w:rPr>
                <w:b/>
                <w:color w:val="000000"/>
                <w:sz w:val="18"/>
                <w:szCs w:val="18"/>
              </w:rPr>
            </w:pPr>
            <w:r w:rsidRPr="00766532">
              <w:rPr>
                <w:b/>
                <w:color w:val="000000"/>
                <w:sz w:val="18"/>
                <w:szCs w:val="18"/>
              </w:rPr>
              <w:t>mes k</w:t>
            </w:r>
          </w:p>
        </w:tc>
        <w:tc>
          <w:tcPr>
            <w:tcW w:w="2353" w:type="dxa"/>
            <w:tcBorders>
              <w:top w:val="nil"/>
              <w:left w:val="single" w:sz="4" w:space="0" w:color="auto"/>
              <w:bottom w:val="single" w:sz="4" w:space="0" w:color="auto"/>
              <w:right w:val="single" w:sz="4" w:space="0" w:color="auto"/>
            </w:tcBorders>
            <w:shd w:val="solid" w:color="BFBFBF" w:themeColor="background1" w:themeShade="BF" w:fill="auto"/>
            <w:noWrap/>
            <w:vAlign w:val="bottom"/>
          </w:tcPr>
          <w:p w14:paraId="13317264" w14:textId="77777777" w:rsidR="007E5B28" w:rsidRPr="00766532" w:rsidRDefault="007E5B28" w:rsidP="00404361">
            <w:pPr>
              <w:jc w:val="center"/>
              <w:rPr>
                <w:color w:val="000000"/>
                <w:sz w:val="18"/>
                <w:szCs w:val="18"/>
                <w:lang w:val="en-US"/>
              </w:rPr>
            </w:pPr>
            <w:r w:rsidRPr="00766532">
              <w:rPr>
                <w:color w:val="000000"/>
                <w:sz w:val="18"/>
                <w:szCs w:val="18"/>
                <w:lang w:val="en-US"/>
              </w:rPr>
              <w:t>($ mes k a US$ Dic. 2017)</w:t>
            </w:r>
          </w:p>
        </w:tc>
        <w:tc>
          <w:tcPr>
            <w:tcW w:w="2531" w:type="dxa"/>
            <w:tcBorders>
              <w:top w:val="nil"/>
              <w:left w:val="nil"/>
              <w:bottom w:val="single" w:sz="4" w:space="0" w:color="auto"/>
              <w:right w:val="single" w:sz="4" w:space="0" w:color="auto"/>
            </w:tcBorders>
            <w:shd w:val="solid" w:color="BFBFBF" w:themeColor="background1" w:themeShade="BF" w:fill="auto"/>
            <w:noWrap/>
            <w:vAlign w:val="bottom"/>
          </w:tcPr>
          <w:p w14:paraId="6AFE21BE" w14:textId="77777777" w:rsidR="007E5B28" w:rsidRPr="00766532" w:rsidRDefault="007E5B28" w:rsidP="00404361">
            <w:pPr>
              <w:jc w:val="center"/>
              <w:rPr>
                <w:color w:val="000000"/>
                <w:sz w:val="18"/>
                <w:szCs w:val="18"/>
                <w:lang w:val="en-US"/>
              </w:rPr>
            </w:pPr>
            <w:r w:rsidRPr="00766532">
              <w:rPr>
                <w:color w:val="000000"/>
                <w:sz w:val="18"/>
                <w:szCs w:val="18"/>
                <w:lang w:val="en-US"/>
              </w:rPr>
              <w:t>(US$ mes k a US$ Dic. 2017)</w:t>
            </w:r>
          </w:p>
        </w:tc>
      </w:tr>
      <w:tr w:rsidR="007E5B28" w:rsidRPr="00766532" w14:paraId="57E8D4CC" w14:textId="77777777" w:rsidTr="00C636E3">
        <w:trPr>
          <w:trHeight w:hRule="exact" w:val="284"/>
          <w:jc w:val="center"/>
        </w:trPr>
        <w:tc>
          <w:tcPr>
            <w:tcW w:w="12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DBE06" w14:textId="77777777" w:rsidR="007E5B28" w:rsidRPr="00766532" w:rsidRDefault="007E5B28" w:rsidP="00404361">
            <w:pPr>
              <w:jc w:val="right"/>
              <w:rPr>
                <w:color w:val="000000"/>
                <w:sz w:val="18"/>
                <w:szCs w:val="18"/>
              </w:rPr>
            </w:pPr>
            <w:r w:rsidRPr="00766532">
              <w:rPr>
                <w:color w:val="000000"/>
                <w:sz w:val="18"/>
                <w:szCs w:val="18"/>
              </w:rPr>
              <w:t>dic-17</w:t>
            </w:r>
          </w:p>
        </w:tc>
        <w:tc>
          <w:tcPr>
            <w:tcW w:w="2353" w:type="dxa"/>
            <w:tcBorders>
              <w:top w:val="nil"/>
              <w:left w:val="nil"/>
              <w:bottom w:val="single" w:sz="4" w:space="0" w:color="auto"/>
              <w:right w:val="single" w:sz="4" w:space="0" w:color="auto"/>
            </w:tcBorders>
            <w:shd w:val="clear" w:color="auto" w:fill="auto"/>
            <w:noWrap/>
            <w:vAlign w:val="bottom"/>
          </w:tcPr>
          <w:p w14:paraId="3BAFE21E" w14:textId="77777777" w:rsidR="007E5B28" w:rsidRPr="00766532" w:rsidRDefault="007E5B28" w:rsidP="00404361">
            <w:pPr>
              <w:jc w:val="center"/>
              <w:rPr>
                <w:color w:val="000000"/>
                <w:sz w:val="18"/>
                <w:szCs w:val="18"/>
              </w:rPr>
            </w:pPr>
            <w:r w:rsidRPr="00766532">
              <w:rPr>
                <w:color w:val="000000"/>
                <w:sz w:val="18"/>
                <w:szCs w:val="18"/>
              </w:rPr>
              <w:t>0,001570</w:t>
            </w:r>
          </w:p>
        </w:tc>
        <w:tc>
          <w:tcPr>
            <w:tcW w:w="2531" w:type="dxa"/>
            <w:tcBorders>
              <w:top w:val="nil"/>
              <w:left w:val="nil"/>
              <w:bottom w:val="single" w:sz="4" w:space="0" w:color="auto"/>
              <w:right w:val="single" w:sz="4" w:space="0" w:color="auto"/>
            </w:tcBorders>
            <w:shd w:val="clear" w:color="auto" w:fill="auto"/>
            <w:noWrap/>
            <w:vAlign w:val="bottom"/>
          </w:tcPr>
          <w:p w14:paraId="65826EFD" w14:textId="77777777" w:rsidR="007E5B28" w:rsidRPr="00766532" w:rsidRDefault="007E5B28" w:rsidP="00404361">
            <w:pPr>
              <w:jc w:val="center"/>
              <w:rPr>
                <w:color w:val="000000"/>
                <w:sz w:val="18"/>
                <w:szCs w:val="18"/>
              </w:rPr>
            </w:pPr>
            <w:r w:rsidRPr="00766532">
              <w:rPr>
                <w:color w:val="000000"/>
                <w:sz w:val="18"/>
                <w:szCs w:val="18"/>
              </w:rPr>
              <w:t>1,000000</w:t>
            </w:r>
          </w:p>
        </w:tc>
      </w:tr>
      <w:tr w:rsidR="007E5B28" w:rsidRPr="00766532" w14:paraId="78DFE8A7"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1A387DBD" w14:textId="77777777" w:rsidR="007E5B28" w:rsidRPr="00766532" w:rsidRDefault="007E5B28" w:rsidP="00404361">
            <w:pPr>
              <w:jc w:val="right"/>
              <w:rPr>
                <w:color w:val="000000"/>
                <w:sz w:val="18"/>
                <w:szCs w:val="18"/>
              </w:rPr>
            </w:pPr>
            <w:r w:rsidRPr="00766532">
              <w:rPr>
                <w:color w:val="000000"/>
                <w:sz w:val="18"/>
                <w:szCs w:val="18"/>
              </w:rPr>
              <w:t>ene-18</w:t>
            </w:r>
          </w:p>
        </w:tc>
        <w:tc>
          <w:tcPr>
            <w:tcW w:w="2353" w:type="dxa"/>
            <w:tcBorders>
              <w:top w:val="nil"/>
              <w:left w:val="nil"/>
              <w:bottom w:val="single" w:sz="4" w:space="0" w:color="auto"/>
              <w:right w:val="single" w:sz="4" w:space="0" w:color="auto"/>
            </w:tcBorders>
            <w:shd w:val="clear" w:color="auto" w:fill="auto"/>
            <w:noWrap/>
            <w:vAlign w:val="bottom"/>
          </w:tcPr>
          <w:p w14:paraId="043C7728" w14:textId="77777777" w:rsidR="007E5B28" w:rsidRPr="00766532" w:rsidRDefault="007E5B28" w:rsidP="00404361">
            <w:pPr>
              <w:jc w:val="center"/>
              <w:rPr>
                <w:color w:val="000000"/>
                <w:sz w:val="18"/>
                <w:szCs w:val="18"/>
              </w:rPr>
            </w:pPr>
            <w:r w:rsidRPr="00766532">
              <w:rPr>
                <w:color w:val="000000"/>
                <w:sz w:val="18"/>
                <w:szCs w:val="18"/>
              </w:rPr>
              <w:t>0,001563</w:t>
            </w:r>
          </w:p>
        </w:tc>
        <w:tc>
          <w:tcPr>
            <w:tcW w:w="2531" w:type="dxa"/>
            <w:tcBorders>
              <w:top w:val="nil"/>
              <w:left w:val="nil"/>
              <w:bottom w:val="single" w:sz="4" w:space="0" w:color="auto"/>
              <w:right w:val="single" w:sz="4" w:space="0" w:color="auto"/>
            </w:tcBorders>
            <w:shd w:val="clear" w:color="auto" w:fill="auto"/>
            <w:noWrap/>
            <w:vAlign w:val="bottom"/>
          </w:tcPr>
          <w:p w14:paraId="1EB3F58D" w14:textId="77777777" w:rsidR="007E5B28" w:rsidRPr="00766532" w:rsidRDefault="007E5B28" w:rsidP="00404361">
            <w:pPr>
              <w:jc w:val="center"/>
              <w:rPr>
                <w:color w:val="000000"/>
                <w:sz w:val="18"/>
                <w:szCs w:val="18"/>
              </w:rPr>
            </w:pPr>
            <w:r w:rsidRPr="00766532">
              <w:rPr>
                <w:color w:val="000000"/>
                <w:sz w:val="18"/>
                <w:szCs w:val="18"/>
              </w:rPr>
              <w:t>0,994582</w:t>
            </w:r>
          </w:p>
        </w:tc>
      </w:tr>
      <w:tr w:rsidR="007E5B28" w:rsidRPr="00766532" w14:paraId="31280D15"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40ED44FB" w14:textId="77777777" w:rsidR="007E5B28" w:rsidRPr="00766532" w:rsidRDefault="007E5B28" w:rsidP="00404361">
            <w:pPr>
              <w:jc w:val="right"/>
              <w:rPr>
                <w:color w:val="000000"/>
                <w:sz w:val="18"/>
                <w:szCs w:val="18"/>
              </w:rPr>
            </w:pPr>
            <w:r w:rsidRPr="00766532">
              <w:rPr>
                <w:color w:val="000000"/>
                <w:sz w:val="18"/>
                <w:szCs w:val="18"/>
              </w:rPr>
              <w:t>feb-18</w:t>
            </w:r>
          </w:p>
        </w:tc>
        <w:tc>
          <w:tcPr>
            <w:tcW w:w="2353" w:type="dxa"/>
            <w:tcBorders>
              <w:top w:val="nil"/>
              <w:left w:val="nil"/>
              <w:bottom w:val="single" w:sz="4" w:space="0" w:color="auto"/>
              <w:right w:val="single" w:sz="4" w:space="0" w:color="auto"/>
            </w:tcBorders>
            <w:shd w:val="clear" w:color="auto" w:fill="auto"/>
            <w:noWrap/>
            <w:vAlign w:val="bottom"/>
          </w:tcPr>
          <w:p w14:paraId="697C23D4" w14:textId="77777777" w:rsidR="007E5B28" w:rsidRPr="00766532" w:rsidRDefault="007E5B28" w:rsidP="00404361">
            <w:pPr>
              <w:jc w:val="center"/>
              <w:rPr>
                <w:color w:val="000000"/>
                <w:sz w:val="18"/>
                <w:szCs w:val="18"/>
              </w:rPr>
            </w:pPr>
            <w:r w:rsidRPr="00766532">
              <w:rPr>
                <w:color w:val="000000"/>
                <w:sz w:val="18"/>
                <w:szCs w:val="18"/>
              </w:rPr>
              <w:t>0,001562</w:t>
            </w:r>
          </w:p>
        </w:tc>
        <w:tc>
          <w:tcPr>
            <w:tcW w:w="2531" w:type="dxa"/>
            <w:tcBorders>
              <w:top w:val="nil"/>
              <w:left w:val="nil"/>
              <w:bottom w:val="single" w:sz="4" w:space="0" w:color="auto"/>
              <w:right w:val="single" w:sz="4" w:space="0" w:color="auto"/>
            </w:tcBorders>
            <w:shd w:val="clear" w:color="auto" w:fill="auto"/>
            <w:noWrap/>
            <w:vAlign w:val="bottom"/>
          </w:tcPr>
          <w:p w14:paraId="5A776344" w14:textId="77777777" w:rsidR="007E5B28" w:rsidRPr="00766532" w:rsidRDefault="007E5B28" w:rsidP="00404361">
            <w:pPr>
              <w:jc w:val="center"/>
              <w:rPr>
                <w:color w:val="000000"/>
                <w:sz w:val="18"/>
                <w:szCs w:val="18"/>
              </w:rPr>
            </w:pPr>
            <w:r w:rsidRPr="00766532">
              <w:rPr>
                <w:color w:val="000000"/>
                <w:sz w:val="18"/>
                <w:szCs w:val="18"/>
              </w:rPr>
              <w:t>0,990092</w:t>
            </w:r>
          </w:p>
        </w:tc>
      </w:tr>
      <w:tr w:rsidR="007E5B28" w:rsidRPr="00766532" w14:paraId="563E0D01"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688AAF40" w14:textId="77777777" w:rsidR="007E5B28" w:rsidRPr="00766532" w:rsidRDefault="007E5B28" w:rsidP="00404361">
            <w:pPr>
              <w:jc w:val="right"/>
              <w:rPr>
                <w:color w:val="000000"/>
                <w:sz w:val="18"/>
                <w:szCs w:val="18"/>
              </w:rPr>
            </w:pPr>
            <w:r w:rsidRPr="00766532">
              <w:rPr>
                <w:color w:val="000000"/>
                <w:sz w:val="18"/>
                <w:szCs w:val="18"/>
              </w:rPr>
              <w:t>mar-18</w:t>
            </w:r>
          </w:p>
        </w:tc>
        <w:tc>
          <w:tcPr>
            <w:tcW w:w="2353" w:type="dxa"/>
            <w:tcBorders>
              <w:top w:val="nil"/>
              <w:left w:val="nil"/>
              <w:bottom w:val="single" w:sz="4" w:space="0" w:color="auto"/>
              <w:right w:val="single" w:sz="4" w:space="0" w:color="auto"/>
            </w:tcBorders>
            <w:shd w:val="clear" w:color="auto" w:fill="auto"/>
            <w:noWrap/>
            <w:vAlign w:val="bottom"/>
          </w:tcPr>
          <w:p w14:paraId="2B72152D" w14:textId="77777777" w:rsidR="007E5B28" w:rsidRPr="00766532" w:rsidRDefault="007E5B28" w:rsidP="00404361">
            <w:pPr>
              <w:jc w:val="center"/>
              <w:rPr>
                <w:color w:val="000000"/>
                <w:sz w:val="18"/>
                <w:szCs w:val="18"/>
              </w:rPr>
            </w:pPr>
            <w:r w:rsidRPr="00766532">
              <w:rPr>
                <w:color w:val="000000"/>
                <w:sz w:val="18"/>
                <w:szCs w:val="18"/>
              </w:rPr>
              <w:t>0,001559</w:t>
            </w:r>
          </w:p>
        </w:tc>
        <w:tc>
          <w:tcPr>
            <w:tcW w:w="2531" w:type="dxa"/>
            <w:tcBorders>
              <w:top w:val="nil"/>
              <w:left w:val="nil"/>
              <w:bottom w:val="single" w:sz="4" w:space="0" w:color="auto"/>
              <w:right w:val="single" w:sz="4" w:space="0" w:color="auto"/>
            </w:tcBorders>
            <w:shd w:val="clear" w:color="auto" w:fill="auto"/>
            <w:noWrap/>
            <w:vAlign w:val="bottom"/>
          </w:tcPr>
          <w:p w14:paraId="52A31A8A" w14:textId="77777777" w:rsidR="007E5B28" w:rsidRPr="00766532" w:rsidRDefault="007E5B28" w:rsidP="00404361">
            <w:pPr>
              <w:jc w:val="center"/>
              <w:rPr>
                <w:color w:val="000000"/>
                <w:sz w:val="18"/>
                <w:szCs w:val="18"/>
              </w:rPr>
            </w:pPr>
            <w:r w:rsidRPr="00766532">
              <w:rPr>
                <w:color w:val="000000"/>
                <w:sz w:val="18"/>
                <w:szCs w:val="18"/>
              </w:rPr>
              <w:t>0,987858</w:t>
            </w:r>
          </w:p>
        </w:tc>
      </w:tr>
      <w:tr w:rsidR="007E5B28" w:rsidRPr="00766532" w14:paraId="1FB641B6"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2585B648" w14:textId="77777777" w:rsidR="007E5B28" w:rsidRPr="00766532" w:rsidRDefault="007E5B28" w:rsidP="00404361">
            <w:pPr>
              <w:jc w:val="right"/>
              <w:rPr>
                <w:color w:val="000000"/>
                <w:sz w:val="18"/>
                <w:szCs w:val="18"/>
              </w:rPr>
            </w:pPr>
            <w:r w:rsidRPr="00766532">
              <w:rPr>
                <w:color w:val="000000"/>
                <w:sz w:val="18"/>
                <w:szCs w:val="18"/>
              </w:rPr>
              <w:t>abr-18</w:t>
            </w:r>
          </w:p>
        </w:tc>
        <w:tc>
          <w:tcPr>
            <w:tcW w:w="2353" w:type="dxa"/>
            <w:tcBorders>
              <w:top w:val="nil"/>
              <w:left w:val="nil"/>
              <w:bottom w:val="single" w:sz="4" w:space="0" w:color="auto"/>
              <w:right w:val="single" w:sz="4" w:space="0" w:color="auto"/>
            </w:tcBorders>
            <w:shd w:val="clear" w:color="auto" w:fill="auto"/>
            <w:noWrap/>
            <w:vAlign w:val="bottom"/>
          </w:tcPr>
          <w:p w14:paraId="15AEB69C" w14:textId="77777777" w:rsidR="007E5B28" w:rsidRPr="00766532" w:rsidRDefault="007E5B28" w:rsidP="00404361">
            <w:pPr>
              <w:jc w:val="center"/>
              <w:rPr>
                <w:color w:val="000000"/>
                <w:sz w:val="18"/>
                <w:szCs w:val="18"/>
              </w:rPr>
            </w:pPr>
            <w:r w:rsidRPr="00766532">
              <w:rPr>
                <w:color w:val="000000"/>
                <w:sz w:val="18"/>
                <w:szCs w:val="18"/>
              </w:rPr>
              <w:t>0,001554</w:t>
            </w:r>
          </w:p>
        </w:tc>
        <w:tc>
          <w:tcPr>
            <w:tcW w:w="2531" w:type="dxa"/>
            <w:tcBorders>
              <w:top w:val="nil"/>
              <w:left w:val="nil"/>
              <w:bottom w:val="single" w:sz="4" w:space="0" w:color="auto"/>
              <w:right w:val="single" w:sz="4" w:space="0" w:color="auto"/>
            </w:tcBorders>
            <w:shd w:val="clear" w:color="auto" w:fill="auto"/>
            <w:noWrap/>
            <w:vAlign w:val="bottom"/>
          </w:tcPr>
          <w:p w14:paraId="6AA038F7" w14:textId="77777777" w:rsidR="007E5B28" w:rsidRPr="00766532" w:rsidRDefault="007E5B28" w:rsidP="00404361">
            <w:pPr>
              <w:jc w:val="center"/>
              <w:rPr>
                <w:color w:val="000000"/>
                <w:sz w:val="18"/>
                <w:szCs w:val="18"/>
              </w:rPr>
            </w:pPr>
            <w:r w:rsidRPr="00766532">
              <w:rPr>
                <w:color w:val="000000"/>
                <w:sz w:val="18"/>
                <w:szCs w:val="18"/>
              </w:rPr>
              <w:t>0,983947</w:t>
            </w:r>
          </w:p>
        </w:tc>
      </w:tr>
      <w:tr w:rsidR="007E5B28" w:rsidRPr="00766532" w14:paraId="30AC12AC"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2E039EC3" w14:textId="77777777" w:rsidR="007E5B28" w:rsidRPr="00766532" w:rsidRDefault="007E5B28" w:rsidP="00404361">
            <w:pPr>
              <w:jc w:val="right"/>
              <w:rPr>
                <w:color w:val="000000"/>
                <w:sz w:val="18"/>
                <w:szCs w:val="18"/>
              </w:rPr>
            </w:pPr>
            <w:r w:rsidRPr="00766532">
              <w:rPr>
                <w:color w:val="000000"/>
                <w:sz w:val="18"/>
                <w:szCs w:val="18"/>
              </w:rPr>
              <w:t>may-18</w:t>
            </w:r>
          </w:p>
        </w:tc>
        <w:tc>
          <w:tcPr>
            <w:tcW w:w="2353" w:type="dxa"/>
            <w:tcBorders>
              <w:top w:val="nil"/>
              <w:left w:val="nil"/>
              <w:bottom w:val="single" w:sz="4" w:space="0" w:color="auto"/>
              <w:right w:val="single" w:sz="4" w:space="0" w:color="auto"/>
            </w:tcBorders>
            <w:shd w:val="clear" w:color="auto" w:fill="auto"/>
            <w:noWrap/>
            <w:vAlign w:val="bottom"/>
          </w:tcPr>
          <w:p w14:paraId="5BEE68CB" w14:textId="77777777" w:rsidR="007E5B28" w:rsidRPr="00766532" w:rsidRDefault="007E5B28" w:rsidP="00404361">
            <w:pPr>
              <w:jc w:val="center"/>
              <w:rPr>
                <w:color w:val="000000"/>
                <w:sz w:val="18"/>
                <w:szCs w:val="18"/>
              </w:rPr>
            </w:pPr>
            <w:r w:rsidRPr="00766532">
              <w:rPr>
                <w:color w:val="000000"/>
                <w:sz w:val="18"/>
                <w:szCs w:val="18"/>
              </w:rPr>
              <w:t>0,001550</w:t>
            </w:r>
          </w:p>
        </w:tc>
        <w:tc>
          <w:tcPr>
            <w:tcW w:w="2531" w:type="dxa"/>
            <w:tcBorders>
              <w:top w:val="nil"/>
              <w:left w:val="nil"/>
              <w:bottom w:val="single" w:sz="4" w:space="0" w:color="auto"/>
              <w:right w:val="single" w:sz="4" w:space="0" w:color="auto"/>
            </w:tcBorders>
            <w:shd w:val="clear" w:color="auto" w:fill="auto"/>
            <w:noWrap/>
            <w:vAlign w:val="bottom"/>
          </w:tcPr>
          <w:p w14:paraId="6437184C" w14:textId="77777777" w:rsidR="007E5B28" w:rsidRPr="00766532" w:rsidRDefault="007E5B28" w:rsidP="00404361">
            <w:pPr>
              <w:jc w:val="center"/>
              <w:rPr>
                <w:color w:val="000000"/>
                <w:sz w:val="18"/>
                <w:szCs w:val="18"/>
              </w:rPr>
            </w:pPr>
            <w:r w:rsidRPr="00766532">
              <w:rPr>
                <w:color w:val="000000"/>
                <w:sz w:val="18"/>
                <w:szCs w:val="18"/>
              </w:rPr>
              <w:t>0,979872</w:t>
            </w:r>
          </w:p>
        </w:tc>
      </w:tr>
      <w:tr w:rsidR="007E5B28" w:rsidRPr="00766532" w14:paraId="5561107E"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54551C03" w14:textId="77777777" w:rsidR="007E5B28" w:rsidRPr="00766532" w:rsidRDefault="007E5B28" w:rsidP="00404361">
            <w:pPr>
              <w:jc w:val="right"/>
              <w:rPr>
                <w:color w:val="000000"/>
                <w:sz w:val="18"/>
                <w:szCs w:val="18"/>
              </w:rPr>
            </w:pPr>
            <w:r w:rsidRPr="00766532">
              <w:rPr>
                <w:color w:val="000000"/>
                <w:sz w:val="18"/>
                <w:szCs w:val="18"/>
              </w:rPr>
              <w:t>jun-18</w:t>
            </w:r>
          </w:p>
        </w:tc>
        <w:tc>
          <w:tcPr>
            <w:tcW w:w="2353" w:type="dxa"/>
            <w:tcBorders>
              <w:top w:val="nil"/>
              <w:left w:val="nil"/>
              <w:bottom w:val="single" w:sz="4" w:space="0" w:color="auto"/>
              <w:right w:val="single" w:sz="4" w:space="0" w:color="auto"/>
            </w:tcBorders>
            <w:shd w:val="clear" w:color="auto" w:fill="auto"/>
            <w:noWrap/>
            <w:vAlign w:val="bottom"/>
          </w:tcPr>
          <w:p w14:paraId="60207C86" w14:textId="77777777" w:rsidR="007E5B28" w:rsidRPr="00766532" w:rsidRDefault="007E5B28" w:rsidP="00404361">
            <w:pPr>
              <w:jc w:val="center"/>
              <w:rPr>
                <w:color w:val="000000"/>
                <w:sz w:val="18"/>
                <w:szCs w:val="18"/>
              </w:rPr>
            </w:pPr>
            <w:r w:rsidRPr="00766532">
              <w:rPr>
                <w:color w:val="000000"/>
                <w:sz w:val="18"/>
                <w:szCs w:val="18"/>
              </w:rPr>
              <w:t>0,001548</w:t>
            </w:r>
          </w:p>
        </w:tc>
        <w:tc>
          <w:tcPr>
            <w:tcW w:w="2531" w:type="dxa"/>
            <w:tcBorders>
              <w:top w:val="nil"/>
              <w:left w:val="nil"/>
              <w:bottom w:val="single" w:sz="4" w:space="0" w:color="auto"/>
              <w:right w:val="single" w:sz="4" w:space="0" w:color="auto"/>
            </w:tcBorders>
            <w:shd w:val="clear" w:color="auto" w:fill="auto"/>
            <w:noWrap/>
            <w:vAlign w:val="bottom"/>
          </w:tcPr>
          <w:p w14:paraId="59560DED" w14:textId="77777777" w:rsidR="007E5B28" w:rsidRPr="00766532" w:rsidRDefault="007E5B28" w:rsidP="00404361">
            <w:pPr>
              <w:jc w:val="center"/>
              <w:rPr>
                <w:color w:val="000000"/>
                <w:sz w:val="18"/>
                <w:szCs w:val="18"/>
              </w:rPr>
            </w:pPr>
            <w:r w:rsidRPr="00766532">
              <w:rPr>
                <w:color w:val="000000"/>
                <w:sz w:val="18"/>
                <w:szCs w:val="18"/>
              </w:rPr>
              <w:t>0,978313</w:t>
            </w:r>
          </w:p>
        </w:tc>
      </w:tr>
      <w:tr w:rsidR="007E5B28" w:rsidRPr="00766532" w14:paraId="00CA3EE8"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07C291FC" w14:textId="77777777" w:rsidR="007E5B28" w:rsidRPr="00766532" w:rsidRDefault="007E5B28" w:rsidP="00404361">
            <w:pPr>
              <w:jc w:val="right"/>
              <w:rPr>
                <w:color w:val="000000"/>
                <w:sz w:val="18"/>
                <w:szCs w:val="18"/>
              </w:rPr>
            </w:pPr>
            <w:r w:rsidRPr="00766532">
              <w:rPr>
                <w:color w:val="000000"/>
                <w:sz w:val="18"/>
                <w:szCs w:val="18"/>
              </w:rPr>
              <w:t>jul-18</w:t>
            </w:r>
          </w:p>
        </w:tc>
        <w:tc>
          <w:tcPr>
            <w:tcW w:w="2353" w:type="dxa"/>
            <w:tcBorders>
              <w:top w:val="nil"/>
              <w:left w:val="nil"/>
              <w:bottom w:val="single" w:sz="4" w:space="0" w:color="auto"/>
              <w:right w:val="single" w:sz="4" w:space="0" w:color="auto"/>
            </w:tcBorders>
            <w:shd w:val="clear" w:color="auto" w:fill="auto"/>
            <w:noWrap/>
            <w:vAlign w:val="bottom"/>
          </w:tcPr>
          <w:p w14:paraId="4E672CB7" w14:textId="77777777" w:rsidR="007E5B28" w:rsidRPr="00766532" w:rsidRDefault="007E5B28" w:rsidP="00404361">
            <w:pPr>
              <w:jc w:val="center"/>
              <w:rPr>
                <w:color w:val="000000"/>
                <w:sz w:val="18"/>
                <w:szCs w:val="18"/>
              </w:rPr>
            </w:pPr>
            <w:r w:rsidRPr="00766532">
              <w:rPr>
                <w:color w:val="000000"/>
                <w:sz w:val="18"/>
                <w:szCs w:val="18"/>
              </w:rPr>
              <w:t>0,001543</w:t>
            </w:r>
          </w:p>
        </w:tc>
        <w:tc>
          <w:tcPr>
            <w:tcW w:w="2531" w:type="dxa"/>
            <w:tcBorders>
              <w:top w:val="nil"/>
              <w:left w:val="nil"/>
              <w:bottom w:val="single" w:sz="4" w:space="0" w:color="auto"/>
              <w:right w:val="single" w:sz="4" w:space="0" w:color="auto"/>
            </w:tcBorders>
            <w:shd w:val="clear" w:color="auto" w:fill="auto"/>
            <w:noWrap/>
            <w:vAlign w:val="bottom"/>
          </w:tcPr>
          <w:p w14:paraId="672B3CD9" w14:textId="77777777" w:rsidR="007E5B28" w:rsidRPr="00766532" w:rsidRDefault="007E5B28" w:rsidP="00404361">
            <w:pPr>
              <w:jc w:val="center"/>
              <w:rPr>
                <w:color w:val="000000"/>
                <w:sz w:val="18"/>
                <w:szCs w:val="18"/>
              </w:rPr>
            </w:pPr>
            <w:r w:rsidRPr="00766532">
              <w:rPr>
                <w:color w:val="000000"/>
                <w:sz w:val="18"/>
                <w:szCs w:val="18"/>
              </w:rPr>
              <w:t>0,978247</w:t>
            </w:r>
          </w:p>
        </w:tc>
      </w:tr>
      <w:tr w:rsidR="007E5B28" w:rsidRPr="00766532" w14:paraId="67674AF6"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69DBF73C" w14:textId="77777777" w:rsidR="007E5B28" w:rsidRPr="00766532" w:rsidRDefault="007E5B28" w:rsidP="00404361">
            <w:pPr>
              <w:jc w:val="right"/>
              <w:rPr>
                <w:color w:val="000000"/>
                <w:sz w:val="18"/>
                <w:szCs w:val="18"/>
              </w:rPr>
            </w:pPr>
            <w:r w:rsidRPr="00766532">
              <w:rPr>
                <w:color w:val="000000"/>
                <w:sz w:val="18"/>
                <w:szCs w:val="18"/>
              </w:rPr>
              <w:t>ago-18</w:t>
            </w:r>
          </w:p>
        </w:tc>
        <w:tc>
          <w:tcPr>
            <w:tcW w:w="2353" w:type="dxa"/>
            <w:tcBorders>
              <w:top w:val="nil"/>
              <w:left w:val="nil"/>
              <w:bottom w:val="single" w:sz="4" w:space="0" w:color="auto"/>
              <w:right w:val="single" w:sz="4" w:space="0" w:color="auto"/>
            </w:tcBorders>
            <w:shd w:val="clear" w:color="auto" w:fill="auto"/>
            <w:noWrap/>
            <w:vAlign w:val="bottom"/>
          </w:tcPr>
          <w:p w14:paraId="36A8B867" w14:textId="77777777" w:rsidR="007E5B28" w:rsidRPr="00766532" w:rsidRDefault="007E5B28" w:rsidP="00404361">
            <w:pPr>
              <w:jc w:val="center"/>
              <w:rPr>
                <w:color w:val="000000"/>
                <w:sz w:val="18"/>
                <w:szCs w:val="18"/>
              </w:rPr>
            </w:pPr>
            <w:r w:rsidRPr="00766532">
              <w:rPr>
                <w:color w:val="000000"/>
                <w:sz w:val="18"/>
                <w:szCs w:val="18"/>
              </w:rPr>
              <w:t>0,001540</w:t>
            </w:r>
          </w:p>
        </w:tc>
        <w:tc>
          <w:tcPr>
            <w:tcW w:w="2531" w:type="dxa"/>
            <w:tcBorders>
              <w:top w:val="nil"/>
              <w:left w:val="nil"/>
              <w:bottom w:val="single" w:sz="4" w:space="0" w:color="auto"/>
              <w:right w:val="single" w:sz="4" w:space="0" w:color="auto"/>
            </w:tcBorders>
            <w:shd w:val="clear" w:color="auto" w:fill="auto"/>
            <w:noWrap/>
            <w:vAlign w:val="bottom"/>
          </w:tcPr>
          <w:p w14:paraId="01B7132D" w14:textId="77777777" w:rsidR="007E5B28" w:rsidRPr="00766532" w:rsidRDefault="007E5B28" w:rsidP="00404361">
            <w:pPr>
              <w:jc w:val="center"/>
              <w:rPr>
                <w:color w:val="000000"/>
                <w:sz w:val="18"/>
                <w:szCs w:val="18"/>
              </w:rPr>
            </w:pPr>
            <w:r w:rsidRPr="00766532">
              <w:rPr>
                <w:color w:val="000000"/>
                <w:sz w:val="18"/>
                <w:szCs w:val="18"/>
              </w:rPr>
              <w:t>0,977703</w:t>
            </w:r>
          </w:p>
        </w:tc>
      </w:tr>
      <w:tr w:rsidR="007E5B28" w:rsidRPr="00766532" w14:paraId="60861CA0"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00B3A042" w14:textId="77777777" w:rsidR="007E5B28" w:rsidRPr="00766532" w:rsidRDefault="007E5B28" w:rsidP="00404361">
            <w:pPr>
              <w:jc w:val="right"/>
              <w:rPr>
                <w:color w:val="000000"/>
                <w:sz w:val="18"/>
                <w:szCs w:val="18"/>
              </w:rPr>
            </w:pPr>
            <w:r w:rsidRPr="00766532">
              <w:rPr>
                <w:color w:val="000000"/>
                <w:sz w:val="18"/>
                <w:szCs w:val="18"/>
              </w:rPr>
              <w:t>sep-18</w:t>
            </w:r>
          </w:p>
        </w:tc>
        <w:tc>
          <w:tcPr>
            <w:tcW w:w="2353" w:type="dxa"/>
            <w:tcBorders>
              <w:top w:val="nil"/>
              <w:left w:val="nil"/>
              <w:bottom w:val="single" w:sz="4" w:space="0" w:color="auto"/>
              <w:right w:val="single" w:sz="4" w:space="0" w:color="auto"/>
            </w:tcBorders>
            <w:shd w:val="clear" w:color="auto" w:fill="auto"/>
            <w:noWrap/>
            <w:vAlign w:val="bottom"/>
          </w:tcPr>
          <w:p w14:paraId="0617A2C7" w14:textId="77777777" w:rsidR="007E5B28" w:rsidRPr="00766532" w:rsidRDefault="007E5B28" w:rsidP="00404361">
            <w:pPr>
              <w:jc w:val="center"/>
              <w:rPr>
                <w:color w:val="000000"/>
                <w:sz w:val="18"/>
                <w:szCs w:val="18"/>
              </w:rPr>
            </w:pPr>
            <w:r w:rsidRPr="00766532">
              <w:rPr>
                <w:color w:val="000000"/>
                <w:sz w:val="18"/>
                <w:szCs w:val="18"/>
              </w:rPr>
              <w:t>0,001535</w:t>
            </w:r>
          </w:p>
        </w:tc>
        <w:tc>
          <w:tcPr>
            <w:tcW w:w="2531" w:type="dxa"/>
            <w:tcBorders>
              <w:top w:val="nil"/>
              <w:left w:val="nil"/>
              <w:bottom w:val="single" w:sz="4" w:space="0" w:color="auto"/>
              <w:right w:val="single" w:sz="4" w:space="0" w:color="auto"/>
            </w:tcBorders>
            <w:shd w:val="clear" w:color="auto" w:fill="auto"/>
            <w:noWrap/>
            <w:vAlign w:val="bottom"/>
          </w:tcPr>
          <w:p w14:paraId="53CC5282" w14:textId="77777777" w:rsidR="007E5B28" w:rsidRPr="00766532" w:rsidRDefault="007E5B28" w:rsidP="00404361">
            <w:pPr>
              <w:jc w:val="center"/>
              <w:rPr>
                <w:color w:val="000000"/>
                <w:sz w:val="18"/>
                <w:szCs w:val="18"/>
              </w:rPr>
            </w:pPr>
            <w:r w:rsidRPr="00766532">
              <w:rPr>
                <w:color w:val="000000"/>
                <w:sz w:val="18"/>
                <w:szCs w:val="18"/>
              </w:rPr>
              <w:t>0,976569</w:t>
            </w:r>
          </w:p>
        </w:tc>
      </w:tr>
      <w:tr w:rsidR="007E5B28" w:rsidRPr="00766532" w14:paraId="6825F6AF"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14050716" w14:textId="77777777" w:rsidR="007E5B28" w:rsidRPr="00766532" w:rsidRDefault="007E5B28" w:rsidP="00404361">
            <w:pPr>
              <w:jc w:val="right"/>
              <w:rPr>
                <w:color w:val="000000"/>
                <w:sz w:val="18"/>
                <w:szCs w:val="18"/>
              </w:rPr>
            </w:pPr>
            <w:r w:rsidRPr="00766532">
              <w:rPr>
                <w:color w:val="000000"/>
                <w:sz w:val="18"/>
                <w:szCs w:val="18"/>
              </w:rPr>
              <w:t>oct-18</w:t>
            </w:r>
          </w:p>
        </w:tc>
        <w:tc>
          <w:tcPr>
            <w:tcW w:w="2353" w:type="dxa"/>
            <w:tcBorders>
              <w:top w:val="nil"/>
              <w:left w:val="nil"/>
              <w:bottom w:val="single" w:sz="4" w:space="0" w:color="auto"/>
              <w:right w:val="single" w:sz="4" w:space="0" w:color="auto"/>
            </w:tcBorders>
            <w:shd w:val="clear" w:color="auto" w:fill="auto"/>
            <w:noWrap/>
            <w:vAlign w:val="bottom"/>
          </w:tcPr>
          <w:p w14:paraId="1FED8C1E" w14:textId="77777777" w:rsidR="007E5B28" w:rsidRPr="00766532" w:rsidRDefault="007E5B28" w:rsidP="00404361">
            <w:pPr>
              <w:jc w:val="center"/>
              <w:rPr>
                <w:color w:val="000000"/>
                <w:sz w:val="18"/>
                <w:szCs w:val="18"/>
              </w:rPr>
            </w:pPr>
            <w:r w:rsidRPr="00766532">
              <w:rPr>
                <w:color w:val="000000"/>
                <w:sz w:val="18"/>
                <w:szCs w:val="18"/>
              </w:rPr>
              <w:t>0,001529</w:t>
            </w:r>
          </w:p>
        </w:tc>
        <w:tc>
          <w:tcPr>
            <w:tcW w:w="2531" w:type="dxa"/>
            <w:tcBorders>
              <w:top w:val="nil"/>
              <w:left w:val="nil"/>
              <w:bottom w:val="single" w:sz="4" w:space="0" w:color="auto"/>
              <w:right w:val="single" w:sz="4" w:space="0" w:color="auto"/>
            </w:tcBorders>
            <w:shd w:val="clear" w:color="auto" w:fill="auto"/>
            <w:noWrap/>
            <w:vAlign w:val="bottom"/>
          </w:tcPr>
          <w:p w14:paraId="77252C6B" w14:textId="77777777" w:rsidR="007E5B28" w:rsidRPr="00766532" w:rsidRDefault="007E5B28" w:rsidP="00404361">
            <w:pPr>
              <w:jc w:val="center"/>
              <w:rPr>
                <w:color w:val="000000"/>
                <w:sz w:val="18"/>
                <w:szCs w:val="18"/>
              </w:rPr>
            </w:pPr>
            <w:r w:rsidRPr="00766532">
              <w:rPr>
                <w:color w:val="000000"/>
                <w:sz w:val="18"/>
                <w:szCs w:val="18"/>
              </w:rPr>
              <w:t>0,974846</w:t>
            </w:r>
          </w:p>
        </w:tc>
      </w:tr>
      <w:tr w:rsidR="007E5B28" w:rsidRPr="00766532" w14:paraId="71F3E190"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1375947C" w14:textId="77777777" w:rsidR="007E5B28" w:rsidRPr="00766532" w:rsidRDefault="007E5B28" w:rsidP="00404361">
            <w:pPr>
              <w:jc w:val="right"/>
              <w:rPr>
                <w:color w:val="000000"/>
                <w:sz w:val="18"/>
                <w:szCs w:val="18"/>
              </w:rPr>
            </w:pPr>
            <w:r w:rsidRPr="00766532">
              <w:rPr>
                <w:color w:val="000000"/>
                <w:sz w:val="18"/>
                <w:szCs w:val="18"/>
              </w:rPr>
              <w:t>nov-18</w:t>
            </w:r>
          </w:p>
        </w:tc>
        <w:tc>
          <w:tcPr>
            <w:tcW w:w="2353" w:type="dxa"/>
            <w:tcBorders>
              <w:top w:val="nil"/>
              <w:left w:val="nil"/>
              <w:bottom w:val="single" w:sz="4" w:space="0" w:color="auto"/>
              <w:right w:val="single" w:sz="4" w:space="0" w:color="auto"/>
            </w:tcBorders>
            <w:shd w:val="clear" w:color="auto" w:fill="auto"/>
            <w:noWrap/>
            <w:vAlign w:val="bottom"/>
          </w:tcPr>
          <w:p w14:paraId="20CE04A8" w14:textId="77777777" w:rsidR="007E5B28" w:rsidRPr="00766532" w:rsidRDefault="007E5B28" w:rsidP="00404361">
            <w:pPr>
              <w:jc w:val="center"/>
              <w:rPr>
                <w:color w:val="000000"/>
                <w:sz w:val="18"/>
                <w:szCs w:val="18"/>
              </w:rPr>
            </w:pPr>
            <w:r w:rsidRPr="00766532">
              <w:rPr>
                <w:color w:val="000000"/>
                <w:sz w:val="18"/>
                <w:szCs w:val="18"/>
              </w:rPr>
              <w:t>0,001529</w:t>
            </w:r>
          </w:p>
        </w:tc>
        <w:tc>
          <w:tcPr>
            <w:tcW w:w="2531" w:type="dxa"/>
            <w:tcBorders>
              <w:top w:val="nil"/>
              <w:left w:val="nil"/>
              <w:bottom w:val="single" w:sz="4" w:space="0" w:color="auto"/>
              <w:right w:val="single" w:sz="4" w:space="0" w:color="auto"/>
            </w:tcBorders>
            <w:shd w:val="clear" w:color="auto" w:fill="auto"/>
            <w:noWrap/>
            <w:vAlign w:val="bottom"/>
          </w:tcPr>
          <w:p w14:paraId="1A956FEF" w14:textId="77777777" w:rsidR="007E5B28" w:rsidRPr="00766532" w:rsidRDefault="007E5B28" w:rsidP="00404361">
            <w:pPr>
              <w:jc w:val="center"/>
              <w:rPr>
                <w:color w:val="000000"/>
                <w:sz w:val="18"/>
                <w:szCs w:val="18"/>
              </w:rPr>
            </w:pPr>
            <w:r w:rsidRPr="00766532">
              <w:rPr>
                <w:color w:val="000000"/>
                <w:sz w:val="18"/>
                <w:szCs w:val="18"/>
              </w:rPr>
              <w:t>0,978122</w:t>
            </w:r>
          </w:p>
        </w:tc>
      </w:tr>
      <w:tr w:rsidR="007E5B28" w:rsidRPr="00766532" w14:paraId="0680BB28"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342144EE" w14:textId="77777777" w:rsidR="007E5B28" w:rsidRPr="00766532" w:rsidRDefault="007E5B28" w:rsidP="00404361">
            <w:pPr>
              <w:jc w:val="right"/>
              <w:rPr>
                <w:color w:val="000000"/>
                <w:sz w:val="18"/>
                <w:szCs w:val="18"/>
              </w:rPr>
            </w:pPr>
            <w:r w:rsidRPr="00766532">
              <w:rPr>
                <w:color w:val="000000"/>
                <w:sz w:val="18"/>
                <w:szCs w:val="18"/>
              </w:rPr>
              <w:t>dic-18</w:t>
            </w:r>
          </w:p>
        </w:tc>
        <w:tc>
          <w:tcPr>
            <w:tcW w:w="2353" w:type="dxa"/>
            <w:tcBorders>
              <w:top w:val="nil"/>
              <w:left w:val="nil"/>
              <w:bottom w:val="single" w:sz="4" w:space="0" w:color="auto"/>
              <w:right w:val="single" w:sz="4" w:space="0" w:color="auto"/>
            </w:tcBorders>
            <w:shd w:val="clear" w:color="auto" w:fill="auto"/>
            <w:noWrap/>
            <w:vAlign w:val="bottom"/>
          </w:tcPr>
          <w:p w14:paraId="7B5E1C6C" w14:textId="77777777" w:rsidR="007E5B28" w:rsidRPr="00766532" w:rsidRDefault="007E5B28" w:rsidP="00404361">
            <w:pPr>
              <w:jc w:val="center"/>
              <w:rPr>
                <w:color w:val="000000"/>
                <w:sz w:val="18"/>
                <w:szCs w:val="18"/>
              </w:rPr>
            </w:pPr>
            <w:r w:rsidRPr="00766532">
              <w:rPr>
                <w:color w:val="000000"/>
                <w:sz w:val="18"/>
                <w:szCs w:val="18"/>
              </w:rPr>
              <w:t>0,001531</w:t>
            </w:r>
          </w:p>
        </w:tc>
        <w:tc>
          <w:tcPr>
            <w:tcW w:w="2531" w:type="dxa"/>
            <w:tcBorders>
              <w:top w:val="nil"/>
              <w:left w:val="nil"/>
              <w:bottom w:val="single" w:sz="4" w:space="0" w:color="auto"/>
              <w:right w:val="single" w:sz="4" w:space="0" w:color="auto"/>
            </w:tcBorders>
            <w:shd w:val="clear" w:color="auto" w:fill="auto"/>
            <w:noWrap/>
            <w:vAlign w:val="bottom"/>
          </w:tcPr>
          <w:p w14:paraId="647563C0" w14:textId="77777777" w:rsidR="007E5B28" w:rsidRPr="00766532" w:rsidRDefault="007E5B28" w:rsidP="00404361">
            <w:pPr>
              <w:jc w:val="center"/>
              <w:rPr>
                <w:color w:val="000000"/>
                <w:sz w:val="18"/>
                <w:szCs w:val="18"/>
              </w:rPr>
            </w:pPr>
            <w:r w:rsidRPr="00766532">
              <w:rPr>
                <w:color w:val="000000"/>
                <w:sz w:val="18"/>
                <w:szCs w:val="18"/>
              </w:rPr>
              <w:t>0,981256</w:t>
            </w:r>
          </w:p>
        </w:tc>
      </w:tr>
      <w:tr w:rsidR="007E5B28" w:rsidRPr="00766532" w14:paraId="14E08D0C"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1398B16B" w14:textId="77777777" w:rsidR="007E5B28" w:rsidRPr="00766532" w:rsidRDefault="007E5B28" w:rsidP="00404361">
            <w:pPr>
              <w:jc w:val="right"/>
              <w:rPr>
                <w:color w:val="000000"/>
                <w:sz w:val="18"/>
                <w:szCs w:val="18"/>
              </w:rPr>
            </w:pPr>
            <w:r w:rsidRPr="00766532">
              <w:rPr>
                <w:color w:val="000000"/>
                <w:sz w:val="18"/>
                <w:szCs w:val="18"/>
              </w:rPr>
              <w:t>ene-19</w:t>
            </w:r>
          </w:p>
        </w:tc>
        <w:tc>
          <w:tcPr>
            <w:tcW w:w="2353" w:type="dxa"/>
            <w:tcBorders>
              <w:top w:val="nil"/>
              <w:left w:val="nil"/>
              <w:bottom w:val="single" w:sz="4" w:space="0" w:color="auto"/>
              <w:right w:val="single" w:sz="4" w:space="0" w:color="auto"/>
            </w:tcBorders>
            <w:shd w:val="clear" w:color="auto" w:fill="auto"/>
            <w:noWrap/>
            <w:vAlign w:val="bottom"/>
          </w:tcPr>
          <w:p w14:paraId="63DB1F13" w14:textId="77777777" w:rsidR="007E5B28" w:rsidRPr="00766532" w:rsidRDefault="007E5B28" w:rsidP="00404361">
            <w:pPr>
              <w:jc w:val="center"/>
              <w:rPr>
                <w:color w:val="000000"/>
                <w:sz w:val="18"/>
                <w:szCs w:val="18"/>
              </w:rPr>
            </w:pPr>
            <w:r w:rsidRPr="00766532">
              <w:rPr>
                <w:color w:val="000000"/>
                <w:sz w:val="18"/>
                <w:szCs w:val="18"/>
              </w:rPr>
              <w:t>0,001529</w:t>
            </w:r>
          </w:p>
        </w:tc>
        <w:tc>
          <w:tcPr>
            <w:tcW w:w="2531" w:type="dxa"/>
            <w:tcBorders>
              <w:top w:val="nil"/>
              <w:left w:val="nil"/>
              <w:bottom w:val="single" w:sz="4" w:space="0" w:color="auto"/>
              <w:right w:val="single" w:sz="4" w:space="0" w:color="auto"/>
            </w:tcBorders>
            <w:shd w:val="clear" w:color="auto" w:fill="auto"/>
            <w:noWrap/>
            <w:vAlign w:val="bottom"/>
          </w:tcPr>
          <w:p w14:paraId="6844077F" w14:textId="77777777" w:rsidR="007E5B28" w:rsidRPr="00766532" w:rsidRDefault="007E5B28" w:rsidP="00404361">
            <w:pPr>
              <w:jc w:val="center"/>
              <w:rPr>
                <w:color w:val="000000"/>
                <w:sz w:val="18"/>
                <w:szCs w:val="18"/>
              </w:rPr>
            </w:pPr>
            <w:r w:rsidRPr="00766532">
              <w:rPr>
                <w:color w:val="000000"/>
                <w:sz w:val="18"/>
                <w:szCs w:val="18"/>
              </w:rPr>
              <w:t>0,979389</w:t>
            </w:r>
          </w:p>
        </w:tc>
      </w:tr>
      <w:tr w:rsidR="007E5B28" w:rsidRPr="00766532" w14:paraId="188DEEBB"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058FCD25" w14:textId="77777777" w:rsidR="007E5B28" w:rsidRPr="00766532" w:rsidRDefault="007E5B28" w:rsidP="00404361">
            <w:pPr>
              <w:jc w:val="right"/>
              <w:rPr>
                <w:color w:val="000000"/>
                <w:sz w:val="18"/>
                <w:szCs w:val="18"/>
              </w:rPr>
            </w:pPr>
            <w:r w:rsidRPr="00766532">
              <w:rPr>
                <w:color w:val="000000"/>
                <w:sz w:val="18"/>
                <w:szCs w:val="18"/>
              </w:rPr>
              <w:t>feb-19</w:t>
            </w:r>
          </w:p>
        </w:tc>
        <w:tc>
          <w:tcPr>
            <w:tcW w:w="2353" w:type="dxa"/>
            <w:tcBorders>
              <w:top w:val="nil"/>
              <w:left w:val="nil"/>
              <w:bottom w:val="single" w:sz="4" w:space="0" w:color="auto"/>
              <w:right w:val="single" w:sz="4" w:space="0" w:color="auto"/>
            </w:tcBorders>
            <w:shd w:val="clear" w:color="auto" w:fill="auto"/>
            <w:noWrap/>
            <w:vAlign w:val="bottom"/>
          </w:tcPr>
          <w:p w14:paraId="78BDB85D" w14:textId="77777777" w:rsidR="007E5B28" w:rsidRPr="00766532" w:rsidRDefault="007E5B28" w:rsidP="00404361">
            <w:pPr>
              <w:jc w:val="center"/>
              <w:rPr>
                <w:color w:val="000000"/>
                <w:sz w:val="18"/>
                <w:szCs w:val="18"/>
              </w:rPr>
            </w:pPr>
            <w:r w:rsidRPr="00766532">
              <w:rPr>
                <w:color w:val="000000"/>
                <w:sz w:val="18"/>
                <w:szCs w:val="18"/>
              </w:rPr>
              <w:t>0,001528</w:t>
            </w:r>
          </w:p>
        </w:tc>
        <w:tc>
          <w:tcPr>
            <w:tcW w:w="2531" w:type="dxa"/>
            <w:tcBorders>
              <w:top w:val="nil"/>
              <w:left w:val="nil"/>
              <w:bottom w:val="single" w:sz="4" w:space="0" w:color="auto"/>
              <w:right w:val="single" w:sz="4" w:space="0" w:color="auto"/>
            </w:tcBorders>
            <w:shd w:val="clear" w:color="auto" w:fill="auto"/>
            <w:noWrap/>
            <w:vAlign w:val="bottom"/>
          </w:tcPr>
          <w:p w14:paraId="2156C345" w14:textId="77777777" w:rsidR="007E5B28" w:rsidRPr="00766532" w:rsidRDefault="007E5B28" w:rsidP="00404361">
            <w:pPr>
              <w:jc w:val="center"/>
              <w:rPr>
                <w:color w:val="000000"/>
                <w:sz w:val="18"/>
                <w:szCs w:val="18"/>
              </w:rPr>
            </w:pPr>
            <w:r w:rsidRPr="00766532">
              <w:rPr>
                <w:color w:val="000000"/>
                <w:sz w:val="18"/>
                <w:szCs w:val="18"/>
              </w:rPr>
              <w:t>0,975267</w:t>
            </w:r>
          </w:p>
        </w:tc>
      </w:tr>
      <w:tr w:rsidR="007E5B28" w:rsidRPr="00766532" w14:paraId="4F5C6F1F"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180C4C69" w14:textId="77777777" w:rsidR="007E5B28" w:rsidRPr="00766532" w:rsidRDefault="007E5B28" w:rsidP="00404361">
            <w:pPr>
              <w:jc w:val="right"/>
              <w:rPr>
                <w:color w:val="000000"/>
                <w:sz w:val="18"/>
                <w:szCs w:val="18"/>
              </w:rPr>
            </w:pPr>
            <w:r w:rsidRPr="00766532">
              <w:rPr>
                <w:color w:val="000000"/>
                <w:sz w:val="18"/>
                <w:szCs w:val="18"/>
              </w:rPr>
              <w:t>mar-19</w:t>
            </w:r>
          </w:p>
        </w:tc>
        <w:tc>
          <w:tcPr>
            <w:tcW w:w="2353" w:type="dxa"/>
            <w:tcBorders>
              <w:top w:val="nil"/>
              <w:left w:val="nil"/>
              <w:bottom w:val="single" w:sz="4" w:space="0" w:color="auto"/>
              <w:right w:val="single" w:sz="4" w:space="0" w:color="auto"/>
            </w:tcBorders>
            <w:shd w:val="clear" w:color="auto" w:fill="auto"/>
            <w:noWrap/>
            <w:vAlign w:val="bottom"/>
          </w:tcPr>
          <w:p w14:paraId="2ADC0EC5" w14:textId="77777777" w:rsidR="007E5B28" w:rsidRPr="00766532" w:rsidRDefault="007E5B28" w:rsidP="00404361">
            <w:pPr>
              <w:jc w:val="center"/>
              <w:rPr>
                <w:color w:val="000000"/>
                <w:sz w:val="18"/>
                <w:szCs w:val="18"/>
              </w:rPr>
            </w:pPr>
            <w:r w:rsidRPr="00766532">
              <w:rPr>
                <w:color w:val="000000"/>
                <w:sz w:val="18"/>
                <w:szCs w:val="18"/>
              </w:rPr>
              <w:t>0,001521</w:t>
            </w:r>
          </w:p>
        </w:tc>
        <w:tc>
          <w:tcPr>
            <w:tcW w:w="2531" w:type="dxa"/>
            <w:tcBorders>
              <w:top w:val="nil"/>
              <w:left w:val="nil"/>
              <w:bottom w:val="single" w:sz="4" w:space="0" w:color="auto"/>
              <w:right w:val="single" w:sz="4" w:space="0" w:color="auto"/>
            </w:tcBorders>
            <w:shd w:val="clear" w:color="auto" w:fill="auto"/>
            <w:noWrap/>
            <w:vAlign w:val="bottom"/>
          </w:tcPr>
          <w:p w14:paraId="572F5F00" w14:textId="77777777" w:rsidR="007E5B28" w:rsidRPr="00766532" w:rsidRDefault="007E5B28" w:rsidP="00404361">
            <w:pPr>
              <w:jc w:val="center"/>
              <w:rPr>
                <w:color w:val="000000"/>
                <w:sz w:val="18"/>
                <w:szCs w:val="18"/>
              </w:rPr>
            </w:pPr>
            <w:r w:rsidRPr="00766532">
              <w:rPr>
                <w:color w:val="000000"/>
                <w:sz w:val="18"/>
                <w:szCs w:val="18"/>
              </w:rPr>
              <w:t>0,969796</w:t>
            </w:r>
          </w:p>
        </w:tc>
      </w:tr>
      <w:tr w:rsidR="007E5B28" w:rsidRPr="00766532" w14:paraId="13C3E143"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281FD639" w14:textId="77777777" w:rsidR="007E5B28" w:rsidRPr="00766532" w:rsidRDefault="007E5B28" w:rsidP="00404361">
            <w:pPr>
              <w:jc w:val="right"/>
              <w:rPr>
                <w:color w:val="000000"/>
                <w:sz w:val="18"/>
                <w:szCs w:val="18"/>
              </w:rPr>
            </w:pPr>
            <w:r w:rsidRPr="00766532">
              <w:rPr>
                <w:color w:val="000000"/>
                <w:sz w:val="18"/>
                <w:szCs w:val="18"/>
              </w:rPr>
              <w:t>abr-19</w:t>
            </w:r>
          </w:p>
        </w:tc>
        <w:tc>
          <w:tcPr>
            <w:tcW w:w="2353" w:type="dxa"/>
            <w:tcBorders>
              <w:top w:val="nil"/>
              <w:left w:val="nil"/>
              <w:bottom w:val="single" w:sz="4" w:space="0" w:color="auto"/>
              <w:right w:val="single" w:sz="4" w:space="0" w:color="auto"/>
            </w:tcBorders>
            <w:shd w:val="clear" w:color="auto" w:fill="auto"/>
            <w:noWrap/>
            <w:vAlign w:val="bottom"/>
          </w:tcPr>
          <w:p w14:paraId="686A1A01" w14:textId="77777777" w:rsidR="007E5B28" w:rsidRPr="00766532" w:rsidRDefault="007E5B28" w:rsidP="00404361">
            <w:pPr>
              <w:jc w:val="center"/>
              <w:rPr>
                <w:color w:val="000000"/>
                <w:sz w:val="18"/>
                <w:szCs w:val="18"/>
              </w:rPr>
            </w:pPr>
            <w:r w:rsidRPr="00766532">
              <w:rPr>
                <w:color w:val="000000"/>
                <w:sz w:val="18"/>
                <w:szCs w:val="18"/>
              </w:rPr>
              <w:t>0,001517</w:t>
            </w:r>
          </w:p>
        </w:tc>
        <w:tc>
          <w:tcPr>
            <w:tcW w:w="2531" w:type="dxa"/>
            <w:tcBorders>
              <w:top w:val="nil"/>
              <w:left w:val="nil"/>
              <w:bottom w:val="single" w:sz="4" w:space="0" w:color="auto"/>
              <w:right w:val="single" w:sz="4" w:space="0" w:color="auto"/>
            </w:tcBorders>
            <w:shd w:val="clear" w:color="auto" w:fill="auto"/>
            <w:noWrap/>
            <w:vAlign w:val="bottom"/>
          </w:tcPr>
          <w:p w14:paraId="49747546" w14:textId="77777777" w:rsidR="007E5B28" w:rsidRPr="00766532" w:rsidRDefault="007E5B28" w:rsidP="00404361">
            <w:pPr>
              <w:jc w:val="center"/>
              <w:rPr>
                <w:color w:val="000000"/>
                <w:sz w:val="18"/>
                <w:szCs w:val="18"/>
              </w:rPr>
            </w:pPr>
            <w:r w:rsidRPr="00766532">
              <w:rPr>
                <w:color w:val="000000"/>
                <w:sz w:val="18"/>
                <w:szCs w:val="18"/>
              </w:rPr>
              <w:t>0,964688</w:t>
            </w:r>
          </w:p>
        </w:tc>
      </w:tr>
      <w:tr w:rsidR="007E5B28" w:rsidRPr="00766532" w14:paraId="4DC0964F"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5CA59138" w14:textId="77777777" w:rsidR="007E5B28" w:rsidRPr="00766532" w:rsidRDefault="007E5B28" w:rsidP="00404361">
            <w:pPr>
              <w:jc w:val="right"/>
              <w:rPr>
                <w:color w:val="000000"/>
                <w:sz w:val="18"/>
                <w:szCs w:val="18"/>
              </w:rPr>
            </w:pPr>
            <w:r w:rsidRPr="00766532">
              <w:rPr>
                <w:color w:val="000000"/>
                <w:sz w:val="18"/>
                <w:szCs w:val="18"/>
              </w:rPr>
              <w:t>may-19</w:t>
            </w:r>
          </w:p>
        </w:tc>
        <w:tc>
          <w:tcPr>
            <w:tcW w:w="2353" w:type="dxa"/>
            <w:tcBorders>
              <w:top w:val="nil"/>
              <w:left w:val="nil"/>
              <w:bottom w:val="single" w:sz="4" w:space="0" w:color="auto"/>
              <w:right w:val="single" w:sz="4" w:space="0" w:color="auto"/>
            </w:tcBorders>
            <w:shd w:val="clear" w:color="auto" w:fill="auto"/>
            <w:noWrap/>
            <w:vAlign w:val="bottom"/>
          </w:tcPr>
          <w:p w14:paraId="56C0EEEE" w14:textId="77777777" w:rsidR="007E5B28" w:rsidRPr="00766532" w:rsidRDefault="007E5B28" w:rsidP="00404361">
            <w:pPr>
              <w:jc w:val="center"/>
              <w:rPr>
                <w:color w:val="000000"/>
                <w:sz w:val="18"/>
                <w:szCs w:val="18"/>
              </w:rPr>
            </w:pPr>
            <w:r w:rsidRPr="00766532">
              <w:rPr>
                <w:color w:val="000000"/>
                <w:sz w:val="18"/>
                <w:szCs w:val="18"/>
              </w:rPr>
              <w:t>0,001508</w:t>
            </w:r>
          </w:p>
        </w:tc>
        <w:tc>
          <w:tcPr>
            <w:tcW w:w="2531" w:type="dxa"/>
            <w:tcBorders>
              <w:top w:val="nil"/>
              <w:left w:val="nil"/>
              <w:bottom w:val="single" w:sz="4" w:space="0" w:color="auto"/>
              <w:right w:val="single" w:sz="4" w:space="0" w:color="auto"/>
            </w:tcBorders>
            <w:shd w:val="clear" w:color="auto" w:fill="auto"/>
            <w:noWrap/>
            <w:vAlign w:val="bottom"/>
          </w:tcPr>
          <w:p w14:paraId="429AF548" w14:textId="77777777" w:rsidR="007E5B28" w:rsidRPr="00766532" w:rsidRDefault="007E5B28" w:rsidP="00404361">
            <w:pPr>
              <w:jc w:val="center"/>
              <w:rPr>
                <w:color w:val="000000"/>
                <w:sz w:val="18"/>
                <w:szCs w:val="18"/>
              </w:rPr>
            </w:pPr>
            <w:r w:rsidRPr="00766532">
              <w:rPr>
                <w:color w:val="000000"/>
                <w:sz w:val="18"/>
                <w:szCs w:val="18"/>
              </w:rPr>
              <w:t>0,962638</w:t>
            </w:r>
          </w:p>
        </w:tc>
      </w:tr>
      <w:tr w:rsidR="007E5B28" w:rsidRPr="00766532" w14:paraId="113B976F"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705335A7" w14:textId="77777777" w:rsidR="007E5B28" w:rsidRPr="00766532" w:rsidRDefault="007E5B28" w:rsidP="00404361">
            <w:pPr>
              <w:jc w:val="right"/>
              <w:rPr>
                <w:color w:val="000000"/>
                <w:sz w:val="18"/>
                <w:szCs w:val="18"/>
              </w:rPr>
            </w:pPr>
            <w:r w:rsidRPr="00766532">
              <w:rPr>
                <w:color w:val="000000"/>
                <w:sz w:val="18"/>
                <w:szCs w:val="18"/>
              </w:rPr>
              <w:t>jun-19</w:t>
            </w:r>
          </w:p>
        </w:tc>
        <w:tc>
          <w:tcPr>
            <w:tcW w:w="2353" w:type="dxa"/>
            <w:tcBorders>
              <w:top w:val="nil"/>
              <w:left w:val="nil"/>
              <w:bottom w:val="single" w:sz="4" w:space="0" w:color="auto"/>
              <w:right w:val="single" w:sz="4" w:space="0" w:color="auto"/>
            </w:tcBorders>
            <w:shd w:val="clear" w:color="auto" w:fill="auto"/>
            <w:noWrap/>
            <w:vAlign w:val="bottom"/>
          </w:tcPr>
          <w:p w14:paraId="433E4985" w14:textId="77777777" w:rsidR="007E5B28" w:rsidRPr="00766532" w:rsidRDefault="007E5B28" w:rsidP="00404361">
            <w:pPr>
              <w:jc w:val="center"/>
              <w:rPr>
                <w:color w:val="000000"/>
                <w:sz w:val="18"/>
                <w:szCs w:val="18"/>
              </w:rPr>
            </w:pPr>
            <w:r w:rsidRPr="00766532">
              <w:rPr>
                <w:color w:val="000000"/>
                <w:sz w:val="18"/>
                <w:szCs w:val="18"/>
              </w:rPr>
              <w:t>0,001507</w:t>
            </w:r>
          </w:p>
        </w:tc>
        <w:tc>
          <w:tcPr>
            <w:tcW w:w="2531" w:type="dxa"/>
            <w:tcBorders>
              <w:top w:val="nil"/>
              <w:left w:val="nil"/>
              <w:bottom w:val="single" w:sz="4" w:space="0" w:color="auto"/>
              <w:right w:val="single" w:sz="4" w:space="0" w:color="auto"/>
            </w:tcBorders>
            <w:shd w:val="clear" w:color="auto" w:fill="auto"/>
            <w:noWrap/>
            <w:vAlign w:val="bottom"/>
          </w:tcPr>
          <w:p w14:paraId="479744EA" w14:textId="77777777" w:rsidR="007E5B28" w:rsidRPr="00766532" w:rsidRDefault="007E5B28" w:rsidP="00404361">
            <w:pPr>
              <w:jc w:val="center"/>
              <w:rPr>
                <w:color w:val="000000"/>
                <w:sz w:val="18"/>
                <w:szCs w:val="18"/>
              </w:rPr>
            </w:pPr>
            <w:r w:rsidRPr="00766532">
              <w:rPr>
                <w:color w:val="000000"/>
                <w:sz w:val="18"/>
                <w:szCs w:val="18"/>
              </w:rPr>
              <w:t>0,962447</w:t>
            </w:r>
          </w:p>
        </w:tc>
      </w:tr>
      <w:tr w:rsidR="007E5B28" w:rsidRPr="00766532" w14:paraId="3E570367"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362D294F" w14:textId="77777777" w:rsidR="007E5B28" w:rsidRPr="00766532" w:rsidRDefault="007E5B28" w:rsidP="00404361">
            <w:pPr>
              <w:jc w:val="right"/>
              <w:rPr>
                <w:color w:val="000000"/>
                <w:sz w:val="18"/>
                <w:szCs w:val="18"/>
              </w:rPr>
            </w:pPr>
            <w:r w:rsidRPr="00766532">
              <w:rPr>
                <w:color w:val="000000"/>
                <w:sz w:val="18"/>
                <w:szCs w:val="18"/>
              </w:rPr>
              <w:t>jul-19</w:t>
            </w:r>
          </w:p>
        </w:tc>
        <w:tc>
          <w:tcPr>
            <w:tcW w:w="2353" w:type="dxa"/>
            <w:tcBorders>
              <w:top w:val="nil"/>
              <w:left w:val="nil"/>
              <w:bottom w:val="single" w:sz="4" w:space="0" w:color="auto"/>
              <w:right w:val="single" w:sz="4" w:space="0" w:color="auto"/>
            </w:tcBorders>
            <w:shd w:val="clear" w:color="auto" w:fill="auto"/>
            <w:noWrap/>
            <w:vAlign w:val="bottom"/>
          </w:tcPr>
          <w:p w14:paraId="7D968713" w14:textId="77777777" w:rsidR="007E5B28" w:rsidRPr="00766532" w:rsidRDefault="007E5B28" w:rsidP="00404361">
            <w:pPr>
              <w:jc w:val="center"/>
              <w:rPr>
                <w:color w:val="000000"/>
                <w:sz w:val="18"/>
                <w:szCs w:val="18"/>
              </w:rPr>
            </w:pPr>
            <w:r w:rsidRPr="00766532">
              <w:rPr>
                <w:color w:val="000000"/>
                <w:sz w:val="18"/>
                <w:szCs w:val="18"/>
              </w:rPr>
              <w:t>0,001504</w:t>
            </w:r>
          </w:p>
        </w:tc>
        <w:tc>
          <w:tcPr>
            <w:tcW w:w="2531" w:type="dxa"/>
            <w:tcBorders>
              <w:top w:val="nil"/>
              <w:left w:val="nil"/>
              <w:bottom w:val="single" w:sz="4" w:space="0" w:color="auto"/>
              <w:right w:val="single" w:sz="4" w:space="0" w:color="auto"/>
            </w:tcBorders>
            <w:shd w:val="clear" w:color="auto" w:fill="auto"/>
            <w:noWrap/>
            <w:vAlign w:val="bottom"/>
          </w:tcPr>
          <w:p w14:paraId="12C8D9C5" w14:textId="77777777" w:rsidR="007E5B28" w:rsidRPr="00766532" w:rsidRDefault="007E5B28" w:rsidP="00404361">
            <w:pPr>
              <w:jc w:val="center"/>
              <w:rPr>
                <w:color w:val="000000"/>
                <w:sz w:val="18"/>
                <w:szCs w:val="18"/>
              </w:rPr>
            </w:pPr>
            <w:r w:rsidRPr="00766532">
              <w:rPr>
                <w:color w:val="000000"/>
                <w:sz w:val="18"/>
                <w:szCs w:val="18"/>
              </w:rPr>
              <w:t>0,960841</w:t>
            </w:r>
          </w:p>
        </w:tc>
      </w:tr>
      <w:tr w:rsidR="007E5B28" w:rsidRPr="00766532" w14:paraId="2DB5BC48"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2B2A6009" w14:textId="77777777" w:rsidR="007E5B28" w:rsidRPr="00766532" w:rsidRDefault="007E5B28" w:rsidP="00404361">
            <w:pPr>
              <w:jc w:val="right"/>
              <w:rPr>
                <w:color w:val="000000"/>
                <w:sz w:val="18"/>
                <w:szCs w:val="18"/>
              </w:rPr>
            </w:pPr>
            <w:r w:rsidRPr="00766532">
              <w:rPr>
                <w:color w:val="000000"/>
                <w:sz w:val="18"/>
                <w:szCs w:val="18"/>
              </w:rPr>
              <w:t>ago-19</w:t>
            </w:r>
          </w:p>
        </w:tc>
        <w:tc>
          <w:tcPr>
            <w:tcW w:w="2353" w:type="dxa"/>
            <w:tcBorders>
              <w:top w:val="nil"/>
              <w:left w:val="nil"/>
              <w:bottom w:val="single" w:sz="4" w:space="0" w:color="auto"/>
              <w:right w:val="single" w:sz="4" w:space="0" w:color="auto"/>
            </w:tcBorders>
            <w:shd w:val="clear" w:color="auto" w:fill="auto"/>
            <w:noWrap/>
            <w:vAlign w:val="bottom"/>
          </w:tcPr>
          <w:p w14:paraId="13B2F60A" w14:textId="77777777" w:rsidR="007E5B28" w:rsidRPr="00766532" w:rsidRDefault="007E5B28" w:rsidP="00404361">
            <w:pPr>
              <w:jc w:val="center"/>
              <w:rPr>
                <w:color w:val="000000"/>
                <w:sz w:val="18"/>
                <w:szCs w:val="18"/>
              </w:rPr>
            </w:pPr>
            <w:r w:rsidRPr="00766532">
              <w:rPr>
                <w:color w:val="000000"/>
                <w:sz w:val="18"/>
                <w:szCs w:val="18"/>
              </w:rPr>
              <w:t>0,001501</w:t>
            </w:r>
          </w:p>
        </w:tc>
        <w:tc>
          <w:tcPr>
            <w:tcW w:w="2531" w:type="dxa"/>
            <w:tcBorders>
              <w:top w:val="nil"/>
              <w:left w:val="nil"/>
              <w:bottom w:val="single" w:sz="4" w:space="0" w:color="auto"/>
              <w:right w:val="single" w:sz="4" w:space="0" w:color="auto"/>
            </w:tcBorders>
            <w:shd w:val="clear" w:color="auto" w:fill="auto"/>
            <w:noWrap/>
            <w:vAlign w:val="bottom"/>
          </w:tcPr>
          <w:p w14:paraId="53959D05" w14:textId="77777777" w:rsidR="007E5B28" w:rsidRPr="00766532" w:rsidRDefault="007E5B28" w:rsidP="00404361">
            <w:pPr>
              <w:jc w:val="center"/>
              <w:rPr>
                <w:color w:val="000000"/>
                <w:sz w:val="18"/>
                <w:szCs w:val="18"/>
              </w:rPr>
            </w:pPr>
            <w:r w:rsidRPr="00766532">
              <w:rPr>
                <w:color w:val="000000"/>
                <w:sz w:val="18"/>
                <w:szCs w:val="18"/>
              </w:rPr>
              <w:t>0,960890</w:t>
            </w:r>
          </w:p>
        </w:tc>
      </w:tr>
      <w:tr w:rsidR="007E5B28" w:rsidRPr="00766532" w14:paraId="49EF6A0D"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3004EC7A" w14:textId="77777777" w:rsidR="007E5B28" w:rsidRPr="00766532" w:rsidRDefault="007E5B28" w:rsidP="00404361">
            <w:pPr>
              <w:jc w:val="right"/>
              <w:rPr>
                <w:color w:val="000000"/>
                <w:sz w:val="18"/>
                <w:szCs w:val="18"/>
              </w:rPr>
            </w:pPr>
            <w:r w:rsidRPr="00766532">
              <w:rPr>
                <w:color w:val="000000"/>
                <w:sz w:val="18"/>
                <w:szCs w:val="18"/>
              </w:rPr>
              <w:t>sep-19</w:t>
            </w:r>
          </w:p>
        </w:tc>
        <w:tc>
          <w:tcPr>
            <w:tcW w:w="2353" w:type="dxa"/>
            <w:tcBorders>
              <w:top w:val="nil"/>
              <w:left w:val="nil"/>
              <w:bottom w:val="single" w:sz="4" w:space="0" w:color="auto"/>
              <w:right w:val="single" w:sz="4" w:space="0" w:color="auto"/>
            </w:tcBorders>
            <w:shd w:val="clear" w:color="auto" w:fill="auto"/>
            <w:noWrap/>
            <w:vAlign w:val="bottom"/>
          </w:tcPr>
          <w:p w14:paraId="47F0C163" w14:textId="77777777" w:rsidR="007E5B28" w:rsidRPr="00766532" w:rsidRDefault="007E5B28" w:rsidP="00404361">
            <w:pPr>
              <w:jc w:val="center"/>
              <w:rPr>
                <w:color w:val="000000"/>
                <w:sz w:val="18"/>
                <w:szCs w:val="18"/>
              </w:rPr>
            </w:pPr>
            <w:r w:rsidRPr="00766532">
              <w:rPr>
                <w:color w:val="000000"/>
                <w:sz w:val="18"/>
                <w:szCs w:val="18"/>
              </w:rPr>
              <w:t>0,001501</w:t>
            </w:r>
          </w:p>
        </w:tc>
        <w:tc>
          <w:tcPr>
            <w:tcW w:w="2531" w:type="dxa"/>
            <w:tcBorders>
              <w:top w:val="nil"/>
              <w:left w:val="nil"/>
              <w:bottom w:val="single" w:sz="4" w:space="0" w:color="auto"/>
              <w:right w:val="single" w:sz="4" w:space="0" w:color="auto"/>
            </w:tcBorders>
            <w:shd w:val="clear" w:color="auto" w:fill="auto"/>
            <w:noWrap/>
            <w:vAlign w:val="bottom"/>
          </w:tcPr>
          <w:p w14:paraId="7A37CE39" w14:textId="77777777" w:rsidR="007E5B28" w:rsidRPr="00766532" w:rsidRDefault="007E5B28" w:rsidP="00404361">
            <w:pPr>
              <w:jc w:val="center"/>
              <w:rPr>
                <w:color w:val="000000"/>
                <w:sz w:val="18"/>
                <w:szCs w:val="18"/>
              </w:rPr>
            </w:pPr>
            <w:r w:rsidRPr="00766532">
              <w:rPr>
                <w:color w:val="000000"/>
                <w:sz w:val="18"/>
                <w:szCs w:val="18"/>
              </w:rPr>
              <w:t>0,960138</w:t>
            </w:r>
          </w:p>
        </w:tc>
      </w:tr>
      <w:tr w:rsidR="007E5B28" w:rsidRPr="00766532" w14:paraId="62532AA3"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00C44C9E" w14:textId="77777777" w:rsidR="007E5B28" w:rsidRPr="00766532" w:rsidRDefault="007E5B28" w:rsidP="00404361">
            <w:pPr>
              <w:jc w:val="right"/>
              <w:rPr>
                <w:color w:val="000000"/>
                <w:sz w:val="18"/>
                <w:szCs w:val="18"/>
              </w:rPr>
            </w:pPr>
            <w:r w:rsidRPr="00766532">
              <w:rPr>
                <w:color w:val="000000"/>
                <w:sz w:val="18"/>
                <w:szCs w:val="18"/>
              </w:rPr>
              <w:t>oct-19</w:t>
            </w:r>
          </w:p>
        </w:tc>
        <w:tc>
          <w:tcPr>
            <w:tcW w:w="2353" w:type="dxa"/>
            <w:tcBorders>
              <w:top w:val="nil"/>
              <w:left w:val="nil"/>
              <w:bottom w:val="single" w:sz="4" w:space="0" w:color="auto"/>
              <w:right w:val="single" w:sz="4" w:space="0" w:color="auto"/>
            </w:tcBorders>
            <w:shd w:val="clear" w:color="auto" w:fill="auto"/>
            <w:noWrap/>
            <w:vAlign w:val="bottom"/>
          </w:tcPr>
          <w:p w14:paraId="05BBFF5A" w14:textId="77777777" w:rsidR="007E5B28" w:rsidRPr="00766532" w:rsidRDefault="007E5B28" w:rsidP="00404361">
            <w:pPr>
              <w:jc w:val="center"/>
              <w:rPr>
                <w:color w:val="000000"/>
                <w:sz w:val="18"/>
                <w:szCs w:val="18"/>
              </w:rPr>
            </w:pPr>
            <w:r w:rsidRPr="00766532">
              <w:rPr>
                <w:color w:val="000000"/>
                <w:sz w:val="18"/>
                <w:szCs w:val="18"/>
              </w:rPr>
              <w:t>0,001489</w:t>
            </w:r>
          </w:p>
        </w:tc>
        <w:tc>
          <w:tcPr>
            <w:tcW w:w="2531" w:type="dxa"/>
            <w:tcBorders>
              <w:top w:val="nil"/>
              <w:left w:val="nil"/>
              <w:bottom w:val="single" w:sz="4" w:space="0" w:color="auto"/>
              <w:right w:val="single" w:sz="4" w:space="0" w:color="auto"/>
            </w:tcBorders>
            <w:shd w:val="clear" w:color="auto" w:fill="auto"/>
            <w:noWrap/>
            <w:vAlign w:val="bottom"/>
          </w:tcPr>
          <w:p w14:paraId="183FCAC8" w14:textId="77777777" w:rsidR="007E5B28" w:rsidRPr="00766532" w:rsidRDefault="007E5B28" w:rsidP="00404361">
            <w:pPr>
              <w:jc w:val="center"/>
              <w:rPr>
                <w:color w:val="000000"/>
                <w:sz w:val="18"/>
                <w:szCs w:val="18"/>
              </w:rPr>
            </w:pPr>
            <w:r w:rsidRPr="00766532">
              <w:rPr>
                <w:color w:val="000000"/>
                <w:sz w:val="18"/>
                <w:szCs w:val="18"/>
              </w:rPr>
              <w:t>0,957948</w:t>
            </w:r>
          </w:p>
        </w:tc>
      </w:tr>
      <w:tr w:rsidR="007E5B28" w:rsidRPr="00766532" w14:paraId="037EF48A"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2B9790D4" w14:textId="77777777" w:rsidR="007E5B28" w:rsidRPr="00766532" w:rsidRDefault="007E5B28" w:rsidP="00404361">
            <w:pPr>
              <w:jc w:val="right"/>
              <w:rPr>
                <w:color w:val="000000"/>
                <w:sz w:val="18"/>
                <w:szCs w:val="18"/>
              </w:rPr>
            </w:pPr>
            <w:r w:rsidRPr="00766532">
              <w:rPr>
                <w:color w:val="000000"/>
                <w:sz w:val="18"/>
                <w:szCs w:val="18"/>
              </w:rPr>
              <w:t>nov-19</w:t>
            </w:r>
          </w:p>
        </w:tc>
        <w:tc>
          <w:tcPr>
            <w:tcW w:w="2353" w:type="dxa"/>
            <w:tcBorders>
              <w:top w:val="nil"/>
              <w:left w:val="nil"/>
              <w:bottom w:val="single" w:sz="4" w:space="0" w:color="auto"/>
              <w:right w:val="single" w:sz="4" w:space="0" w:color="auto"/>
            </w:tcBorders>
            <w:shd w:val="clear" w:color="auto" w:fill="auto"/>
            <w:noWrap/>
            <w:vAlign w:val="bottom"/>
          </w:tcPr>
          <w:p w14:paraId="709BEA5B" w14:textId="77777777" w:rsidR="007E5B28" w:rsidRPr="00766532" w:rsidRDefault="007E5B28" w:rsidP="00404361">
            <w:pPr>
              <w:jc w:val="center"/>
              <w:rPr>
                <w:color w:val="000000"/>
                <w:sz w:val="18"/>
                <w:szCs w:val="18"/>
              </w:rPr>
            </w:pPr>
            <w:r w:rsidRPr="00766532">
              <w:rPr>
                <w:color w:val="000000"/>
                <w:sz w:val="18"/>
                <w:szCs w:val="18"/>
              </w:rPr>
              <w:t>0,001488</w:t>
            </w:r>
          </w:p>
        </w:tc>
        <w:tc>
          <w:tcPr>
            <w:tcW w:w="2531" w:type="dxa"/>
            <w:tcBorders>
              <w:top w:val="nil"/>
              <w:left w:val="nil"/>
              <w:bottom w:val="single" w:sz="4" w:space="0" w:color="auto"/>
              <w:right w:val="single" w:sz="4" w:space="0" w:color="auto"/>
            </w:tcBorders>
            <w:shd w:val="clear" w:color="auto" w:fill="auto"/>
            <w:noWrap/>
            <w:vAlign w:val="bottom"/>
          </w:tcPr>
          <w:p w14:paraId="287AA0FE" w14:textId="77777777" w:rsidR="007E5B28" w:rsidRPr="00766532" w:rsidRDefault="007E5B28" w:rsidP="00404361">
            <w:pPr>
              <w:jc w:val="center"/>
              <w:rPr>
                <w:color w:val="000000"/>
                <w:sz w:val="18"/>
                <w:szCs w:val="18"/>
              </w:rPr>
            </w:pPr>
            <w:r w:rsidRPr="00766532">
              <w:rPr>
                <w:color w:val="000000"/>
                <w:sz w:val="18"/>
                <w:szCs w:val="18"/>
              </w:rPr>
              <w:t>0,958462</w:t>
            </w:r>
          </w:p>
        </w:tc>
      </w:tr>
      <w:tr w:rsidR="007E5B28" w:rsidRPr="00766532" w14:paraId="2D4AF11B" w14:textId="77777777" w:rsidTr="00C636E3">
        <w:trPr>
          <w:trHeight w:hRule="exact" w:val="284"/>
          <w:jc w:val="center"/>
        </w:trPr>
        <w:tc>
          <w:tcPr>
            <w:tcW w:w="1285" w:type="dxa"/>
            <w:tcBorders>
              <w:top w:val="nil"/>
              <w:left w:val="single" w:sz="4" w:space="0" w:color="auto"/>
              <w:bottom w:val="single" w:sz="4" w:space="0" w:color="auto"/>
              <w:right w:val="single" w:sz="4" w:space="0" w:color="auto"/>
            </w:tcBorders>
            <w:shd w:val="clear" w:color="auto" w:fill="auto"/>
            <w:noWrap/>
            <w:vAlign w:val="bottom"/>
          </w:tcPr>
          <w:p w14:paraId="3877F174" w14:textId="77777777" w:rsidR="007E5B28" w:rsidRPr="00766532" w:rsidRDefault="007E5B28" w:rsidP="00404361">
            <w:pPr>
              <w:jc w:val="right"/>
              <w:rPr>
                <w:color w:val="000000"/>
                <w:sz w:val="18"/>
                <w:szCs w:val="18"/>
              </w:rPr>
            </w:pPr>
            <w:r w:rsidRPr="00766532">
              <w:rPr>
                <w:color w:val="000000"/>
                <w:sz w:val="18"/>
                <w:szCs w:val="18"/>
              </w:rPr>
              <w:t>dic-19</w:t>
            </w:r>
          </w:p>
        </w:tc>
        <w:tc>
          <w:tcPr>
            <w:tcW w:w="2353" w:type="dxa"/>
            <w:tcBorders>
              <w:top w:val="nil"/>
              <w:left w:val="nil"/>
              <w:bottom w:val="single" w:sz="4" w:space="0" w:color="auto"/>
              <w:right w:val="single" w:sz="4" w:space="0" w:color="auto"/>
            </w:tcBorders>
            <w:shd w:val="clear" w:color="auto" w:fill="auto"/>
            <w:noWrap/>
            <w:vAlign w:val="bottom"/>
          </w:tcPr>
          <w:p w14:paraId="6C76C621" w14:textId="77777777" w:rsidR="007E5B28" w:rsidRPr="00766532" w:rsidRDefault="007E5B28" w:rsidP="00404361">
            <w:pPr>
              <w:jc w:val="center"/>
              <w:rPr>
                <w:color w:val="000000"/>
                <w:sz w:val="18"/>
                <w:szCs w:val="18"/>
              </w:rPr>
            </w:pPr>
            <w:r w:rsidRPr="00766532">
              <w:rPr>
                <w:color w:val="000000"/>
                <w:sz w:val="18"/>
                <w:szCs w:val="18"/>
              </w:rPr>
              <w:t>0,001486</w:t>
            </w:r>
          </w:p>
        </w:tc>
        <w:tc>
          <w:tcPr>
            <w:tcW w:w="2531" w:type="dxa"/>
            <w:tcBorders>
              <w:top w:val="nil"/>
              <w:left w:val="nil"/>
              <w:bottom w:val="single" w:sz="4" w:space="0" w:color="auto"/>
              <w:right w:val="single" w:sz="4" w:space="0" w:color="auto"/>
            </w:tcBorders>
            <w:shd w:val="clear" w:color="auto" w:fill="auto"/>
            <w:noWrap/>
            <w:vAlign w:val="bottom"/>
          </w:tcPr>
          <w:p w14:paraId="239BDBC6" w14:textId="77777777" w:rsidR="007E5B28" w:rsidRPr="00766532" w:rsidRDefault="007E5B28" w:rsidP="00404361">
            <w:pPr>
              <w:jc w:val="center"/>
              <w:rPr>
                <w:color w:val="000000"/>
                <w:sz w:val="18"/>
                <w:szCs w:val="18"/>
              </w:rPr>
            </w:pPr>
            <w:r w:rsidRPr="00766532">
              <w:rPr>
                <w:color w:val="000000"/>
                <w:sz w:val="18"/>
                <w:szCs w:val="18"/>
              </w:rPr>
              <w:t>0,959334</w:t>
            </w:r>
          </w:p>
        </w:tc>
      </w:tr>
    </w:tbl>
    <w:p w14:paraId="2F1058CC" w14:textId="77777777" w:rsidR="007E5B28" w:rsidRPr="000E0915" w:rsidRDefault="007E5B28" w:rsidP="007E5B28"/>
    <w:p w14:paraId="212B6899" w14:textId="77777777" w:rsidR="001E13FF" w:rsidRPr="00FB56A2" w:rsidRDefault="00766532" w:rsidP="008F013C">
      <w:pPr>
        <w:rPr>
          <w:lang w:val="es-CL"/>
        </w:rPr>
      </w:pPr>
      <w:r>
        <w:rPr>
          <w:lang w:val="es-CL"/>
        </w:rPr>
        <w:t xml:space="preserve">El cálculo detallado de los deflactores se muestra en el </w:t>
      </w:r>
      <w:r w:rsidR="00B66B7D">
        <w:rPr>
          <w:lang w:val="es-CL"/>
        </w:rPr>
        <w:t>Anexo GE_1_Deflactores.</w:t>
      </w:r>
    </w:p>
    <w:p w14:paraId="19586AEF" w14:textId="77777777" w:rsidR="008F013C" w:rsidRPr="00097472" w:rsidRDefault="008F013C" w:rsidP="008F013C">
      <w:pPr>
        <w:rPr>
          <w:lang w:val="es-CL"/>
        </w:rPr>
      </w:pPr>
    </w:p>
    <w:p w14:paraId="700B12E3" w14:textId="77777777" w:rsidR="008F013C" w:rsidRPr="008F013C" w:rsidRDefault="008F013C" w:rsidP="008F013C">
      <w:pPr>
        <w:pStyle w:val="Ttulo1"/>
      </w:pPr>
      <w:bookmarkStart w:id="375" w:name="_Toc34687298"/>
      <w:r w:rsidRPr="008F013C">
        <w:t xml:space="preserve">RESULTADOS </w:t>
      </w:r>
      <w:r w:rsidR="00B567D0">
        <w:t>del estudio</w:t>
      </w:r>
      <w:bookmarkEnd w:id="375"/>
    </w:p>
    <w:p w14:paraId="73E073EA" w14:textId="77777777" w:rsidR="009E32FD" w:rsidRDefault="00B567D0" w:rsidP="00680717">
      <w:r>
        <w:t>Sin perjuicio de la estructuración y presentación de resultados solicitadas en las Bases para los diferentes conceptos de costo</w:t>
      </w:r>
      <w:r w:rsidR="00E82044">
        <w:t xml:space="preserve"> involucrados en el estudio, y que se acompañan en tales términos en los diferenetes anexos del presente informe, se presentan a continuación los resultados preliminares del estudio de modo resumido.</w:t>
      </w:r>
    </w:p>
    <w:p w14:paraId="04CBD61E" w14:textId="77777777" w:rsidR="00E82044" w:rsidRPr="00E82044" w:rsidRDefault="00E82044" w:rsidP="00E82044">
      <w:pPr>
        <w:spacing w:after="0"/>
        <w:jc w:val="center"/>
        <w:rPr>
          <w:b/>
          <w:bCs/>
          <w:sz w:val="22"/>
          <w:szCs w:val="22"/>
        </w:rPr>
      </w:pPr>
      <w:r w:rsidRPr="00E82044">
        <w:rPr>
          <w:b/>
          <w:bCs/>
          <w:sz w:val="22"/>
          <w:szCs w:val="22"/>
        </w:rPr>
        <w:t>TRAMOS DE TRANSPORTE</w:t>
      </w:r>
    </w:p>
    <w:p w14:paraId="1AE1E4FD" w14:textId="43A92E78" w:rsidR="00E82044" w:rsidRDefault="00E82044" w:rsidP="00E82044">
      <w:pPr>
        <w:spacing w:after="0"/>
        <w:jc w:val="center"/>
        <w:rPr>
          <w:b/>
          <w:bCs/>
          <w:sz w:val="22"/>
          <w:szCs w:val="22"/>
        </w:rPr>
      </w:pPr>
      <w:r w:rsidRPr="00E82044">
        <w:rPr>
          <w:b/>
          <w:bCs/>
          <w:sz w:val="22"/>
          <w:szCs w:val="22"/>
        </w:rPr>
        <w:t>En US$ de diciembre de 2017</w:t>
      </w:r>
    </w:p>
    <w:p w14:paraId="671A7834" w14:textId="77777777" w:rsidR="00E82044" w:rsidRDefault="00E82044" w:rsidP="00E82044">
      <w:pPr>
        <w:spacing w:after="0"/>
        <w:jc w:val="center"/>
      </w:pPr>
    </w:p>
    <w:tbl>
      <w:tblPr>
        <w:tblW w:w="9776" w:type="dxa"/>
        <w:tblCellMar>
          <w:left w:w="70" w:type="dxa"/>
          <w:right w:w="70" w:type="dxa"/>
        </w:tblCellMar>
        <w:tblLook w:val="04A0" w:firstRow="1" w:lastRow="0" w:firstColumn="1" w:lastColumn="0" w:noHBand="0" w:noVBand="1"/>
      </w:tblPr>
      <w:tblGrid>
        <w:gridCol w:w="846"/>
        <w:gridCol w:w="5060"/>
        <w:gridCol w:w="1052"/>
        <w:gridCol w:w="951"/>
        <w:gridCol w:w="952"/>
        <w:gridCol w:w="1052"/>
      </w:tblGrid>
      <w:tr w:rsidR="00E82044" w:rsidRPr="00E715D6" w14:paraId="332E5F67" w14:textId="77777777" w:rsidTr="00A33AA3">
        <w:trPr>
          <w:trHeight w:hRule="exact" w:val="284"/>
          <w:tblHeader/>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D8248DD" w14:textId="77777777" w:rsidR="00E82044" w:rsidRPr="00E715D6" w:rsidRDefault="00E82044" w:rsidP="00E82044">
            <w:pPr>
              <w:spacing w:after="0" w:line="240" w:lineRule="auto"/>
              <w:jc w:val="center"/>
              <w:rPr>
                <w:rFonts w:asciiTheme="minorHAnsi" w:eastAsia="Times New Roman" w:hAnsiTheme="minorHAnsi" w:cstheme="minorHAnsi"/>
                <w:b/>
                <w:bCs/>
                <w:color w:val="000000"/>
                <w:sz w:val="18"/>
                <w:szCs w:val="18"/>
                <w:lang w:val="es-CL" w:eastAsia="es-CL"/>
              </w:rPr>
            </w:pPr>
            <w:r w:rsidRPr="00E715D6">
              <w:rPr>
                <w:rFonts w:asciiTheme="minorHAnsi" w:eastAsia="Times New Roman" w:hAnsiTheme="minorHAnsi" w:cstheme="minorHAnsi"/>
                <w:b/>
                <w:bCs/>
                <w:color w:val="000000"/>
                <w:sz w:val="18"/>
                <w:szCs w:val="18"/>
                <w:lang w:val="es-CL" w:eastAsia="es-CL"/>
              </w:rPr>
              <w:t>Código</w:t>
            </w:r>
          </w:p>
        </w:tc>
        <w:tc>
          <w:tcPr>
            <w:tcW w:w="5060" w:type="dxa"/>
            <w:tcBorders>
              <w:top w:val="single" w:sz="4" w:space="0" w:color="auto"/>
              <w:left w:val="nil"/>
              <w:bottom w:val="single" w:sz="4" w:space="0" w:color="auto"/>
              <w:right w:val="single" w:sz="4" w:space="0" w:color="auto"/>
            </w:tcBorders>
            <w:shd w:val="clear" w:color="000000" w:fill="D9D9D9"/>
            <w:noWrap/>
            <w:vAlign w:val="bottom"/>
            <w:hideMark/>
          </w:tcPr>
          <w:p w14:paraId="0A324EA9" w14:textId="77777777" w:rsidR="00E82044" w:rsidRPr="00E715D6" w:rsidRDefault="00E82044" w:rsidP="00E82044">
            <w:pPr>
              <w:spacing w:after="0" w:line="240" w:lineRule="auto"/>
              <w:jc w:val="center"/>
              <w:rPr>
                <w:rFonts w:asciiTheme="minorHAnsi" w:eastAsia="Times New Roman" w:hAnsiTheme="minorHAnsi" w:cstheme="minorHAnsi"/>
                <w:b/>
                <w:bCs/>
                <w:color w:val="000000"/>
                <w:sz w:val="18"/>
                <w:szCs w:val="18"/>
                <w:lang w:val="es-CL" w:eastAsia="es-CL"/>
              </w:rPr>
            </w:pPr>
            <w:r w:rsidRPr="00E715D6">
              <w:rPr>
                <w:rFonts w:asciiTheme="minorHAnsi" w:eastAsia="Times New Roman" w:hAnsiTheme="minorHAnsi" w:cstheme="minorHAnsi"/>
                <w:b/>
                <w:bCs/>
                <w:color w:val="000000"/>
                <w:sz w:val="18"/>
                <w:szCs w:val="18"/>
                <w:lang w:val="es-CL" w:eastAsia="es-CL"/>
              </w:rPr>
              <w:t>Tramo</w:t>
            </w:r>
          </w:p>
        </w:tc>
        <w:tc>
          <w:tcPr>
            <w:tcW w:w="1035" w:type="dxa"/>
            <w:tcBorders>
              <w:top w:val="single" w:sz="4" w:space="0" w:color="auto"/>
              <w:left w:val="nil"/>
              <w:bottom w:val="single" w:sz="4" w:space="0" w:color="auto"/>
              <w:right w:val="single" w:sz="4" w:space="0" w:color="auto"/>
            </w:tcBorders>
            <w:shd w:val="clear" w:color="000000" w:fill="D9D9D9"/>
            <w:noWrap/>
            <w:vAlign w:val="bottom"/>
            <w:hideMark/>
          </w:tcPr>
          <w:p w14:paraId="47004CFC" w14:textId="77777777" w:rsidR="00E82044" w:rsidRPr="00E715D6" w:rsidRDefault="00E82044" w:rsidP="00E82044">
            <w:pPr>
              <w:spacing w:after="0" w:line="240" w:lineRule="auto"/>
              <w:jc w:val="center"/>
              <w:rPr>
                <w:rFonts w:asciiTheme="minorHAnsi" w:eastAsia="Times New Roman" w:hAnsiTheme="minorHAnsi" w:cstheme="minorHAnsi"/>
                <w:b/>
                <w:bCs/>
                <w:color w:val="000000"/>
                <w:sz w:val="18"/>
                <w:szCs w:val="18"/>
                <w:lang w:val="es-CL" w:eastAsia="es-CL"/>
              </w:rPr>
            </w:pPr>
            <w:r w:rsidRPr="00E715D6">
              <w:rPr>
                <w:rFonts w:asciiTheme="minorHAnsi" w:eastAsia="Times New Roman" w:hAnsiTheme="minorHAnsi" w:cstheme="minorHAnsi"/>
                <w:b/>
                <w:bCs/>
                <w:color w:val="000000"/>
                <w:sz w:val="18"/>
                <w:szCs w:val="18"/>
                <w:lang w:val="es-CL" w:eastAsia="es-CL"/>
              </w:rPr>
              <w:t>A.V.I.</w:t>
            </w:r>
          </w:p>
        </w:tc>
        <w:tc>
          <w:tcPr>
            <w:tcW w:w="891" w:type="dxa"/>
            <w:tcBorders>
              <w:top w:val="single" w:sz="4" w:space="0" w:color="auto"/>
              <w:left w:val="nil"/>
              <w:bottom w:val="single" w:sz="4" w:space="0" w:color="auto"/>
              <w:right w:val="single" w:sz="4" w:space="0" w:color="auto"/>
            </w:tcBorders>
            <w:shd w:val="clear" w:color="000000" w:fill="D9D9D9"/>
            <w:noWrap/>
            <w:vAlign w:val="bottom"/>
            <w:hideMark/>
          </w:tcPr>
          <w:p w14:paraId="71964419" w14:textId="77777777" w:rsidR="00E82044" w:rsidRPr="00E715D6" w:rsidRDefault="00E82044" w:rsidP="00E82044">
            <w:pPr>
              <w:spacing w:after="0" w:line="240" w:lineRule="auto"/>
              <w:jc w:val="center"/>
              <w:rPr>
                <w:rFonts w:asciiTheme="minorHAnsi" w:eastAsia="Times New Roman" w:hAnsiTheme="minorHAnsi" w:cstheme="minorHAnsi"/>
                <w:b/>
                <w:bCs/>
                <w:color w:val="000000"/>
                <w:sz w:val="18"/>
                <w:szCs w:val="18"/>
                <w:lang w:val="es-CL" w:eastAsia="es-CL"/>
              </w:rPr>
            </w:pPr>
            <w:r w:rsidRPr="00E715D6">
              <w:rPr>
                <w:rFonts w:asciiTheme="minorHAnsi" w:eastAsia="Times New Roman" w:hAnsiTheme="minorHAnsi" w:cstheme="minorHAnsi"/>
                <w:b/>
                <w:bCs/>
                <w:color w:val="000000"/>
                <w:sz w:val="18"/>
                <w:szCs w:val="18"/>
                <w:lang w:val="es-CL" w:eastAsia="es-CL"/>
              </w:rPr>
              <w:t>C.O.M.A.</w:t>
            </w:r>
          </w:p>
        </w:tc>
        <w:tc>
          <w:tcPr>
            <w:tcW w:w="952" w:type="dxa"/>
            <w:tcBorders>
              <w:top w:val="single" w:sz="4" w:space="0" w:color="auto"/>
              <w:left w:val="nil"/>
              <w:bottom w:val="single" w:sz="4" w:space="0" w:color="auto"/>
              <w:right w:val="single" w:sz="4" w:space="0" w:color="auto"/>
            </w:tcBorders>
            <w:shd w:val="clear" w:color="000000" w:fill="D9D9D9"/>
            <w:noWrap/>
            <w:vAlign w:val="bottom"/>
            <w:hideMark/>
          </w:tcPr>
          <w:p w14:paraId="2CBF6A25" w14:textId="77777777" w:rsidR="00E82044" w:rsidRPr="00E715D6" w:rsidRDefault="00E82044" w:rsidP="00E82044">
            <w:pPr>
              <w:spacing w:after="0" w:line="240" w:lineRule="auto"/>
              <w:jc w:val="center"/>
              <w:rPr>
                <w:rFonts w:asciiTheme="minorHAnsi" w:eastAsia="Times New Roman" w:hAnsiTheme="minorHAnsi" w:cstheme="minorHAnsi"/>
                <w:b/>
                <w:bCs/>
                <w:color w:val="000000"/>
                <w:sz w:val="18"/>
                <w:szCs w:val="18"/>
                <w:lang w:val="es-CL" w:eastAsia="es-CL"/>
              </w:rPr>
            </w:pPr>
            <w:r w:rsidRPr="00E715D6">
              <w:rPr>
                <w:rFonts w:asciiTheme="minorHAnsi" w:eastAsia="Times New Roman" w:hAnsiTheme="minorHAnsi" w:cstheme="minorHAnsi"/>
                <w:b/>
                <w:bCs/>
                <w:color w:val="000000"/>
                <w:sz w:val="18"/>
                <w:szCs w:val="18"/>
                <w:lang w:val="es-CL" w:eastAsia="es-CL"/>
              </w:rPr>
              <w:t>A.E.I.R.</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4657D90B" w14:textId="77777777" w:rsidR="00E82044" w:rsidRPr="00E715D6" w:rsidRDefault="00E82044" w:rsidP="00E82044">
            <w:pPr>
              <w:spacing w:after="0" w:line="240" w:lineRule="auto"/>
              <w:jc w:val="center"/>
              <w:rPr>
                <w:rFonts w:asciiTheme="minorHAnsi" w:eastAsia="Times New Roman" w:hAnsiTheme="minorHAnsi" w:cstheme="minorHAnsi"/>
                <w:b/>
                <w:bCs/>
                <w:color w:val="000000"/>
                <w:sz w:val="18"/>
                <w:szCs w:val="18"/>
                <w:lang w:val="es-CL" w:eastAsia="es-CL"/>
              </w:rPr>
            </w:pPr>
            <w:r w:rsidRPr="00E715D6">
              <w:rPr>
                <w:rFonts w:asciiTheme="minorHAnsi" w:eastAsia="Times New Roman" w:hAnsiTheme="minorHAnsi" w:cstheme="minorHAnsi"/>
                <w:b/>
                <w:bCs/>
                <w:color w:val="000000"/>
                <w:sz w:val="18"/>
                <w:szCs w:val="18"/>
                <w:lang w:val="es-CL" w:eastAsia="es-CL"/>
              </w:rPr>
              <w:t>V.A.T.T.</w:t>
            </w:r>
          </w:p>
        </w:tc>
      </w:tr>
      <w:tr w:rsidR="0066388E" w:rsidRPr="00E715D6" w14:paraId="64D9BB5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50EB52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w:t>
            </w:r>
          </w:p>
        </w:tc>
        <w:tc>
          <w:tcPr>
            <w:tcW w:w="5060" w:type="dxa"/>
            <w:tcBorders>
              <w:top w:val="nil"/>
              <w:left w:val="nil"/>
              <w:bottom w:val="single" w:sz="4" w:space="0" w:color="auto"/>
              <w:right w:val="single" w:sz="4" w:space="0" w:color="auto"/>
            </w:tcBorders>
            <w:shd w:val="clear" w:color="auto" w:fill="auto"/>
            <w:noWrap/>
            <w:vAlign w:val="bottom"/>
            <w:hideMark/>
          </w:tcPr>
          <w:p w14:paraId="7049797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220-&gt;Alto Jahuel 500</w:t>
            </w:r>
          </w:p>
        </w:tc>
        <w:tc>
          <w:tcPr>
            <w:tcW w:w="1035" w:type="dxa"/>
            <w:tcBorders>
              <w:top w:val="nil"/>
              <w:left w:val="nil"/>
              <w:bottom w:val="single" w:sz="4" w:space="0" w:color="auto"/>
              <w:right w:val="single" w:sz="4" w:space="0" w:color="auto"/>
            </w:tcBorders>
            <w:shd w:val="clear" w:color="auto" w:fill="auto"/>
            <w:noWrap/>
          </w:tcPr>
          <w:p w14:paraId="4DC6405F" w14:textId="38A275F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1.204.012 </w:t>
            </w:r>
          </w:p>
        </w:tc>
        <w:tc>
          <w:tcPr>
            <w:tcW w:w="891" w:type="dxa"/>
            <w:tcBorders>
              <w:top w:val="nil"/>
              <w:left w:val="nil"/>
              <w:bottom w:val="single" w:sz="4" w:space="0" w:color="auto"/>
              <w:right w:val="single" w:sz="4" w:space="0" w:color="auto"/>
            </w:tcBorders>
            <w:shd w:val="clear" w:color="auto" w:fill="auto"/>
            <w:noWrap/>
          </w:tcPr>
          <w:p w14:paraId="49A04A83" w14:textId="4B93E99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144.846 </w:t>
            </w:r>
          </w:p>
        </w:tc>
        <w:tc>
          <w:tcPr>
            <w:tcW w:w="952" w:type="dxa"/>
            <w:tcBorders>
              <w:top w:val="nil"/>
              <w:left w:val="nil"/>
              <w:bottom w:val="single" w:sz="4" w:space="0" w:color="auto"/>
              <w:right w:val="single" w:sz="4" w:space="0" w:color="auto"/>
            </w:tcBorders>
            <w:shd w:val="clear" w:color="auto" w:fill="auto"/>
            <w:noWrap/>
          </w:tcPr>
          <w:p w14:paraId="255760CD" w14:textId="0475C29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137.478 </w:t>
            </w:r>
          </w:p>
        </w:tc>
        <w:tc>
          <w:tcPr>
            <w:tcW w:w="992" w:type="dxa"/>
            <w:tcBorders>
              <w:top w:val="nil"/>
              <w:left w:val="nil"/>
              <w:bottom w:val="single" w:sz="4" w:space="0" w:color="auto"/>
              <w:right w:val="single" w:sz="4" w:space="0" w:color="auto"/>
            </w:tcBorders>
            <w:shd w:val="clear" w:color="auto" w:fill="auto"/>
            <w:noWrap/>
          </w:tcPr>
          <w:p w14:paraId="242970D1" w14:textId="34B6E82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1.486.337 </w:t>
            </w:r>
          </w:p>
        </w:tc>
      </w:tr>
      <w:tr w:rsidR="0066388E" w:rsidRPr="00E715D6" w14:paraId="2B1D34C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F417E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w:t>
            </w:r>
          </w:p>
        </w:tc>
        <w:tc>
          <w:tcPr>
            <w:tcW w:w="5060" w:type="dxa"/>
            <w:tcBorders>
              <w:top w:val="nil"/>
              <w:left w:val="nil"/>
              <w:bottom w:val="single" w:sz="4" w:space="0" w:color="auto"/>
              <w:right w:val="single" w:sz="4" w:space="0" w:color="auto"/>
            </w:tcBorders>
            <w:shd w:val="clear" w:color="auto" w:fill="auto"/>
            <w:noWrap/>
            <w:vAlign w:val="bottom"/>
            <w:hideMark/>
          </w:tcPr>
          <w:p w14:paraId="2244B31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220-&gt;Buin 220</w:t>
            </w:r>
          </w:p>
        </w:tc>
        <w:tc>
          <w:tcPr>
            <w:tcW w:w="1035" w:type="dxa"/>
            <w:tcBorders>
              <w:top w:val="nil"/>
              <w:left w:val="nil"/>
              <w:bottom w:val="single" w:sz="4" w:space="0" w:color="auto"/>
              <w:right w:val="single" w:sz="4" w:space="0" w:color="auto"/>
            </w:tcBorders>
            <w:shd w:val="clear" w:color="auto" w:fill="auto"/>
            <w:noWrap/>
          </w:tcPr>
          <w:p w14:paraId="4097FEA1" w14:textId="67F617E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36.218 </w:t>
            </w:r>
          </w:p>
        </w:tc>
        <w:tc>
          <w:tcPr>
            <w:tcW w:w="891" w:type="dxa"/>
            <w:tcBorders>
              <w:top w:val="nil"/>
              <w:left w:val="nil"/>
              <w:bottom w:val="single" w:sz="4" w:space="0" w:color="auto"/>
              <w:right w:val="single" w:sz="4" w:space="0" w:color="auto"/>
            </w:tcBorders>
            <w:shd w:val="clear" w:color="auto" w:fill="auto"/>
            <w:noWrap/>
          </w:tcPr>
          <w:p w14:paraId="22104EF1" w14:textId="670102E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8.021 </w:t>
            </w:r>
          </w:p>
        </w:tc>
        <w:tc>
          <w:tcPr>
            <w:tcW w:w="952" w:type="dxa"/>
            <w:tcBorders>
              <w:top w:val="nil"/>
              <w:left w:val="nil"/>
              <w:bottom w:val="single" w:sz="4" w:space="0" w:color="auto"/>
              <w:right w:val="single" w:sz="4" w:space="0" w:color="auto"/>
            </w:tcBorders>
            <w:shd w:val="clear" w:color="auto" w:fill="auto"/>
            <w:noWrap/>
          </w:tcPr>
          <w:p w14:paraId="66B12EF8" w14:textId="2CD8C13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4.640 </w:t>
            </w:r>
          </w:p>
        </w:tc>
        <w:tc>
          <w:tcPr>
            <w:tcW w:w="992" w:type="dxa"/>
            <w:tcBorders>
              <w:top w:val="nil"/>
              <w:left w:val="nil"/>
              <w:bottom w:val="single" w:sz="4" w:space="0" w:color="auto"/>
              <w:right w:val="single" w:sz="4" w:space="0" w:color="auto"/>
            </w:tcBorders>
            <w:shd w:val="clear" w:color="auto" w:fill="auto"/>
            <w:noWrap/>
          </w:tcPr>
          <w:p w14:paraId="3663BB82" w14:textId="1279336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48.879 </w:t>
            </w:r>
          </w:p>
        </w:tc>
      </w:tr>
      <w:tr w:rsidR="0066388E" w:rsidRPr="00E715D6" w14:paraId="5C5FF53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A7EAC3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w:t>
            </w:r>
          </w:p>
        </w:tc>
        <w:tc>
          <w:tcPr>
            <w:tcW w:w="5060" w:type="dxa"/>
            <w:tcBorders>
              <w:top w:val="nil"/>
              <w:left w:val="nil"/>
              <w:bottom w:val="single" w:sz="4" w:space="0" w:color="auto"/>
              <w:right w:val="single" w:sz="4" w:space="0" w:color="auto"/>
            </w:tcBorders>
            <w:shd w:val="clear" w:color="auto" w:fill="auto"/>
            <w:noWrap/>
            <w:vAlign w:val="bottom"/>
            <w:hideMark/>
          </w:tcPr>
          <w:p w14:paraId="08A2298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220-&gt;Chena 220</w:t>
            </w:r>
          </w:p>
        </w:tc>
        <w:tc>
          <w:tcPr>
            <w:tcW w:w="1035" w:type="dxa"/>
            <w:tcBorders>
              <w:top w:val="nil"/>
              <w:left w:val="nil"/>
              <w:bottom w:val="single" w:sz="4" w:space="0" w:color="auto"/>
              <w:right w:val="single" w:sz="4" w:space="0" w:color="auto"/>
            </w:tcBorders>
            <w:shd w:val="clear" w:color="auto" w:fill="auto"/>
            <w:noWrap/>
          </w:tcPr>
          <w:p w14:paraId="501FEE91" w14:textId="4EB5906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1.199.012 </w:t>
            </w:r>
          </w:p>
        </w:tc>
        <w:tc>
          <w:tcPr>
            <w:tcW w:w="891" w:type="dxa"/>
            <w:tcBorders>
              <w:top w:val="nil"/>
              <w:left w:val="nil"/>
              <w:bottom w:val="single" w:sz="4" w:space="0" w:color="auto"/>
              <w:right w:val="single" w:sz="4" w:space="0" w:color="auto"/>
            </w:tcBorders>
            <w:shd w:val="clear" w:color="auto" w:fill="auto"/>
            <w:noWrap/>
          </w:tcPr>
          <w:p w14:paraId="7410184C" w14:textId="267233D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226.615 </w:t>
            </w:r>
          </w:p>
        </w:tc>
        <w:tc>
          <w:tcPr>
            <w:tcW w:w="952" w:type="dxa"/>
            <w:tcBorders>
              <w:top w:val="nil"/>
              <w:left w:val="nil"/>
              <w:bottom w:val="single" w:sz="4" w:space="0" w:color="auto"/>
              <w:right w:val="single" w:sz="4" w:space="0" w:color="auto"/>
            </w:tcBorders>
            <w:shd w:val="clear" w:color="auto" w:fill="auto"/>
            <w:noWrap/>
          </w:tcPr>
          <w:p w14:paraId="288123D5" w14:textId="063B5FD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256.179 </w:t>
            </w:r>
          </w:p>
        </w:tc>
        <w:tc>
          <w:tcPr>
            <w:tcW w:w="992" w:type="dxa"/>
            <w:tcBorders>
              <w:top w:val="nil"/>
              <w:left w:val="nil"/>
              <w:bottom w:val="single" w:sz="4" w:space="0" w:color="auto"/>
              <w:right w:val="single" w:sz="4" w:space="0" w:color="auto"/>
            </w:tcBorders>
            <w:shd w:val="clear" w:color="auto" w:fill="auto"/>
            <w:noWrap/>
          </w:tcPr>
          <w:p w14:paraId="7D485E8B" w14:textId="2ED8F02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1.681.806 </w:t>
            </w:r>
          </w:p>
        </w:tc>
      </w:tr>
      <w:tr w:rsidR="0066388E" w:rsidRPr="00E715D6" w14:paraId="1F5E2C0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4FA04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w:t>
            </w:r>
          </w:p>
        </w:tc>
        <w:tc>
          <w:tcPr>
            <w:tcW w:w="5060" w:type="dxa"/>
            <w:tcBorders>
              <w:top w:val="nil"/>
              <w:left w:val="nil"/>
              <w:bottom w:val="single" w:sz="4" w:space="0" w:color="auto"/>
              <w:right w:val="single" w:sz="4" w:space="0" w:color="auto"/>
            </w:tcBorders>
            <w:shd w:val="clear" w:color="auto" w:fill="auto"/>
            <w:noWrap/>
            <w:vAlign w:val="bottom"/>
            <w:hideMark/>
          </w:tcPr>
          <w:p w14:paraId="51C5182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220-&gt;Los Almendros 220</w:t>
            </w:r>
          </w:p>
        </w:tc>
        <w:tc>
          <w:tcPr>
            <w:tcW w:w="1035" w:type="dxa"/>
            <w:tcBorders>
              <w:top w:val="nil"/>
              <w:left w:val="nil"/>
              <w:bottom w:val="single" w:sz="4" w:space="0" w:color="auto"/>
              <w:right w:val="single" w:sz="4" w:space="0" w:color="auto"/>
            </w:tcBorders>
            <w:shd w:val="clear" w:color="auto" w:fill="auto"/>
            <w:noWrap/>
          </w:tcPr>
          <w:p w14:paraId="113BEE14" w14:textId="53811C3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2.288.334 </w:t>
            </w:r>
          </w:p>
        </w:tc>
        <w:tc>
          <w:tcPr>
            <w:tcW w:w="891" w:type="dxa"/>
            <w:tcBorders>
              <w:top w:val="nil"/>
              <w:left w:val="nil"/>
              <w:bottom w:val="single" w:sz="4" w:space="0" w:color="auto"/>
              <w:right w:val="single" w:sz="4" w:space="0" w:color="auto"/>
            </w:tcBorders>
            <w:shd w:val="clear" w:color="auto" w:fill="auto"/>
            <w:noWrap/>
          </w:tcPr>
          <w:p w14:paraId="4329364E" w14:textId="1B238DD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313.128 </w:t>
            </w:r>
          </w:p>
        </w:tc>
        <w:tc>
          <w:tcPr>
            <w:tcW w:w="952" w:type="dxa"/>
            <w:tcBorders>
              <w:top w:val="nil"/>
              <w:left w:val="nil"/>
              <w:bottom w:val="single" w:sz="4" w:space="0" w:color="auto"/>
              <w:right w:val="single" w:sz="4" w:space="0" w:color="auto"/>
            </w:tcBorders>
            <w:shd w:val="clear" w:color="auto" w:fill="auto"/>
            <w:noWrap/>
          </w:tcPr>
          <w:p w14:paraId="1F151B4A" w14:textId="3E047B1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571.004 </w:t>
            </w:r>
          </w:p>
        </w:tc>
        <w:tc>
          <w:tcPr>
            <w:tcW w:w="992" w:type="dxa"/>
            <w:tcBorders>
              <w:top w:val="nil"/>
              <w:left w:val="nil"/>
              <w:bottom w:val="single" w:sz="4" w:space="0" w:color="auto"/>
              <w:right w:val="single" w:sz="4" w:space="0" w:color="auto"/>
            </w:tcBorders>
            <w:shd w:val="clear" w:color="auto" w:fill="auto"/>
            <w:noWrap/>
          </w:tcPr>
          <w:p w14:paraId="07C4AE44" w14:textId="4CF31E5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3.172.466 </w:t>
            </w:r>
          </w:p>
        </w:tc>
      </w:tr>
      <w:tr w:rsidR="0066388E" w:rsidRPr="00E715D6" w14:paraId="3AF3001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ACB499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w:t>
            </w:r>
          </w:p>
        </w:tc>
        <w:tc>
          <w:tcPr>
            <w:tcW w:w="5060" w:type="dxa"/>
            <w:tcBorders>
              <w:top w:val="nil"/>
              <w:left w:val="nil"/>
              <w:bottom w:val="single" w:sz="4" w:space="0" w:color="auto"/>
              <w:right w:val="single" w:sz="4" w:space="0" w:color="auto"/>
            </w:tcBorders>
            <w:shd w:val="clear" w:color="auto" w:fill="auto"/>
            <w:noWrap/>
            <w:vAlign w:val="bottom"/>
            <w:hideMark/>
          </w:tcPr>
          <w:p w14:paraId="63D382F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220-&gt;Maipo 220</w:t>
            </w:r>
          </w:p>
        </w:tc>
        <w:tc>
          <w:tcPr>
            <w:tcW w:w="1035" w:type="dxa"/>
            <w:tcBorders>
              <w:top w:val="nil"/>
              <w:left w:val="nil"/>
              <w:bottom w:val="single" w:sz="4" w:space="0" w:color="auto"/>
              <w:right w:val="single" w:sz="4" w:space="0" w:color="auto"/>
            </w:tcBorders>
            <w:shd w:val="clear" w:color="auto" w:fill="auto"/>
            <w:noWrap/>
          </w:tcPr>
          <w:p w14:paraId="44543ED5" w14:textId="25DFA22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144.387 </w:t>
            </w:r>
          </w:p>
        </w:tc>
        <w:tc>
          <w:tcPr>
            <w:tcW w:w="891" w:type="dxa"/>
            <w:tcBorders>
              <w:top w:val="nil"/>
              <w:left w:val="nil"/>
              <w:bottom w:val="single" w:sz="4" w:space="0" w:color="auto"/>
              <w:right w:val="single" w:sz="4" w:space="0" w:color="auto"/>
            </w:tcBorders>
            <w:shd w:val="clear" w:color="auto" w:fill="auto"/>
            <w:noWrap/>
          </w:tcPr>
          <w:p w14:paraId="6EFB49F1" w14:textId="0F5DAFD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21.232 </w:t>
            </w:r>
          </w:p>
        </w:tc>
        <w:tc>
          <w:tcPr>
            <w:tcW w:w="952" w:type="dxa"/>
            <w:tcBorders>
              <w:top w:val="nil"/>
              <w:left w:val="nil"/>
              <w:bottom w:val="single" w:sz="4" w:space="0" w:color="auto"/>
              <w:right w:val="single" w:sz="4" w:space="0" w:color="auto"/>
            </w:tcBorders>
            <w:shd w:val="clear" w:color="auto" w:fill="auto"/>
            <w:noWrap/>
          </w:tcPr>
          <w:p w14:paraId="39509737" w14:textId="183022A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19.727 </w:t>
            </w:r>
          </w:p>
        </w:tc>
        <w:tc>
          <w:tcPr>
            <w:tcW w:w="992" w:type="dxa"/>
            <w:tcBorders>
              <w:top w:val="nil"/>
              <w:left w:val="nil"/>
              <w:bottom w:val="single" w:sz="4" w:space="0" w:color="auto"/>
              <w:right w:val="single" w:sz="4" w:space="0" w:color="auto"/>
            </w:tcBorders>
            <w:shd w:val="clear" w:color="auto" w:fill="auto"/>
            <w:noWrap/>
          </w:tcPr>
          <w:p w14:paraId="63C5EBC6" w14:textId="09AF109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185.346 </w:t>
            </w:r>
          </w:p>
        </w:tc>
      </w:tr>
      <w:tr w:rsidR="0066388E" w:rsidRPr="00E715D6" w14:paraId="194F498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7585C0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w:t>
            </w:r>
          </w:p>
        </w:tc>
        <w:tc>
          <w:tcPr>
            <w:tcW w:w="5060" w:type="dxa"/>
            <w:tcBorders>
              <w:top w:val="nil"/>
              <w:left w:val="nil"/>
              <w:bottom w:val="single" w:sz="4" w:space="0" w:color="auto"/>
              <w:right w:val="single" w:sz="4" w:space="0" w:color="auto"/>
            </w:tcBorders>
            <w:shd w:val="clear" w:color="auto" w:fill="auto"/>
            <w:noWrap/>
            <w:vAlign w:val="bottom"/>
            <w:hideMark/>
          </w:tcPr>
          <w:p w14:paraId="33CF96A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220-&gt;Tap Central Santa Marta 220</w:t>
            </w:r>
          </w:p>
        </w:tc>
        <w:tc>
          <w:tcPr>
            <w:tcW w:w="1035" w:type="dxa"/>
            <w:tcBorders>
              <w:top w:val="nil"/>
              <w:left w:val="nil"/>
              <w:bottom w:val="single" w:sz="4" w:space="0" w:color="auto"/>
              <w:right w:val="single" w:sz="4" w:space="0" w:color="auto"/>
            </w:tcBorders>
            <w:shd w:val="clear" w:color="auto" w:fill="auto"/>
            <w:noWrap/>
          </w:tcPr>
          <w:p w14:paraId="3DD2F575" w14:textId="1C1BCD6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306.848 </w:t>
            </w:r>
          </w:p>
        </w:tc>
        <w:tc>
          <w:tcPr>
            <w:tcW w:w="891" w:type="dxa"/>
            <w:tcBorders>
              <w:top w:val="nil"/>
              <w:left w:val="nil"/>
              <w:bottom w:val="single" w:sz="4" w:space="0" w:color="auto"/>
              <w:right w:val="single" w:sz="4" w:space="0" w:color="auto"/>
            </w:tcBorders>
            <w:shd w:val="clear" w:color="auto" w:fill="auto"/>
            <w:noWrap/>
          </w:tcPr>
          <w:p w14:paraId="611F6836" w14:textId="71A4389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52.952 </w:t>
            </w:r>
          </w:p>
        </w:tc>
        <w:tc>
          <w:tcPr>
            <w:tcW w:w="952" w:type="dxa"/>
            <w:tcBorders>
              <w:top w:val="nil"/>
              <w:left w:val="nil"/>
              <w:bottom w:val="single" w:sz="4" w:space="0" w:color="auto"/>
              <w:right w:val="single" w:sz="4" w:space="0" w:color="auto"/>
            </w:tcBorders>
            <w:shd w:val="clear" w:color="auto" w:fill="auto"/>
            <w:noWrap/>
          </w:tcPr>
          <w:p w14:paraId="0CEDD03D" w14:textId="441B03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73.154 </w:t>
            </w:r>
          </w:p>
        </w:tc>
        <w:tc>
          <w:tcPr>
            <w:tcW w:w="992" w:type="dxa"/>
            <w:tcBorders>
              <w:top w:val="nil"/>
              <w:left w:val="nil"/>
              <w:bottom w:val="single" w:sz="4" w:space="0" w:color="auto"/>
              <w:right w:val="single" w:sz="4" w:space="0" w:color="auto"/>
            </w:tcBorders>
            <w:shd w:val="clear" w:color="auto" w:fill="auto"/>
            <w:noWrap/>
          </w:tcPr>
          <w:p w14:paraId="1A5A67DD" w14:textId="5B5FEE2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432.954 </w:t>
            </w:r>
          </w:p>
        </w:tc>
      </w:tr>
      <w:tr w:rsidR="0066388E" w:rsidRPr="00E715D6" w14:paraId="56192B5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1C3808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w:t>
            </w:r>
          </w:p>
        </w:tc>
        <w:tc>
          <w:tcPr>
            <w:tcW w:w="5060" w:type="dxa"/>
            <w:tcBorders>
              <w:top w:val="nil"/>
              <w:left w:val="nil"/>
              <w:bottom w:val="single" w:sz="4" w:space="0" w:color="auto"/>
              <w:right w:val="single" w:sz="4" w:space="0" w:color="auto"/>
            </w:tcBorders>
            <w:shd w:val="clear" w:color="auto" w:fill="auto"/>
            <w:noWrap/>
            <w:vAlign w:val="bottom"/>
            <w:hideMark/>
          </w:tcPr>
          <w:p w14:paraId="14268A6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Alto Jahuel 500-&gt;Ancoa 500</w:t>
            </w:r>
          </w:p>
        </w:tc>
        <w:tc>
          <w:tcPr>
            <w:tcW w:w="1035" w:type="dxa"/>
            <w:tcBorders>
              <w:top w:val="nil"/>
              <w:left w:val="nil"/>
              <w:bottom w:val="single" w:sz="4" w:space="0" w:color="auto"/>
              <w:right w:val="single" w:sz="4" w:space="0" w:color="auto"/>
            </w:tcBorders>
            <w:shd w:val="clear" w:color="auto" w:fill="auto"/>
            <w:noWrap/>
          </w:tcPr>
          <w:p w14:paraId="259805E2" w14:textId="0A3F26E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22.763.449 </w:t>
            </w:r>
          </w:p>
        </w:tc>
        <w:tc>
          <w:tcPr>
            <w:tcW w:w="891" w:type="dxa"/>
            <w:tcBorders>
              <w:top w:val="nil"/>
              <w:left w:val="nil"/>
              <w:bottom w:val="single" w:sz="4" w:space="0" w:color="auto"/>
              <w:right w:val="single" w:sz="4" w:space="0" w:color="auto"/>
            </w:tcBorders>
            <w:shd w:val="clear" w:color="auto" w:fill="auto"/>
            <w:noWrap/>
          </w:tcPr>
          <w:p w14:paraId="542663A0" w14:textId="33C5421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3.031.398 </w:t>
            </w:r>
          </w:p>
        </w:tc>
        <w:tc>
          <w:tcPr>
            <w:tcW w:w="952" w:type="dxa"/>
            <w:tcBorders>
              <w:top w:val="nil"/>
              <w:left w:val="nil"/>
              <w:bottom w:val="single" w:sz="4" w:space="0" w:color="auto"/>
              <w:right w:val="single" w:sz="4" w:space="0" w:color="auto"/>
            </w:tcBorders>
            <w:shd w:val="clear" w:color="auto" w:fill="auto"/>
            <w:noWrap/>
          </w:tcPr>
          <w:p w14:paraId="5FC8D7A0" w14:textId="3186419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4.429.929 </w:t>
            </w:r>
          </w:p>
        </w:tc>
        <w:tc>
          <w:tcPr>
            <w:tcW w:w="992" w:type="dxa"/>
            <w:tcBorders>
              <w:top w:val="nil"/>
              <w:left w:val="nil"/>
              <w:bottom w:val="single" w:sz="4" w:space="0" w:color="auto"/>
              <w:right w:val="single" w:sz="4" w:space="0" w:color="auto"/>
            </w:tcBorders>
            <w:shd w:val="clear" w:color="auto" w:fill="auto"/>
            <w:noWrap/>
          </w:tcPr>
          <w:p w14:paraId="3705018C" w14:textId="068EABF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30.224.777 </w:t>
            </w:r>
          </w:p>
        </w:tc>
      </w:tr>
      <w:tr w:rsidR="0066388E" w:rsidRPr="00E715D6" w14:paraId="3A35CDB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EA01CB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w:t>
            </w:r>
          </w:p>
        </w:tc>
        <w:tc>
          <w:tcPr>
            <w:tcW w:w="5060" w:type="dxa"/>
            <w:tcBorders>
              <w:top w:val="nil"/>
              <w:left w:val="nil"/>
              <w:bottom w:val="single" w:sz="4" w:space="0" w:color="auto"/>
              <w:right w:val="single" w:sz="4" w:space="0" w:color="auto"/>
            </w:tcBorders>
            <w:shd w:val="clear" w:color="auto" w:fill="auto"/>
            <w:noWrap/>
            <w:vAlign w:val="bottom"/>
            <w:hideMark/>
          </w:tcPr>
          <w:p w14:paraId="7F7990B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Ancoa 220-&gt;Ancoa 500</w:t>
            </w:r>
          </w:p>
        </w:tc>
        <w:tc>
          <w:tcPr>
            <w:tcW w:w="1035" w:type="dxa"/>
            <w:tcBorders>
              <w:top w:val="nil"/>
              <w:left w:val="nil"/>
              <w:bottom w:val="single" w:sz="4" w:space="0" w:color="auto"/>
              <w:right w:val="single" w:sz="4" w:space="0" w:color="auto"/>
            </w:tcBorders>
            <w:shd w:val="clear" w:color="auto" w:fill="auto"/>
            <w:noWrap/>
          </w:tcPr>
          <w:p w14:paraId="75B16ADC" w14:textId="2A67534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641.574 </w:t>
            </w:r>
          </w:p>
        </w:tc>
        <w:tc>
          <w:tcPr>
            <w:tcW w:w="891" w:type="dxa"/>
            <w:tcBorders>
              <w:top w:val="nil"/>
              <w:left w:val="nil"/>
              <w:bottom w:val="single" w:sz="4" w:space="0" w:color="auto"/>
              <w:right w:val="single" w:sz="4" w:space="0" w:color="auto"/>
            </w:tcBorders>
            <w:shd w:val="clear" w:color="auto" w:fill="auto"/>
            <w:noWrap/>
          </w:tcPr>
          <w:p w14:paraId="325D648C" w14:textId="58F3C2D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87.640 </w:t>
            </w:r>
          </w:p>
        </w:tc>
        <w:tc>
          <w:tcPr>
            <w:tcW w:w="952" w:type="dxa"/>
            <w:tcBorders>
              <w:top w:val="nil"/>
              <w:left w:val="nil"/>
              <w:bottom w:val="single" w:sz="4" w:space="0" w:color="auto"/>
              <w:right w:val="single" w:sz="4" w:space="0" w:color="auto"/>
            </w:tcBorders>
            <w:shd w:val="clear" w:color="auto" w:fill="auto"/>
            <w:noWrap/>
          </w:tcPr>
          <w:p w14:paraId="43E7149E" w14:textId="1A873E8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73.857 </w:t>
            </w:r>
          </w:p>
        </w:tc>
        <w:tc>
          <w:tcPr>
            <w:tcW w:w="992" w:type="dxa"/>
            <w:tcBorders>
              <w:top w:val="nil"/>
              <w:left w:val="nil"/>
              <w:bottom w:val="single" w:sz="4" w:space="0" w:color="auto"/>
              <w:right w:val="single" w:sz="4" w:space="0" w:color="auto"/>
            </w:tcBorders>
            <w:shd w:val="clear" w:color="auto" w:fill="auto"/>
            <w:noWrap/>
          </w:tcPr>
          <w:p w14:paraId="130ECF5D" w14:textId="5175806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803.070 </w:t>
            </w:r>
          </w:p>
        </w:tc>
      </w:tr>
      <w:tr w:rsidR="0066388E" w:rsidRPr="00E715D6" w14:paraId="2CFE6CA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D21E8C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w:t>
            </w:r>
          </w:p>
        </w:tc>
        <w:tc>
          <w:tcPr>
            <w:tcW w:w="5060" w:type="dxa"/>
            <w:tcBorders>
              <w:top w:val="nil"/>
              <w:left w:val="nil"/>
              <w:bottom w:val="single" w:sz="4" w:space="0" w:color="auto"/>
              <w:right w:val="single" w:sz="4" w:space="0" w:color="auto"/>
            </w:tcBorders>
            <w:shd w:val="clear" w:color="auto" w:fill="auto"/>
            <w:noWrap/>
            <w:vAlign w:val="bottom"/>
            <w:hideMark/>
          </w:tcPr>
          <w:p w14:paraId="58EB16F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Ancoa 220-&gt;Colbun 220</w:t>
            </w:r>
          </w:p>
        </w:tc>
        <w:tc>
          <w:tcPr>
            <w:tcW w:w="1035" w:type="dxa"/>
            <w:tcBorders>
              <w:top w:val="nil"/>
              <w:left w:val="nil"/>
              <w:bottom w:val="single" w:sz="4" w:space="0" w:color="auto"/>
              <w:right w:val="single" w:sz="4" w:space="0" w:color="auto"/>
            </w:tcBorders>
            <w:shd w:val="clear" w:color="auto" w:fill="auto"/>
            <w:noWrap/>
          </w:tcPr>
          <w:p w14:paraId="4DDC0BCB" w14:textId="23CBC9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24.827 </w:t>
            </w:r>
          </w:p>
        </w:tc>
        <w:tc>
          <w:tcPr>
            <w:tcW w:w="891" w:type="dxa"/>
            <w:tcBorders>
              <w:top w:val="nil"/>
              <w:left w:val="nil"/>
              <w:bottom w:val="single" w:sz="4" w:space="0" w:color="auto"/>
              <w:right w:val="single" w:sz="4" w:space="0" w:color="auto"/>
            </w:tcBorders>
            <w:shd w:val="clear" w:color="auto" w:fill="auto"/>
            <w:noWrap/>
          </w:tcPr>
          <w:p w14:paraId="0DBD4856" w14:textId="5BF79A8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10.158 </w:t>
            </w:r>
          </w:p>
        </w:tc>
        <w:tc>
          <w:tcPr>
            <w:tcW w:w="952" w:type="dxa"/>
            <w:tcBorders>
              <w:top w:val="nil"/>
              <w:left w:val="nil"/>
              <w:bottom w:val="single" w:sz="4" w:space="0" w:color="auto"/>
              <w:right w:val="single" w:sz="4" w:space="0" w:color="auto"/>
            </w:tcBorders>
            <w:shd w:val="clear" w:color="auto" w:fill="auto"/>
            <w:noWrap/>
          </w:tcPr>
          <w:p w14:paraId="318CB9B3" w14:textId="44EFB59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3.088 </w:t>
            </w:r>
          </w:p>
        </w:tc>
        <w:tc>
          <w:tcPr>
            <w:tcW w:w="992" w:type="dxa"/>
            <w:tcBorders>
              <w:top w:val="nil"/>
              <w:left w:val="nil"/>
              <w:bottom w:val="single" w:sz="4" w:space="0" w:color="auto"/>
              <w:right w:val="single" w:sz="4" w:space="0" w:color="auto"/>
            </w:tcBorders>
            <w:shd w:val="clear" w:color="auto" w:fill="auto"/>
            <w:noWrap/>
          </w:tcPr>
          <w:p w14:paraId="7EBCD32D" w14:textId="3B160A1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38.073 </w:t>
            </w:r>
          </w:p>
        </w:tc>
      </w:tr>
      <w:tr w:rsidR="0066388E" w:rsidRPr="00E715D6" w14:paraId="3BEC012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79BB7C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w:t>
            </w:r>
          </w:p>
        </w:tc>
        <w:tc>
          <w:tcPr>
            <w:tcW w:w="5060" w:type="dxa"/>
            <w:tcBorders>
              <w:top w:val="nil"/>
              <w:left w:val="nil"/>
              <w:bottom w:val="single" w:sz="4" w:space="0" w:color="auto"/>
              <w:right w:val="single" w:sz="4" w:space="0" w:color="auto"/>
            </w:tcBorders>
            <w:shd w:val="clear" w:color="auto" w:fill="auto"/>
            <w:noWrap/>
            <w:vAlign w:val="bottom"/>
            <w:hideMark/>
          </w:tcPr>
          <w:p w14:paraId="6BE56CE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Ancoa 220-&gt;Itahue 220</w:t>
            </w:r>
          </w:p>
        </w:tc>
        <w:tc>
          <w:tcPr>
            <w:tcW w:w="1035" w:type="dxa"/>
            <w:tcBorders>
              <w:top w:val="nil"/>
              <w:left w:val="nil"/>
              <w:bottom w:val="single" w:sz="4" w:space="0" w:color="auto"/>
              <w:right w:val="single" w:sz="4" w:space="0" w:color="auto"/>
            </w:tcBorders>
            <w:shd w:val="clear" w:color="auto" w:fill="auto"/>
            <w:noWrap/>
          </w:tcPr>
          <w:p w14:paraId="5B90F666" w14:textId="578E02F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1.016.303 </w:t>
            </w:r>
          </w:p>
        </w:tc>
        <w:tc>
          <w:tcPr>
            <w:tcW w:w="891" w:type="dxa"/>
            <w:tcBorders>
              <w:top w:val="nil"/>
              <w:left w:val="nil"/>
              <w:bottom w:val="single" w:sz="4" w:space="0" w:color="auto"/>
              <w:right w:val="single" w:sz="4" w:space="0" w:color="auto"/>
            </w:tcBorders>
            <w:shd w:val="clear" w:color="auto" w:fill="auto"/>
            <w:noWrap/>
          </w:tcPr>
          <w:p w14:paraId="63497E58" w14:textId="7E14020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215.608 </w:t>
            </w:r>
          </w:p>
        </w:tc>
        <w:tc>
          <w:tcPr>
            <w:tcW w:w="952" w:type="dxa"/>
            <w:tcBorders>
              <w:top w:val="nil"/>
              <w:left w:val="nil"/>
              <w:bottom w:val="single" w:sz="4" w:space="0" w:color="auto"/>
              <w:right w:val="single" w:sz="4" w:space="0" w:color="auto"/>
            </w:tcBorders>
            <w:shd w:val="clear" w:color="auto" w:fill="auto"/>
            <w:noWrap/>
          </w:tcPr>
          <w:p w14:paraId="1580E743" w14:textId="609E0FD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201.781 </w:t>
            </w:r>
          </w:p>
        </w:tc>
        <w:tc>
          <w:tcPr>
            <w:tcW w:w="992" w:type="dxa"/>
            <w:tcBorders>
              <w:top w:val="nil"/>
              <w:left w:val="nil"/>
              <w:bottom w:val="single" w:sz="4" w:space="0" w:color="auto"/>
              <w:right w:val="single" w:sz="4" w:space="0" w:color="auto"/>
            </w:tcBorders>
            <w:shd w:val="clear" w:color="auto" w:fill="auto"/>
            <w:noWrap/>
          </w:tcPr>
          <w:p w14:paraId="0D34C165" w14:textId="2AD2BAE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1.433.692 </w:t>
            </w:r>
          </w:p>
        </w:tc>
      </w:tr>
      <w:tr w:rsidR="0066388E" w:rsidRPr="00E715D6" w14:paraId="6148B58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F6121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w:t>
            </w:r>
          </w:p>
        </w:tc>
        <w:tc>
          <w:tcPr>
            <w:tcW w:w="5060" w:type="dxa"/>
            <w:tcBorders>
              <w:top w:val="nil"/>
              <w:left w:val="nil"/>
              <w:bottom w:val="single" w:sz="4" w:space="0" w:color="auto"/>
              <w:right w:val="single" w:sz="4" w:space="0" w:color="auto"/>
            </w:tcBorders>
            <w:shd w:val="clear" w:color="auto" w:fill="auto"/>
            <w:noWrap/>
            <w:vAlign w:val="bottom"/>
            <w:hideMark/>
          </w:tcPr>
          <w:p w14:paraId="66219230" w14:textId="77777777" w:rsidR="0066388E" w:rsidRPr="002237F2" w:rsidRDefault="0066388E" w:rsidP="0066388E">
            <w:pPr>
              <w:spacing w:after="0" w:line="240" w:lineRule="auto"/>
              <w:jc w:val="left"/>
              <w:rPr>
                <w:rFonts w:asciiTheme="minorHAnsi" w:eastAsia="Times New Roman" w:hAnsiTheme="minorHAnsi" w:cstheme="minorHAnsi"/>
                <w:color w:val="000000"/>
                <w:sz w:val="18"/>
                <w:szCs w:val="18"/>
                <w:lang w:val="en-US" w:eastAsia="es-CL"/>
              </w:rPr>
            </w:pPr>
            <w:r w:rsidRPr="002237F2">
              <w:rPr>
                <w:rFonts w:asciiTheme="minorHAnsi" w:eastAsia="Times New Roman" w:hAnsiTheme="minorHAnsi" w:cstheme="minorHAnsi"/>
                <w:color w:val="000000"/>
                <w:sz w:val="18"/>
                <w:szCs w:val="18"/>
                <w:lang w:val="en-US" w:eastAsia="es-CL"/>
              </w:rPr>
              <w:t>Ancoa 220-&gt;Tap Off Santa Isabel 220</w:t>
            </w:r>
          </w:p>
        </w:tc>
        <w:tc>
          <w:tcPr>
            <w:tcW w:w="1035" w:type="dxa"/>
            <w:tcBorders>
              <w:top w:val="nil"/>
              <w:left w:val="nil"/>
              <w:bottom w:val="single" w:sz="4" w:space="0" w:color="auto"/>
              <w:right w:val="single" w:sz="4" w:space="0" w:color="auto"/>
            </w:tcBorders>
            <w:shd w:val="clear" w:color="auto" w:fill="auto"/>
            <w:noWrap/>
          </w:tcPr>
          <w:p w14:paraId="30F2295C" w14:textId="7158AC78" w:rsidR="0066388E" w:rsidRPr="0066388E" w:rsidRDefault="0066388E" w:rsidP="0066388E">
            <w:pPr>
              <w:rPr>
                <w:rFonts w:asciiTheme="minorHAnsi" w:hAnsiTheme="minorHAnsi" w:cstheme="minorHAnsi"/>
                <w:sz w:val="20"/>
                <w:szCs w:val="20"/>
              </w:rPr>
            </w:pPr>
            <w:r w:rsidRPr="00C83B06">
              <w:rPr>
                <w:rFonts w:asciiTheme="minorHAnsi" w:hAnsiTheme="minorHAnsi" w:cstheme="minorHAnsi"/>
                <w:sz w:val="20"/>
                <w:szCs w:val="20"/>
                <w:lang w:val="en-US"/>
              </w:rPr>
              <w:t xml:space="preserve"> </w:t>
            </w:r>
            <w:r w:rsidRPr="0066388E">
              <w:rPr>
                <w:rFonts w:asciiTheme="minorHAnsi" w:hAnsiTheme="minorHAnsi" w:cstheme="minorHAnsi"/>
                <w:sz w:val="20"/>
                <w:szCs w:val="20"/>
              </w:rPr>
              <w:t xml:space="preserve">433.114 </w:t>
            </w:r>
          </w:p>
        </w:tc>
        <w:tc>
          <w:tcPr>
            <w:tcW w:w="891" w:type="dxa"/>
            <w:tcBorders>
              <w:top w:val="nil"/>
              <w:left w:val="nil"/>
              <w:bottom w:val="single" w:sz="4" w:space="0" w:color="auto"/>
              <w:right w:val="single" w:sz="4" w:space="0" w:color="auto"/>
            </w:tcBorders>
            <w:shd w:val="clear" w:color="auto" w:fill="auto"/>
            <w:noWrap/>
          </w:tcPr>
          <w:p w14:paraId="552973CE" w14:textId="71DD6A2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196.864 </w:t>
            </w:r>
          </w:p>
        </w:tc>
        <w:tc>
          <w:tcPr>
            <w:tcW w:w="952" w:type="dxa"/>
            <w:tcBorders>
              <w:top w:val="nil"/>
              <w:left w:val="nil"/>
              <w:bottom w:val="single" w:sz="4" w:space="0" w:color="auto"/>
              <w:right w:val="single" w:sz="4" w:space="0" w:color="auto"/>
            </w:tcBorders>
            <w:shd w:val="clear" w:color="auto" w:fill="auto"/>
            <w:noWrap/>
          </w:tcPr>
          <w:p w14:paraId="324C8752" w14:textId="563E766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88.112 </w:t>
            </w:r>
          </w:p>
        </w:tc>
        <w:tc>
          <w:tcPr>
            <w:tcW w:w="992" w:type="dxa"/>
            <w:tcBorders>
              <w:top w:val="nil"/>
              <w:left w:val="nil"/>
              <w:bottom w:val="single" w:sz="4" w:space="0" w:color="auto"/>
              <w:right w:val="single" w:sz="4" w:space="0" w:color="auto"/>
            </w:tcBorders>
            <w:shd w:val="clear" w:color="auto" w:fill="auto"/>
            <w:noWrap/>
          </w:tcPr>
          <w:p w14:paraId="3CF01454" w14:textId="3550CFE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718.090 </w:t>
            </w:r>
          </w:p>
        </w:tc>
      </w:tr>
      <w:tr w:rsidR="0066388E" w:rsidRPr="00E715D6" w14:paraId="360F9C6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D69D6A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w:t>
            </w:r>
          </w:p>
        </w:tc>
        <w:tc>
          <w:tcPr>
            <w:tcW w:w="5060" w:type="dxa"/>
            <w:tcBorders>
              <w:top w:val="nil"/>
              <w:left w:val="nil"/>
              <w:bottom w:val="single" w:sz="4" w:space="0" w:color="auto"/>
              <w:right w:val="single" w:sz="4" w:space="0" w:color="auto"/>
            </w:tcBorders>
            <w:shd w:val="clear" w:color="auto" w:fill="auto"/>
            <w:noWrap/>
            <w:vAlign w:val="bottom"/>
            <w:hideMark/>
          </w:tcPr>
          <w:p w14:paraId="205CF59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Ancoa 500-&gt;Charrua 500</w:t>
            </w:r>
          </w:p>
        </w:tc>
        <w:tc>
          <w:tcPr>
            <w:tcW w:w="1035" w:type="dxa"/>
            <w:tcBorders>
              <w:top w:val="nil"/>
              <w:left w:val="nil"/>
              <w:bottom w:val="single" w:sz="4" w:space="0" w:color="auto"/>
              <w:right w:val="single" w:sz="4" w:space="0" w:color="auto"/>
            </w:tcBorders>
            <w:shd w:val="clear" w:color="auto" w:fill="auto"/>
            <w:noWrap/>
          </w:tcPr>
          <w:p w14:paraId="2945DCA0" w14:textId="7844377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782D9FE4" w14:textId="6C0FCD2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095BEFC2" w14:textId="353F438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270997C1" w14:textId="570ED94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472A590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EF2A3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w:t>
            </w:r>
          </w:p>
        </w:tc>
        <w:tc>
          <w:tcPr>
            <w:tcW w:w="5060" w:type="dxa"/>
            <w:tcBorders>
              <w:top w:val="nil"/>
              <w:left w:val="nil"/>
              <w:bottom w:val="single" w:sz="4" w:space="0" w:color="auto"/>
              <w:right w:val="single" w:sz="4" w:space="0" w:color="auto"/>
            </w:tcBorders>
            <w:shd w:val="clear" w:color="auto" w:fill="auto"/>
            <w:noWrap/>
            <w:vAlign w:val="bottom"/>
            <w:hideMark/>
          </w:tcPr>
          <w:p w14:paraId="6532D51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Ancoa 500-&gt;Nueva Charrua 500</w:t>
            </w:r>
          </w:p>
        </w:tc>
        <w:tc>
          <w:tcPr>
            <w:tcW w:w="1035" w:type="dxa"/>
            <w:tcBorders>
              <w:top w:val="nil"/>
              <w:left w:val="nil"/>
              <w:bottom w:val="single" w:sz="4" w:space="0" w:color="auto"/>
              <w:right w:val="single" w:sz="4" w:space="0" w:color="auto"/>
            </w:tcBorders>
            <w:shd w:val="clear" w:color="auto" w:fill="auto"/>
            <w:noWrap/>
          </w:tcPr>
          <w:p w14:paraId="6A26E3FF" w14:textId="6FB251F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10.540.267 </w:t>
            </w:r>
          </w:p>
        </w:tc>
        <w:tc>
          <w:tcPr>
            <w:tcW w:w="891" w:type="dxa"/>
            <w:tcBorders>
              <w:top w:val="nil"/>
              <w:left w:val="nil"/>
              <w:bottom w:val="single" w:sz="4" w:space="0" w:color="auto"/>
              <w:right w:val="single" w:sz="4" w:space="0" w:color="auto"/>
            </w:tcBorders>
            <w:shd w:val="clear" w:color="auto" w:fill="auto"/>
            <w:noWrap/>
          </w:tcPr>
          <w:p w14:paraId="71059064" w14:textId="26FF03B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1.919.695 </w:t>
            </w:r>
          </w:p>
        </w:tc>
        <w:tc>
          <w:tcPr>
            <w:tcW w:w="952" w:type="dxa"/>
            <w:tcBorders>
              <w:top w:val="nil"/>
              <w:left w:val="nil"/>
              <w:bottom w:val="single" w:sz="4" w:space="0" w:color="auto"/>
              <w:right w:val="single" w:sz="4" w:space="0" w:color="auto"/>
            </w:tcBorders>
            <w:shd w:val="clear" w:color="auto" w:fill="auto"/>
            <w:noWrap/>
          </w:tcPr>
          <w:p w14:paraId="7D813599" w14:textId="203D4F2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1.945.567 </w:t>
            </w:r>
          </w:p>
        </w:tc>
        <w:tc>
          <w:tcPr>
            <w:tcW w:w="992" w:type="dxa"/>
            <w:tcBorders>
              <w:top w:val="nil"/>
              <w:left w:val="nil"/>
              <w:bottom w:val="single" w:sz="4" w:space="0" w:color="auto"/>
              <w:right w:val="single" w:sz="4" w:space="0" w:color="auto"/>
            </w:tcBorders>
            <w:shd w:val="clear" w:color="auto" w:fill="auto"/>
            <w:noWrap/>
          </w:tcPr>
          <w:p w14:paraId="60F236BA" w14:textId="6B1176C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14.405.529 </w:t>
            </w:r>
          </w:p>
        </w:tc>
      </w:tr>
      <w:tr w:rsidR="0066388E" w:rsidRPr="00E715D6" w14:paraId="3A3B9C5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EA765F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N_14</w:t>
            </w:r>
          </w:p>
        </w:tc>
        <w:tc>
          <w:tcPr>
            <w:tcW w:w="5060" w:type="dxa"/>
            <w:tcBorders>
              <w:top w:val="nil"/>
              <w:left w:val="nil"/>
              <w:bottom w:val="single" w:sz="4" w:space="0" w:color="auto"/>
              <w:right w:val="single" w:sz="4" w:space="0" w:color="auto"/>
            </w:tcBorders>
            <w:shd w:val="clear" w:color="auto" w:fill="auto"/>
            <w:noWrap/>
            <w:vAlign w:val="bottom"/>
            <w:hideMark/>
          </w:tcPr>
          <w:p w14:paraId="36FFCCE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Atacama 220-&gt;Tap Enlace 220</w:t>
            </w:r>
          </w:p>
        </w:tc>
        <w:tc>
          <w:tcPr>
            <w:tcW w:w="1035" w:type="dxa"/>
            <w:tcBorders>
              <w:top w:val="nil"/>
              <w:left w:val="nil"/>
              <w:bottom w:val="single" w:sz="4" w:space="0" w:color="auto"/>
              <w:right w:val="single" w:sz="4" w:space="0" w:color="auto"/>
            </w:tcBorders>
            <w:shd w:val="clear" w:color="auto" w:fill="auto"/>
            <w:noWrap/>
          </w:tcPr>
          <w:p w14:paraId="0E64DD1D" w14:textId="1807CA8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1.930.975 </w:t>
            </w:r>
          </w:p>
        </w:tc>
        <w:tc>
          <w:tcPr>
            <w:tcW w:w="891" w:type="dxa"/>
            <w:tcBorders>
              <w:top w:val="nil"/>
              <w:left w:val="nil"/>
              <w:bottom w:val="single" w:sz="4" w:space="0" w:color="auto"/>
              <w:right w:val="single" w:sz="4" w:space="0" w:color="auto"/>
            </w:tcBorders>
            <w:shd w:val="clear" w:color="auto" w:fill="auto"/>
            <w:noWrap/>
          </w:tcPr>
          <w:p w14:paraId="4E836C8A" w14:textId="7DF1631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385.532 </w:t>
            </w:r>
          </w:p>
        </w:tc>
        <w:tc>
          <w:tcPr>
            <w:tcW w:w="952" w:type="dxa"/>
            <w:tcBorders>
              <w:top w:val="nil"/>
              <w:left w:val="nil"/>
              <w:bottom w:val="single" w:sz="4" w:space="0" w:color="auto"/>
              <w:right w:val="single" w:sz="4" w:space="0" w:color="auto"/>
            </w:tcBorders>
            <w:shd w:val="clear" w:color="auto" w:fill="auto"/>
            <w:noWrap/>
          </w:tcPr>
          <w:p w14:paraId="22E7BD28" w14:textId="3073AFE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325.347 </w:t>
            </w:r>
          </w:p>
        </w:tc>
        <w:tc>
          <w:tcPr>
            <w:tcW w:w="992" w:type="dxa"/>
            <w:tcBorders>
              <w:top w:val="nil"/>
              <w:left w:val="nil"/>
              <w:bottom w:val="single" w:sz="4" w:space="0" w:color="auto"/>
              <w:right w:val="single" w:sz="4" w:space="0" w:color="auto"/>
            </w:tcBorders>
            <w:shd w:val="clear" w:color="auto" w:fill="auto"/>
            <w:noWrap/>
          </w:tcPr>
          <w:p w14:paraId="2F5064E6" w14:textId="61308B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2.641.854 </w:t>
            </w:r>
          </w:p>
        </w:tc>
      </w:tr>
      <w:tr w:rsidR="0066388E" w:rsidRPr="00E715D6" w14:paraId="6DF62DF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BE9150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N_15</w:t>
            </w:r>
          </w:p>
        </w:tc>
        <w:tc>
          <w:tcPr>
            <w:tcW w:w="5060" w:type="dxa"/>
            <w:tcBorders>
              <w:top w:val="nil"/>
              <w:left w:val="nil"/>
              <w:bottom w:val="single" w:sz="4" w:space="0" w:color="auto"/>
              <w:right w:val="single" w:sz="4" w:space="0" w:color="auto"/>
            </w:tcBorders>
            <w:shd w:val="clear" w:color="auto" w:fill="auto"/>
            <w:noWrap/>
            <w:vAlign w:val="bottom"/>
            <w:hideMark/>
          </w:tcPr>
          <w:p w14:paraId="57D7ED6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Bureo 220-&gt;Los Peumos 220</w:t>
            </w:r>
          </w:p>
        </w:tc>
        <w:tc>
          <w:tcPr>
            <w:tcW w:w="1035" w:type="dxa"/>
            <w:tcBorders>
              <w:top w:val="nil"/>
              <w:left w:val="nil"/>
              <w:bottom w:val="single" w:sz="4" w:space="0" w:color="auto"/>
              <w:right w:val="single" w:sz="4" w:space="0" w:color="auto"/>
            </w:tcBorders>
            <w:shd w:val="clear" w:color="auto" w:fill="auto"/>
            <w:noWrap/>
          </w:tcPr>
          <w:p w14:paraId="11BB760B" w14:textId="1E5E283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1.061.674 </w:t>
            </w:r>
          </w:p>
        </w:tc>
        <w:tc>
          <w:tcPr>
            <w:tcW w:w="891" w:type="dxa"/>
            <w:tcBorders>
              <w:top w:val="nil"/>
              <w:left w:val="nil"/>
              <w:bottom w:val="single" w:sz="4" w:space="0" w:color="auto"/>
              <w:right w:val="single" w:sz="4" w:space="0" w:color="auto"/>
            </w:tcBorders>
            <w:shd w:val="clear" w:color="auto" w:fill="auto"/>
            <w:noWrap/>
          </w:tcPr>
          <w:p w14:paraId="5FAC2D81" w14:textId="1D3A059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357.651 </w:t>
            </w:r>
          </w:p>
        </w:tc>
        <w:tc>
          <w:tcPr>
            <w:tcW w:w="952" w:type="dxa"/>
            <w:tcBorders>
              <w:top w:val="nil"/>
              <w:left w:val="nil"/>
              <w:bottom w:val="single" w:sz="4" w:space="0" w:color="auto"/>
              <w:right w:val="single" w:sz="4" w:space="0" w:color="auto"/>
            </w:tcBorders>
            <w:shd w:val="clear" w:color="auto" w:fill="auto"/>
            <w:noWrap/>
          </w:tcPr>
          <w:p w14:paraId="6B5A9FD4" w14:textId="55F49D5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231.642 </w:t>
            </w:r>
          </w:p>
        </w:tc>
        <w:tc>
          <w:tcPr>
            <w:tcW w:w="992" w:type="dxa"/>
            <w:tcBorders>
              <w:top w:val="nil"/>
              <w:left w:val="nil"/>
              <w:bottom w:val="single" w:sz="4" w:space="0" w:color="auto"/>
              <w:right w:val="single" w:sz="4" w:space="0" w:color="auto"/>
            </w:tcBorders>
            <w:shd w:val="clear" w:color="auto" w:fill="auto"/>
            <w:noWrap/>
          </w:tcPr>
          <w:p w14:paraId="0EB26C6C" w14:textId="2444CA4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1.650.967 </w:t>
            </w:r>
          </w:p>
        </w:tc>
      </w:tr>
      <w:tr w:rsidR="0066388E" w:rsidRPr="00E715D6" w14:paraId="34E52E7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84F636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N_16</w:t>
            </w:r>
          </w:p>
        </w:tc>
        <w:tc>
          <w:tcPr>
            <w:tcW w:w="5060" w:type="dxa"/>
            <w:tcBorders>
              <w:top w:val="nil"/>
              <w:left w:val="nil"/>
              <w:bottom w:val="single" w:sz="4" w:space="0" w:color="auto"/>
              <w:right w:val="single" w:sz="4" w:space="0" w:color="auto"/>
            </w:tcBorders>
            <w:shd w:val="clear" w:color="auto" w:fill="auto"/>
            <w:noWrap/>
            <w:vAlign w:val="bottom"/>
            <w:hideMark/>
          </w:tcPr>
          <w:p w14:paraId="38A5699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Candelaria 220-&gt;Maipo 220</w:t>
            </w:r>
          </w:p>
        </w:tc>
        <w:tc>
          <w:tcPr>
            <w:tcW w:w="1035" w:type="dxa"/>
            <w:tcBorders>
              <w:top w:val="nil"/>
              <w:left w:val="nil"/>
              <w:bottom w:val="single" w:sz="4" w:space="0" w:color="auto"/>
              <w:right w:val="single" w:sz="4" w:space="0" w:color="auto"/>
            </w:tcBorders>
            <w:shd w:val="clear" w:color="auto" w:fill="auto"/>
            <w:noWrap/>
          </w:tcPr>
          <w:p w14:paraId="3CD1AE43" w14:textId="7E10DE0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2.131.976 </w:t>
            </w:r>
          </w:p>
        </w:tc>
        <w:tc>
          <w:tcPr>
            <w:tcW w:w="891" w:type="dxa"/>
            <w:tcBorders>
              <w:top w:val="nil"/>
              <w:left w:val="nil"/>
              <w:bottom w:val="single" w:sz="4" w:space="0" w:color="auto"/>
              <w:right w:val="single" w:sz="4" w:space="0" w:color="auto"/>
            </w:tcBorders>
            <w:shd w:val="clear" w:color="auto" w:fill="auto"/>
            <w:noWrap/>
          </w:tcPr>
          <w:p w14:paraId="53170E57" w14:textId="6823BE3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338.474 </w:t>
            </w:r>
          </w:p>
        </w:tc>
        <w:tc>
          <w:tcPr>
            <w:tcW w:w="952" w:type="dxa"/>
            <w:tcBorders>
              <w:top w:val="nil"/>
              <w:left w:val="nil"/>
              <w:bottom w:val="single" w:sz="4" w:space="0" w:color="auto"/>
              <w:right w:val="single" w:sz="4" w:space="0" w:color="auto"/>
            </w:tcBorders>
            <w:shd w:val="clear" w:color="auto" w:fill="auto"/>
            <w:noWrap/>
          </w:tcPr>
          <w:p w14:paraId="368DFCD1" w14:textId="3E460D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315.435 </w:t>
            </w:r>
          </w:p>
        </w:tc>
        <w:tc>
          <w:tcPr>
            <w:tcW w:w="992" w:type="dxa"/>
            <w:tcBorders>
              <w:top w:val="nil"/>
              <w:left w:val="nil"/>
              <w:bottom w:val="single" w:sz="4" w:space="0" w:color="auto"/>
              <w:right w:val="single" w:sz="4" w:space="0" w:color="auto"/>
            </w:tcBorders>
            <w:shd w:val="clear" w:color="auto" w:fill="auto"/>
            <w:noWrap/>
          </w:tcPr>
          <w:p w14:paraId="0028B645" w14:textId="207E756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2.785.886 </w:t>
            </w:r>
          </w:p>
        </w:tc>
      </w:tr>
      <w:tr w:rsidR="0066388E" w:rsidRPr="00E715D6" w14:paraId="6747F0C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3443F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N_17</w:t>
            </w:r>
          </w:p>
        </w:tc>
        <w:tc>
          <w:tcPr>
            <w:tcW w:w="5060" w:type="dxa"/>
            <w:tcBorders>
              <w:top w:val="nil"/>
              <w:left w:val="nil"/>
              <w:bottom w:val="single" w:sz="4" w:space="0" w:color="auto"/>
              <w:right w:val="single" w:sz="4" w:space="0" w:color="auto"/>
            </w:tcBorders>
            <w:shd w:val="clear" w:color="auto" w:fill="auto"/>
            <w:noWrap/>
            <w:vAlign w:val="bottom"/>
            <w:hideMark/>
          </w:tcPr>
          <w:p w14:paraId="0B1FBCC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Candelaria 220-&gt;Puente Negro 220</w:t>
            </w:r>
          </w:p>
        </w:tc>
        <w:tc>
          <w:tcPr>
            <w:tcW w:w="1035" w:type="dxa"/>
            <w:tcBorders>
              <w:top w:val="nil"/>
              <w:left w:val="nil"/>
              <w:bottom w:val="single" w:sz="4" w:space="0" w:color="auto"/>
              <w:right w:val="single" w:sz="4" w:space="0" w:color="auto"/>
            </w:tcBorders>
            <w:shd w:val="clear" w:color="auto" w:fill="auto"/>
            <w:noWrap/>
          </w:tcPr>
          <w:p w14:paraId="5B994580" w14:textId="2E69CF1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4.194.453 </w:t>
            </w:r>
          </w:p>
        </w:tc>
        <w:tc>
          <w:tcPr>
            <w:tcW w:w="891" w:type="dxa"/>
            <w:tcBorders>
              <w:top w:val="nil"/>
              <w:left w:val="nil"/>
              <w:bottom w:val="single" w:sz="4" w:space="0" w:color="auto"/>
              <w:right w:val="single" w:sz="4" w:space="0" w:color="auto"/>
            </w:tcBorders>
            <w:shd w:val="clear" w:color="auto" w:fill="auto"/>
            <w:noWrap/>
          </w:tcPr>
          <w:p w14:paraId="220C3657" w14:textId="2C3AC92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626.340 </w:t>
            </w:r>
          </w:p>
        </w:tc>
        <w:tc>
          <w:tcPr>
            <w:tcW w:w="952" w:type="dxa"/>
            <w:tcBorders>
              <w:top w:val="nil"/>
              <w:left w:val="nil"/>
              <w:bottom w:val="single" w:sz="4" w:space="0" w:color="auto"/>
              <w:right w:val="single" w:sz="4" w:space="0" w:color="auto"/>
            </w:tcBorders>
            <w:shd w:val="clear" w:color="auto" w:fill="auto"/>
            <w:noWrap/>
          </w:tcPr>
          <w:p w14:paraId="498D5E3A" w14:textId="6643933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606.680 </w:t>
            </w:r>
          </w:p>
        </w:tc>
        <w:tc>
          <w:tcPr>
            <w:tcW w:w="992" w:type="dxa"/>
            <w:tcBorders>
              <w:top w:val="nil"/>
              <w:left w:val="nil"/>
              <w:bottom w:val="single" w:sz="4" w:space="0" w:color="auto"/>
              <w:right w:val="single" w:sz="4" w:space="0" w:color="auto"/>
            </w:tcBorders>
            <w:shd w:val="clear" w:color="auto" w:fill="auto"/>
            <w:noWrap/>
          </w:tcPr>
          <w:p w14:paraId="4F64C0DE" w14:textId="4972973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5.427.473 </w:t>
            </w:r>
          </w:p>
        </w:tc>
      </w:tr>
      <w:tr w:rsidR="0066388E" w:rsidRPr="00E715D6" w14:paraId="4EF491A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EC938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N_18</w:t>
            </w:r>
          </w:p>
        </w:tc>
        <w:tc>
          <w:tcPr>
            <w:tcW w:w="5060" w:type="dxa"/>
            <w:tcBorders>
              <w:top w:val="nil"/>
              <w:left w:val="nil"/>
              <w:bottom w:val="single" w:sz="4" w:space="0" w:color="auto"/>
              <w:right w:val="single" w:sz="4" w:space="0" w:color="auto"/>
            </w:tcBorders>
            <w:shd w:val="clear" w:color="auto" w:fill="auto"/>
            <w:noWrap/>
            <w:vAlign w:val="bottom"/>
            <w:hideMark/>
          </w:tcPr>
          <w:p w14:paraId="07E4735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Cardones 220-&gt;Algarrobal 220</w:t>
            </w:r>
          </w:p>
        </w:tc>
        <w:tc>
          <w:tcPr>
            <w:tcW w:w="1035" w:type="dxa"/>
            <w:tcBorders>
              <w:top w:val="nil"/>
              <w:left w:val="nil"/>
              <w:bottom w:val="single" w:sz="4" w:space="0" w:color="auto"/>
              <w:right w:val="single" w:sz="4" w:space="0" w:color="auto"/>
            </w:tcBorders>
            <w:shd w:val="clear" w:color="auto" w:fill="auto"/>
            <w:noWrap/>
          </w:tcPr>
          <w:p w14:paraId="6229AD84" w14:textId="4C1FFFB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2.783.917 </w:t>
            </w:r>
          </w:p>
        </w:tc>
        <w:tc>
          <w:tcPr>
            <w:tcW w:w="891" w:type="dxa"/>
            <w:tcBorders>
              <w:top w:val="nil"/>
              <w:left w:val="nil"/>
              <w:bottom w:val="single" w:sz="4" w:space="0" w:color="auto"/>
              <w:right w:val="single" w:sz="4" w:space="0" w:color="auto"/>
            </w:tcBorders>
            <w:shd w:val="clear" w:color="auto" w:fill="auto"/>
            <w:noWrap/>
          </w:tcPr>
          <w:p w14:paraId="73F283C8" w14:textId="02A19DB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561.392 </w:t>
            </w:r>
          </w:p>
        </w:tc>
        <w:tc>
          <w:tcPr>
            <w:tcW w:w="952" w:type="dxa"/>
            <w:tcBorders>
              <w:top w:val="nil"/>
              <w:left w:val="nil"/>
              <w:bottom w:val="single" w:sz="4" w:space="0" w:color="auto"/>
              <w:right w:val="single" w:sz="4" w:space="0" w:color="auto"/>
            </w:tcBorders>
            <w:shd w:val="clear" w:color="auto" w:fill="auto"/>
            <w:noWrap/>
          </w:tcPr>
          <w:p w14:paraId="39B67FE6" w14:textId="0D2C62F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587.883 </w:t>
            </w:r>
          </w:p>
        </w:tc>
        <w:tc>
          <w:tcPr>
            <w:tcW w:w="992" w:type="dxa"/>
            <w:tcBorders>
              <w:top w:val="nil"/>
              <w:left w:val="nil"/>
              <w:bottom w:val="single" w:sz="4" w:space="0" w:color="auto"/>
              <w:right w:val="single" w:sz="4" w:space="0" w:color="auto"/>
            </w:tcBorders>
            <w:shd w:val="clear" w:color="auto" w:fill="auto"/>
            <w:noWrap/>
          </w:tcPr>
          <w:p w14:paraId="2955784B" w14:textId="7ADCEC9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3.933.192 </w:t>
            </w:r>
          </w:p>
        </w:tc>
      </w:tr>
      <w:tr w:rsidR="0066388E" w:rsidRPr="00E715D6" w14:paraId="2BF9DD6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784037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N_19</w:t>
            </w:r>
          </w:p>
        </w:tc>
        <w:tc>
          <w:tcPr>
            <w:tcW w:w="5060" w:type="dxa"/>
            <w:tcBorders>
              <w:top w:val="nil"/>
              <w:left w:val="nil"/>
              <w:bottom w:val="single" w:sz="4" w:space="0" w:color="auto"/>
              <w:right w:val="single" w:sz="4" w:space="0" w:color="auto"/>
            </w:tcBorders>
            <w:shd w:val="clear" w:color="auto" w:fill="auto"/>
            <w:noWrap/>
            <w:vAlign w:val="bottom"/>
            <w:hideMark/>
          </w:tcPr>
          <w:p w14:paraId="3E86B41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Cardones 220-&gt;Nueva Cardones 220</w:t>
            </w:r>
          </w:p>
        </w:tc>
        <w:tc>
          <w:tcPr>
            <w:tcW w:w="1035" w:type="dxa"/>
            <w:tcBorders>
              <w:top w:val="nil"/>
              <w:left w:val="nil"/>
              <w:bottom w:val="single" w:sz="4" w:space="0" w:color="auto"/>
              <w:right w:val="single" w:sz="4" w:space="0" w:color="auto"/>
            </w:tcBorders>
            <w:shd w:val="clear" w:color="auto" w:fill="auto"/>
            <w:noWrap/>
          </w:tcPr>
          <w:p w14:paraId="50B8B758" w14:textId="086CD49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595E79A4" w14:textId="522509C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186D7E25" w14:textId="71F4544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3B8D04B1" w14:textId="455325B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42EFEB1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BB0AAB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N_20</w:t>
            </w:r>
          </w:p>
        </w:tc>
        <w:tc>
          <w:tcPr>
            <w:tcW w:w="5060" w:type="dxa"/>
            <w:tcBorders>
              <w:top w:val="nil"/>
              <w:left w:val="nil"/>
              <w:bottom w:val="single" w:sz="4" w:space="0" w:color="auto"/>
              <w:right w:val="single" w:sz="4" w:space="0" w:color="auto"/>
            </w:tcBorders>
            <w:shd w:val="clear" w:color="auto" w:fill="auto"/>
            <w:noWrap/>
            <w:vAlign w:val="bottom"/>
            <w:hideMark/>
          </w:tcPr>
          <w:p w14:paraId="3391FB9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Carrera Pinto 220-&gt;Nueva Diego de Almagro 220</w:t>
            </w:r>
          </w:p>
        </w:tc>
        <w:tc>
          <w:tcPr>
            <w:tcW w:w="1035" w:type="dxa"/>
            <w:tcBorders>
              <w:top w:val="nil"/>
              <w:left w:val="nil"/>
              <w:bottom w:val="single" w:sz="4" w:space="0" w:color="auto"/>
              <w:right w:val="single" w:sz="4" w:space="0" w:color="auto"/>
            </w:tcBorders>
            <w:shd w:val="clear" w:color="auto" w:fill="auto"/>
            <w:noWrap/>
          </w:tcPr>
          <w:p w14:paraId="026D5973" w14:textId="21DA3D7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837.713 </w:t>
            </w:r>
          </w:p>
        </w:tc>
        <w:tc>
          <w:tcPr>
            <w:tcW w:w="891" w:type="dxa"/>
            <w:tcBorders>
              <w:top w:val="nil"/>
              <w:left w:val="nil"/>
              <w:bottom w:val="single" w:sz="4" w:space="0" w:color="auto"/>
              <w:right w:val="single" w:sz="4" w:space="0" w:color="auto"/>
            </w:tcBorders>
            <w:shd w:val="clear" w:color="auto" w:fill="auto"/>
            <w:noWrap/>
          </w:tcPr>
          <w:p w14:paraId="380D4DD8" w14:textId="4C75A8B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295.782 </w:t>
            </w:r>
          </w:p>
        </w:tc>
        <w:tc>
          <w:tcPr>
            <w:tcW w:w="952" w:type="dxa"/>
            <w:tcBorders>
              <w:top w:val="nil"/>
              <w:left w:val="nil"/>
              <w:bottom w:val="single" w:sz="4" w:space="0" w:color="auto"/>
              <w:right w:val="single" w:sz="4" w:space="0" w:color="auto"/>
            </w:tcBorders>
            <w:shd w:val="clear" w:color="auto" w:fill="auto"/>
            <w:noWrap/>
          </w:tcPr>
          <w:p w14:paraId="717032BB" w14:textId="58D7740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147.110 </w:t>
            </w:r>
          </w:p>
        </w:tc>
        <w:tc>
          <w:tcPr>
            <w:tcW w:w="992" w:type="dxa"/>
            <w:tcBorders>
              <w:top w:val="nil"/>
              <w:left w:val="nil"/>
              <w:bottom w:val="single" w:sz="4" w:space="0" w:color="auto"/>
              <w:right w:val="single" w:sz="4" w:space="0" w:color="auto"/>
            </w:tcBorders>
            <w:shd w:val="clear" w:color="auto" w:fill="auto"/>
            <w:noWrap/>
          </w:tcPr>
          <w:p w14:paraId="785729EA" w14:textId="5C8B768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1.280.605 </w:t>
            </w:r>
          </w:p>
        </w:tc>
      </w:tr>
      <w:tr w:rsidR="0066388E" w:rsidRPr="00E715D6" w14:paraId="3BA1B13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1BDA8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N_21</w:t>
            </w:r>
          </w:p>
        </w:tc>
        <w:tc>
          <w:tcPr>
            <w:tcW w:w="5060" w:type="dxa"/>
            <w:tcBorders>
              <w:top w:val="nil"/>
              <w:left w:val="nil"/>
              <w:bottom w:val="single" w:sz="4" w:space="0" w:color="auto"/>
              <w:right w:val="single" w:sz="4" w:space="0" w:color="auto"/>
            </w:tcBorders>
            <w:shd w:val="clear" w:color="auto" w:fill="auto"/>
            <w:noWrap/>
            <w:vAlign w:val="bottom"/>
            <w:hideMark/>
          </w:tcPr>
          <w:p w14:paraId="0C9A635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Carrera Pinto 220-&gt;S. San Andres 220</w:t>
            </w:r>
          </w:p>
        </w:tc>
        <w:tc>
          <w:tcPr>
            <w:tcW w:w="1035" w:type="dxa"/>
            <w:tcBorders>
              <w:top w:val="nil"/>
              <w:left w:val="nil"/>
              <w:bottom w:val="single" w:sz="4" w:space="0" w:color="auto"/>
              <w:right w:val="single" w:sz="4" w:space="0" w:color="auto"/>
            </w:tcBorders>
            <w:shd w:val="clear" w:color="auto" w:fill="auto"/>
            <w:noWrap/>
          </w:tcPr>
          <w:p w14:paraId="19E1468A" w14:textId="6D4E08A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774.482 </w:t>
            </w:r>
          </w:p>
        </w:tc>
        <w:tc>
          <w:tcPr>
            <w:tcW w:w="891" w:type="dxa"/>
            <w:tcBorders>
              <w:top w:val="nil"/>
              <w:left w:val="nil"/>
              <w:bottom w:val="single" w:sz="4" w:space="0" w:color="auto"/>
              <w:right w:val="single" w:sz="4" w:space="0" w:color="auto"/>
            </w:tcBorders>
            <w:shd w:val="clear" w:color="auto" w:fill="auto"/>
            <w:noWrap/>
          </w:tcPr>
          <w:p w14:paraId="725BD85F" w14:textId="65AEEE0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266.538 </w:t>
            </w:r>
          </w:p>
        </w:tc>
        <w:tc>
          <w:tcPr>
            <w:tcW w:w="952" w:type="dxa"/>
            <w:tcBorders>
              <w:top w:val="nil"/>
              <w:left w:val="nil"/>
              <w:bottom w:val="single" w:sz="4" w:space="0" w:color="auto"/>
              <w:right w:val="single" w:sz="4" w:space="0" w:color="auto"/>
            </w:tcBorders>
            <w:shd w:val="clear" w:color="auto" w:fill="auto"/>
            <w:noWrap/>
          </w:tcPr>
          <w:p w14:paraId="4888B636" w14:textId="02EF141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135.194 </w:t>
            </w:r>
          </w:p>
        </w:tc>
        <w:tc>
          <w:tcPr>
            <w:tcW w:w="992" w:type="dxa"/>
            <w:tcBorders>
              <w:top w:val="nil"/>
              <w:left w:val="nil"/>
              <w:bottom w:val="single" w:sz="4" w:space="0" w:color="auto"/>
              <w:right w:val="single" w:sz="4" w:space="0" w:color="auto"/>
            </w:tcBorders>
            <w:shd w:val="clear" w:color="auto" w:fill="auto"/>
            <w:noWrap/>
          </w:tcPr>
          <w:p w14:paraId="3FC31FA4" w14:textId="28E3302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1.176.214 </w:t>
            </w:r>
          </w:p>
        </w:tc>
      </w:tr>
      <w:tr w:rsidR="0066388E" w:rsidRPr="00E715D6" w14:paraId="3923295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19691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N_22</w:t>
            </w:r>
          </w:p>
        </w:tc>
        <w:tc>
          <w:tcPr>
            <w:tcW w:w="5060" w:type="dxa"/>
            <w:tcBorders>
              <w:top w:val="nil"/>
              <w:left w:val="nil"/>
              <w:bottom w:val="single" w:sz="4" w:space="0" w:color="auto"/>
              <w:right w:val="single" w:sz="4" w:space="0" w:color="auto"/>
            </w:tcBorders>
            <w:shd w:val="clear" w:color="auto" w:fill="auto"/>
            <w:noWrap/>
            <w:vAlign w:val="bottom"/>
            <w:hideMark/>
          </w:tcPr>
          <w:p w14:paraId="7AE29CA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Cautin 220-&gt;Metrenco 220</w:t>
            </w:r>
          </w:p>
        </w:tc>
        <w:tc>
          <w:tcPr>
            <w:tcW w:w="1035" w:type="dxa"/>
            <w:tcBorders>
              <w:top w:val="nil"/>
              <w:left w:val="nil"/>
              <w:bottom w:val="single" w:sz="4" w:space="0" w:color="auto"/>
              <w:right w:val="single" w:sz="4" w:space="0" w:color="auto"/>
            </w:tcBorders>
            <w:shd w:val="clear" w:color="auto" w:fill="auto"/>
            <w:noWrap/>
          </w:tcPr>
          <w:p w14:paraId="62A1B7EB" w14:textId="2EBBABB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452.097 </w:t>
            </w:r>
          </w:p>
        </w:tc>
        <w:tc>
          <w:tcPr>
            <w:tcW w:w="891" w:type="dxa"/>
            <w:tcBorders>
              <w:top w:val="nil"/>
              <w:left w:val="nil"/>
              <w:bottom w:val="single" w:sz="4" w:space="0" w:color="auto"/>
              <w:right w:val="single" w:sz="4" w:space="0" w:color="auto"/>
            </w:tcBorders>
            <w:shd w:val="clear" w:color="auto" w:fill="auto"/>
            <w:noWrap/>
          </w:tcPr>
          <w:p w14:paraId="7119A42F" w14:textId="70B7E1B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94.124 </w:t>
            </w:r>
          </w:p>
        </w:tc>
        <w:tc>
          <w:tcPr>
            <w:tcW w:w="952" w:type="dxa"/>
            <w:tcBorders>
              <w:top w:val="nil"/>
              <w:left w:val="nil"/>
              <w:bottom w:val="single" w:sz="4" w:space="0" w:color="auto"/>
              <w:right w:val="single" w:sz="4" w:space="0" w:color="auto"/>
            </w:tcBorders>
            <w:shd w:val="clear" w:color="auto" w:fill="auto"/>
            <w:noWrap/>
          </w:tcPr>
          <w:p w14:paraId="7FBC9BE7" w14:textId="595A75C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96.081 </w:t>
            </w:r>
          </w:p>
        </w:tc>
        <w:tc>
          <w:tcPr>
            <w:tcW w:w="992" w:type="dxa"/>
            <w:tcBorders>
              <w:top w:val="nil"/>
              <w:left w:val="nil"/>
              <w:bottom w:val="single" w:sz="4" w:space="0" w:color="auto"/>
              <w:right w:val="single" w:sz="4" w:space="0" w:color="auto"/>
            </w:tcBorders>
            <w:shd w:val="clear" w:color="auto" w:fill="auto"/>
            <w:noWrap/>
          </w:tcPr>
          <w:p w14:paraId="01B5DE70" w14:textId="7E6546E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642.302 </w:t>
            </w:r>
          </w:p>
        </w:tc>
      </w:tr>
      <w:tr w:rsidR="0066388E" w:rsidRPr="00E715D6" w14:paraId="28E2E59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4F66A8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N_23</w:t>
            </w:r>
          </w:p>
        </w:tc>
        <w:tc>
          <w:tcPr>
            <w:tcW w:w="5060" w:type="dxa"/>
            <w:tcBorders>
              <w:top w:val="nil"/>
              <w:left w:val="nil"/>
              <w:bottom w:val="single" w:sz="4" w:space="0" w:color="auto"/>
              <w:right w:val="single" w:sz="4" w:space="0" w:color="auto"/>
            </w:tcBorders>
            <w:shd w:val="clear" w:color="auto" w:fill="auto"/>
            <w:noWrap/>
            <w:vAlign w:val="bottom"/>
            <w:hideMark/>
          </w:tcPr>
          <w:p w14:paraId="4C612E5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Cerro Navia 220-&gt;Cerro Navia Desf 220</w:t>
            </w:r>
          </w:p>
        </w:tc>
        <w:tc>
          <w:tcPr>
            <w:tcW w:w="1035" w:type="dxa"/>
            <w:tcBorders>
              <w:top w:val="nil"/>
              <w:left w:val="nil"/>
              <w:bottom w:val="single" w:sz="4" w:space="0" w:color="auto"/>
              <w:right w:val="single" w:sz="4" w:space="0" w:color="auto"/>
            </w:tcBorders>
            <w:shd w:val="clear" w:color="auto" w:fill="auto"/>
            <w:noWrap/>
          </w:tcPr>
          <w:p w14:paraId="473C422F" w14:textId="0E5E168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1.430.977 </w:t>
            </w:r>
          </w:p>
        </w:tc>
        <w:tc>
          <w:tcPr>
            <w:tcW w:w="891" w:type="dxa"/>
            <w:tcBorders>
              <w:top w:val="nil"/>
              <w:left w:val="nil"/>
              <w:bottom w:val="single" w:sz="4" w:space="0" w:color="auto"/>
              <w:right w:val="single" w:sz="4" w:space="0" w:color="auto"/>
            </w:tcBorders>
            <w:shd w:val="clear" w:color="auto" w:fill="auto"/>
            <w:noWrap/>
          </w:tcPr>
          <w:p w14:paraId="6DC3D8D7" w14:textId="4A93611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124.078 </w:t>
            </w:r>
          </w:p>
        </w:tc>
        <w:tc>
          <w:tcPr>
            <w:tcW w:w="952" w:type="dxa"/>
            <w:tcBorders>
              <w:top w:val="nil"/>
              <w:left w:val="nil"/>
              <w:bottom w:val="single" w:sz="4" w:space="0" w:color="auto"/>
              <w:right w:val="single" w:sz="4" w:space="0" w:color="auto"/>
            </w:tcBorders>
            <w:shd w:val="clear" w:color="auto" w:fill="auto"/>
            <w:noWrap/>
          </w:tcPr>
          <w:p w14:paraId="0D62B329" w14:textId="130132C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162.534 </w:t>
            </w:r>
          </w:p>
        </w:tc>
        <w:tc>
          <w:tcPr>
            <w:tcW w:w="992" w:type="dxa"/>
            <w:tcBorders>
              <w:top w:val="nil"/>
              <w:left w:val="nil"/>
              <w:bottom w:val="single" w:sz="4" w:space="0" w:color="auto"/>
              <w:right w:val="single" w:sz="4" w:space="0" w:color="auto"/>
            </w:tcBorders>
            <w:shd w:val="clear" w:color="auto" w:fill="auto"/>
            <w:noWrap/>
          </w:tcPr>
          <w:p w14:paraId="1E7FD389" w14:textId="3005102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1.717.589 </w:t>
            </w:r>
          </w:p>
        </w:tc>
      </w:tr>
      <w:tr w:rsidR="0066388E" w:rsidRPr="00E715D6" w14:paraId="209F931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38FB6B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N_24</w:t>
            </w:r>
          </w:p>
        </w:tc>
        <w:tc>
          <w:tcPr>
            <w:tcW w:w="5060" w:type="dxa"/>
            <w:tcBorders>
              <w:top w:val="nil"/>
              <w:left w:val="nil"/>
              <w:bottom w:val="single" w:sz="4" w:space="0" w:color="auto"/>
              <w:right w:val="single" w:sz="4" w:space="0" w:color="auto"/>
            </w:tcBorders>
            <w:shd w:val="clear" w:color="auto" w:fill="auto"/>
            <w:noWrap/>
            <w:vAlign w:val="bottom"/>
            <w:hideMark/>
          </w:tcPr>
          <w:p w14:paraId="5B62506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Cerro Navia 220-&gt;Chena 220</w:t>
            </w:r>
          </w:p>
        </w:tc>
        <w:tc>
          <w:tcPr>
            <w:tcW w:w="1035" w:type="dxa"/>
            <w:tcBorders>
              <w:top w:val="nil"/>
              <w:left w:val="nil"/>
              <w:bottom w:val="single" w:sz="4" w:space="0" w:color="auto"/>
              <w:right w:val="single" w:sz="4" w:space="0" w:color="auto"/>
            </w:tcBorders>
            <w:shd w:val="clear" w:color="auto" w:fill="auto"/>
            <w:noWrap/>
          </w:tcPr>
          <w:p w14:paraId="65B3F7F4" w14:textId="4D4A3DB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250.649 </w:t>
            </w:r>
          </w:p>
        </w:tc>
        <w:tc>
          <w:tcPr>
            <w:tcW w:w="891" w:type="dxa"/>
            <w:tcBorders>
              <w:top w:val="nil"/>
              <w:left w:val="nil"/>
              <w:bottom w:val="single" w:sz="4" w:space="0" w:color="auto"/>
              <w:right w:val="single" w:sz="4" w:space="0" w:color="auto"/>
            </w:tcBorders>
            <w:shd w:val="clear" w:color="auto" w:fill="auto"/>
            <w:noWrap/>
          </w:tcPr>
          <w:p w14:paraId="443C38BC" w14:textId="342DF47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66.928 </w:t>
            </w:r>
          </w:p>
        </w:tc>
        <w:tc>
          <w:tcPr>
            <w:tcW w:w="952" w:type="dxa"/>
            <w:tcBorders>
              <w:top w:val="nil"/>
              <w:left w:val="nil"/>
              <w:bottom w:val="single" w:sz="4" w:space="0" w:color="auto"/>
              <w:right w:val="single" w:sz="4" w:space="0" w:color="auto"/>
            </w:tcBorders>
            <w:shd w:val="clear" w:color="auto" w:fill="auto"/>
            <w:noWrap/>
          </w:tcPr>
          <w:p w14:paraId="5559701E" w14:textId="6207428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51.488 </w:t>
            </w:r>
          </w:p>
        </w:tc>
        <w:tc>
          <w:tcPr>
            <w:tcW w:w="992" w:type="dxa"/>
            <w:tcBorders>
              <w:top w:val="nil"/>
              <w:left w:val="nil"/>
              <w:bottom w:val="single" w:sz="4" w:space="0" w:color="auto"/>
              <w:right w:val="single" w:sz="4" w:space="0" w:color="auto"/>
            </w:tcBorders>
            <w:shd w:val="clear" w:color="auto" w:fill="auto"/>
            <w:noWrap/>
          </w:tcPr>
          <w:p w14:paraId="632F1759" w14:textId="4B91219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369.065 </w:t>
            </w:r>
          </w:p>
        </w:tc>
      </w:tr>
      <w:tr w:rsidR="0066388E" w:rsidRPr="00E715D6" w14:paraId="7976C5F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4DB9AF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N_25</w:t>
            </w:r>
          </w:p>
        </w:tc>
        <w:tc>
          <w:tcPr>
            <w:tcW w:w="5060" w:type="dxa"/>
            <w:tcBorders>
              <w:top w:val="nil"/>
              <w:left w:val="nil"/>
              <w:bottom w:val="single" w:sz="4" w:space="0" w:color="auto"/>
              <w:right w:val="single" w:sz="4" w:space="0" w:color="auto"/>
            </w:tcBorders>
            <w:shd w:val="clear" w:color="auto" w:fill="auto"/>
            <w:noWrap/>
            <w:vAlign w:val="bottom"/>
            <w:hideMark/>
          </w:tcPr>
          <w:p w14:paraId="17D426D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Cerro Navia 220-&gt;Neptuno 220</w:t>
            </w:r>
          </w:p>
        </w:tc>
        <w:tc>
          <w:tcPr>
            <w:tcW w:w="1035" w:type="dxa"/>
            <w:tcBorders>
              <w:top w:val="nil"/>
              <w:left w:val="nil"/>
              <w:bottom w:val="single" w:sz="4" w:space="0" w:color="auto"/>
              <w:right w:val="single" w:sz="4" w:space="0" w:color="auto"/>
            </w:tcBorders>
            <w:shd w:val="clear" w:color="auto" w:fill="auto"/>
            <w:noWrap/>
          </w:tcPr>
          <w:p w14:paraId="40E288F4" w14:textId="19C1ABA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162.950 </w:t>
            </w:r>
          </w:p>
        </w:tc>
        <w:tc>
          <w:tcPr>
            <w:tcW w:w="891" w:type="dxa"/>
            <w:tcBorders>
              <w:top w:val="nil"/>
              <w:left w:val="nil"/>
              <w:bottom w:val="single" w:sz="4" w:space="0" w:color="auto"/>
              <w:right w:val="single" w:sz="4" w:space="0" w:color="auto"/>
            </w:tcBorders>
            <w:shd w:val="clear" w:color="auto" w:fill="auto"/>
            <w:noWrap/>
          </w:tcPr>
          <w:p w14:paraId="4DACCEBC" w14:textId="35E3797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36.951 </w:t>
            </w:r>
          </w:p>
        </w:tc>
        <w:tc>
          <w:tcPr>
            <w:tcW w:w="952" w:type="dxa"/>
            <w:tcBorders>
              <w:top w:val="nil"/>
              <w:left w:val="nil"/>
              <w:bottom w:val="single" w:sz="4" w:space="0" w:color="auto"/>
              <w:right w:val="single" w:sz="4" w:space="0" w:color="auto"/>
            </w:tcBorders>
            <w:shd w:val="clear" w:color="auto" w:fill="auto"/>
            <w:noWrap/>
          </w:tcPr>
          <w:p w14:paraId="7983D0D2" w14:textId="72B89D5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27.991 </w:t>
            </w:r>
          </w:p>
        </w:tc>
        <w:tc>
          <w:tcPr>
            <w:tcW w:w="992" w:type="dxa"/>
            <w:tcBorders>
              <w:top w:val="nil"/>
              <w:left w:val="nil"/>
              <w:bottom w:val="single" w:sz="4" w:space="0" w:color="auto"/>
              <w:right w:val="single" w:sz="4" w:space="0" w:color="auto"/>
            </w:tcBorders>
            <w:shd w:val="clear" w:color="auto" w:fill="auto"/>
            <w:noWrap/>
          </w:tcPr>
          <w:p w14:paraId="50EEEFEA" w14:textId="2F7989F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227.892 </w:t>
            </w:r>
          </w:p>
        </w:tc>
      </w:tr>
      <w:tr w:rsidR="0066388E" w:rsidRPr="00E715D6" w14:paraId="5E2D30B7"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C94718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N_26</w:t>
            </w:r>
          </w:p>
        </w:tc>
        <w:tc>
          <w:tcPr>
            <w:tcW w:w="5060" w:type="dxa"/>
            <w:tcBorders>
              <w:top w:val="nil"/>
              <w:left w:val="nil"/>
              <w:bottom w:val="single" w:sz="4" w:space="0" w:color="auto"/>
              <w:right w:val="single" w:sz="4" w:space="0" w:color="auto"/>
            </w:tcBorders>
            <w:shd w:val="clear" w:color="auto" w:fill="auto"/>
            <w:noWrap/>
            <w:vAlign w:val="bottom"/>
            <w:hideMark/>
          </w:tcPr>
          <w:p w14:paraId="45D47D9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Cerros de Huichahue 220-&gt;Nueva Pichirropulli 220</w:t>
            </w:r>
          </w:p>
        </w:tc>
        <w:tc>
          <w:tcPr>
            <w:tcW w:w="1035" w:type="dxa"/>
            <w:tcBorders>
              <w:top w:val="nil"/>
              <w:left w:val="nil"/>
              <w:bottom w:val="single" w:sz="4" w:space="0" w:color="auto"/>
              <w:right w:val="single" w:sz="4" w:space="0" w:color="auto"/>
            </w:tcBorders>
            <w:shd w:val="clear" w:color="auto" w:fill="auto"/>
            <w:noWrap/>
          </w:tcPr>
          <w:p w14:paraId="03E30E7C" w14:textId="64ADD35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169.886 </w:t>
            </w:r>
          </w:p>
        </w:tc>
        <w:tc>
          <w:tcPr>
            <w:tcW w:w="891" w:type="dxa"/>
            <w:tcBorders>
              <w:top w:val="nil"/>
              <w:left w:val="nil"/>
              <w:bottom w:val="single" w:sz="4" w:space="0" w:color="auto"/>
              <w:right w:val="single" w:sz="4" w:space="0" w:color="auto"/>
            </w:tcBorders>
            <w:shd w:val="clear" w:color="auto" w:fill="auto"/>
            <w:noWrap/>
          </w:tcPr>
          <w:p w14:paraId="38AF4B7E" w14:textId="7B90B26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50.519 </w:t>
            </w:r>
          </w:p>
        </w:tc>
        <w:tc>
          <w:tcPr>
            <w:tcW w:w="952" w:type="dxa"/>
            <w:tcBorders>
              <w:top w:val="nil"/>
              <w:left w:val="nil"/>
              <w:bottom w:val="single" w:sz="4" w:space="0" w:color="auto"/>
              <w:right w:val="single" w:sz="4" w:space="0" w:color="auto"/>
            </w:tcBorders>
            <w:shd w:val="clear" w:color="auto" w:fill="auto"/>
            <w:noWrap/>
          </w:tcPr>
          <w:p w14:paraId="37EFED33" w14:textId="7919DDE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25.969 </w:t>
            </w:r>
          </w:p>
        </w:tc>
        <w:tc>
          <w:tcPr>
            <w:tcW w:w="992" w:type="dxa"/>
            <w:tcBorders>
              <w:top w:val="nil"/>
              <w:left w:val="nil"/>
              <w:bottom w:val="single" w:sz="4" w:space="0" w:color="auto"/>
              <w:right w:val="single" w:sz="4" w:space="0" w:color="auto"/>
            </w:tcBorders>
            <w:shd w:val="clear" w:color="auto" w:fill="auto"/>
            <w:noWrap/>
          </w:tcPr>
          <w:p w14:paraId="0A6BA1DC" w14:textId="7063E7A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246.374 </w:t>
            </w:r>
          </w:p>
        </w:tc>
      </w:tr>
      <w:tr w:rsidR="0066388E" w:rsidRPr="00E715D6" w14:paraId="7474C62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6B2B46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N_27</w:t>
            </w:r>
          </w:p>
        </w:tc>
        <w:tc>
          <w:tcPr>
            <w:tcW w:w="5060" w:type="dxa"/>
            <w:tcBorders>
              <w:top w:val="nil"/>
              <w:left w:val="nil"/>
              <w:bottom w:val="single" w:sz="4" w:space="0" w:color="auto"/>
              <w:right w:val="single" w:sz="4" w:space="0" w:color="auto"/>
            </w:tcBorders>
            <w:shd w:val="clear" w:color="auto" w:fill="auto"/>
            <w:noWrap/>
            <w:vAlign w:val="bottom"/>
            <w:hideMark/>
          </w:tcPr>
          <w:p w14:paraId="10BE7CD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220-&gt;Charrua 500</w:t>
            </w:r>
          </w:p>
        </w:tc>
        <w:tc>
          <w:tcPr>
            <w:tcW w:w="1035" w:type="dxa"/>
            <w:tcBorders>
              <w:top w:val="nil"/>
              <w:left w:val="nil"/>
              <w:bottom w:val="single" w:sz="4" w:space="0" w:color="auto"/>
              <w:right w:val="single" w:sz="4" w:space="0" w:color="auto"/>
            </w:tcBorders>
            <w:shd w:val="clear" w:color="auto" w:fill="auto"/>
            <w:noWrap/>
          </w:tcPr>
          <w:p w14:paraId="76C77C19" w14:textId="43BBA73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1.981.744 </w:t>
            </w:r>
          </w:p>
        </w:tc>
        <w:tc>
          <w:tcPr>
            <w:tcW w:w="891" w:type="dxa"/>
            <w:tcBorders>
              <w:top w:val="nil"/>
              <w:left w:val="nil"/>
              <w:bottom w:val="single" w:sz="4" w:space="0" w:color="auto"/>
              <w:right w:val="single" w:sz="4" w:space="0" w:color="auto"/>
            </w:tcBorders>
            <w:shd w:val="clear" w:color="auto" w:fill="auto"/>
            <w:noWrap/>
          </w:tcPr>
          <w:p w14:paraId="5DF0B5EE" w14:textId="110A10C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239.765 </w:t>
            </w:r>
          </w:p>
        </w:tc>
        <w:tc>
          <w:tcPr>
            <w:tcW w:w="952" w:type="dxa"/>
            <w:tcBorders>
              <w:top w:val="nil"/>
              <w:left w:val="nil"/>
              <w:bottom w:val="single" w:sz="4" w:space="0" w:color="auto"/>
              <w:right w:val="single" w:sz="4" w:space="0" w:color="auto"/>
            </w:tcBorders>
            <w:shd w:val="clear" w:color="auto" w:fill="auto"/>
            <w:noWrap/>
          </w:tcPr>
          <w:p w14:paraId="76804632" w14:textId="4A32F73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234.091 </w:t>
            </w:r>
          </w:p>
        </w:tc>
        <w:tc>
          <w:tcPr>
            <w:tcW w:w="992" w:type="dxa"/>
            <w:tcBorders>
              <w:top w:val="nil"/>
              <w:left w:val="nil"/>
              <w:bottom w:val="single" w:sz="4" w:space="0" w:color="auto"/>
              <w:right w:val="single" w:sz="4" w:space="0" w:color="auto"/>
            </w:tcBorders>
            <w:shd w:val="clear" w:color="auto" w:fill="auto"/>
            <w:noWrap/>
          </w:tcPr>
          <w:p w14:paraId="3211EB18" w14:textId="2043C18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2.455.599 </w:t>
            </w:r>
          </w:p>
        </w:tc>
      </w:tr>
      <w:tr w:rsidR="0066388E" w:rsidRPr="00E715D6" w14:paraId="222E6FA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EE3404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N_28</w:t>
            </w:r>
          </w:p>
        </w:tc>
        <w:tc>
          <w:tcPr>
            <w:tcW w:w="5060" w:type="dxa"/>
            <w:tcBorders>
              <w:top w:val="nil"/>
              <w:left w:val="nil"/>
              <w:bottom w:val="single" w:sz="4" w:space="0" w:color="auto"/>
              <w:right w:val="single" w:sz="4" w:space="0" w:color="auto"/>
            </w:tcBorders>
            <w:shd w:val="clear" w:color="auto" w:fill="auto"/>
            <w:noWrap/>
            <w:vAlign w:val="bottom"/>
            <w:hideMark/>
          </w:tcPr>
          <w:p w14:paraId="2F25C9E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220-&gt;Concepcion 220</w:t>
            </w:r>
          </w:p>
        </w:tc>
        <w:tc>
          <w:tcPr>
            <w:tcW w:w="1035" w:type="dxa"/>
            <w:tcBorders>
              <w:top w:val="nil"/>
              <w:left w:val="nil"/>
              <w:bottom w:val="single" w:sz="4" w:space="0" w:color="auto"/>
              <w:right w:val="single" w:sz="4" w:space="0" w:color="auto"/>
            </w:tcBorders>
            <w:shd w:val="clear" w:color="auto" w:fill="auto"/>
            <w:noWrap/>
          </w:tcPr>
          <w:p w14:paraId="57C02C50" w14:textId="6264B7E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1.320.170 </w:t>
            </w:r>
          </w:p>
        </w:tc>
        <w:tc>
          <w:tcPr>
            <w:tcW w:w="891" w:type="dxa"/>
            <w:tcBorders>
              <w:top w:val="nil"/>
              <w:left w:val="nil"/>
              <w:bottom w:val="single" w:sz="4" w:space="0" w:color="auto"/>
              <w:right w:val="single" w:sz="4" w:space="0" w:color="auto"/>
            </w:tcBorders>
            <w:shd w:val="clear" w:color="auto" w:fill="auto"/>
            <w:noWrap/>
          </w:tcPr>
          <w:p w14:paraId="0270E124" w14:textId="4CF0F56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468.941 </w:t>
            </w:r>
          </w:p>
        </w:tc>
        <w:tc>
          <w:tcPr>
            <w:tcW w:w="952" w:type="dxa"/>
            <w:tcBorders>
              <w:top w:val="nil"/>
              <w:left w:val="nil"/>
              <w:bottom w:val="single" w:sz="4" w:space="0" w:color="auto"/>
              <w:right w:val="single" w:sz="4" w:space="0" w:color="auto"/>
            </w:tcBorders>
            <w:shd w:val="clear" w:color="auto" w:fill="auto"/>
            <w:noWrap/>
          </w:tcPr>
          <w:p w14:paraId="3F79E105" w14:textId="53038FB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301.759 </w:t>
            </w:r>
          </w:p>
        </w:tc>
        <w:tc>
          <w:tcPr>
            <w:tcW w:w="992" w:type="dxa"/>
            <w:tcBorders>
              <w:top w:val="nil"/>
              <w:left w:val="nil"/>
              <w:bottom w:val="single" w:sz="4" w:space="0" w:color="auto"/>
              <w:right w:val="single" w:sz="4" w:space="0" w:color="auto"/>
            </w:tcBorders>
            <w:shd w:val="clear" w:color="auto" w:fill="auto"/>
            <w:noWrap/>
          </w:tcPr>
          <w:p w14:paraId="41BA4679" w14:textId="4AAD3FC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2.090.870 </w:t>
            </w:r>
          </w:p>
        </w:tc>
      </w:tr>
      <w:tr w:rsidR="0066388E" w:rsidRPr="00E715D6" w14:paraId="71C9DF4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A7DBEB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N_29</w:t>
            </w:r>
          </w:p>
        </w:tc>
        <w:tc>
          <w:tcPr>
            <w:tcW w:w="5060" w:type="dxa"/>
            <w:tcBorders>
              <w:top w:val="nil"/>
              <w:left w:val="nil"/>
              <w:bottom w:val="single" w:sz="4" w:space="0" w:color="auto"/>
              <w:right w:val="single" w:sz="4" w:space="0" w:color="auto"/>
            </w:tcBorders>
            <w:shd w:val="clear" w:color="auto" w:fill="auto"/>
            <w:noWrap/>
            <w:vAlign w:val="bottom"/>
            <w:hideMark/>
          </w:tcPr>
          <w:p w14:paraId="75097D8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220-&gt;El Rosal 220</w:t>
            </w:r>
          </w:p>
        </w:tc>
        <w:tc>
          <w:tcPr>
            <w:tcW w:w="1035" w:type="dxa"/>
            <w:tcBorders>
              <w:top w:val="nil"/>
              <w:left w:val="nil"/>
              <w:bottom w:val="single" w:sz="4" w:space="0" w:color="auto"/>
              <w:right w:val="single" w:sz="4" w:space="0" w:color="auto"/>
            </w:tcBorders>
            <w:shd w:val="clear" w:color="auto" w:fill="auto"/>
            <w:noWrap/>
          </w:tcPr>
          <w:p w14:paraId="08211C67" w14:textId="7374055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354.345 </w:t>
            </w:r>
          </w:p>
        </w:tc>
        <w:tc>
          <w:tcPr>
            <w:tcW w:w="891" w:type="dxa"/>
            <w:tcBorders>
              <w:top w:val="nil"/>
              <w:left w:val="nil"/>
              <w:bottom w:val="single" w:sz="4" w:space="0" w:color="auto"/>
              <w:right w:val="single" w:sz="4" w:space="0" w:color="auto"/>
            </w:tcBorders>
            <w:shd w:val="clear" w:color="auto" w:fill="auto"/>
            <w:noWrap/>
          </w:tcPr>
          <w:p w14:paraId="794B612C" w14:textId="44FDAAD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111.532 </w:t>
            </w:r>
          </w:p>
        </w:tc>
        <w:tc>
          <w:tcPr>
            <w:tcW w:w="952" w:type="dxa"/>
            <w:tcBorders>
              <w:top w:val="nil"/>
              <w:left w:val="nil"/>
              <w:bottom w:val="single" w:sz="4" w:space="0" w:color="auto"/>
              <w:right w:val="single" w:sz="4" w:space="0" w:color="auto"/>
            </w:tcBorders>
            <w:shd w:val="clear" w:color="auto" w:fill="auto"/>
            <w:noWrap/>
          </w:tcPr>
          <w:p w14:paraId="5BDBD94E" w14:textId="52905BB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76.620 </w:t>
            </w:r>
          </w:p>
        </w:tc>
        <w:tc>
          <w:tcPr>
            <w:tcW w:w="992" w:type="dxa"/>
            <w:tcBorders>
              <w:top w:val="nil"/>
              <w:left w:val="nil"/>
              <w:bottom w:val="single" w:sz="4" w:space="0" w:color="auto"/>
              <w:right w:val="single" w:sz="4" w:space="0" w:color="auto"/>
            </w:tcBorders>
            <w:shd w:val="clear" w:color="auto" w:fill="auto"/>
            <w:noWrap/>
          </w:tcPr>
          <w:p w14:paraId="1C2C7D26" w14:textId="071B524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542.497 </w:t>
            </w:r>
          </w:p>
        </w:tc>
      </w:tr>
      <w:tr w:rsidR="0066388E" w:rsidRPr="00E715D6" w14:paraId="7972E9C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87F47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N_30</w:t>
            </w:r>
          </w:p>
        </w:tc>
        <w:tc>
          <w:tcPr>
            <w:tcW w:w="5060" w:type="dxa"/>
            <w:tcBorders>
              <w:top w:val="nil"/>
              <w:left w:val="nil"/>
              <w:bottom w:val="single" w:sz="4" w:space="0" w:color="auto"/>
              <w:right w:val="single" w:sz="4" w:space="0" w:color="auto"/>
            </w:tcBorders>
            <w:shd w:val="clear" w:color="auto" w:fill="auto"/>
            <w:noWrap/>
            <w:vAlign w:val="bottom"/>
            <w:hideMark/>
          </w:tcPr>
          <w:p w14:paraId="42BA90A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220-&gt;Lagunillas 220</w:t>
            </w:r>
          </w:p>
        </w:tc>
        <w:tc>
          <w:tcPr>
            <w:tcW w:w="1035" w:type="dxa"/>
            <w:tcBorders>
              <w:top w:val="nil"/>
              <w:left w:val="nil"/>
              <w:bottom w:val="single" w:sz="4" w:space="0" w:color="auto"/>
              <w:right w:val="single" w:sz="4" w:space="0" w:color="auto"/>
            </w:tcBorders>
            <w:shd w:val="clear" w:color="auto" w:fill="auto"/>
            <w:noWrap/>
          </w:tcPr>
          <w:p w14:paraId="0A4C80E9" w14:textId="3E2F21C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1.924.226 </w:t>
            </w:r>
          </w:p>
        </w:tc>
        <w:tc>
          <w:tcPr>
            <w:tcW w:w="891" w:type="dxa"/>
            <w:tcBorders>
              <w:top w:val="nil"/>
              <w:left w:val="nil"/>
              <w:bottom w:val="single" w:sz="4" w:space="0" w:color="auto"/>
              <w:right w:val="single" w:sz="4" w:space="0" w:color="auto"/>
            </w:tcBorders>
            <w:shd w:val="clear" w:color="auto" w:fill="auto"/>
            <w:noWrap/>
          </w:tcPr>
          <w:p w14:paraId="33FA1222" w14:textId="312F1EB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511.458 </w:t>
            </w:r>
          </w:p>
        </w:tc>
        <w:tc>
          <w:tcPr>
            <w:tcW w:w="952" w:type="dxa"/>
            <w:tcBorders>
              <w:top w:val="nil"/>
              <w:left w:val="nil"/>
              <w:bottom w:val="single" w:sz="4" w:space="0" w:color="auto"/>
              <w:right w:val="single" w:sz="4" w:space="0" w:color="auto"/>
            </w:tcBorders>
            <w:shd w:val="clear" w:color="auto" w:fill="auto"/>
            <w:noWrap/>
          </w:tcPr>
          <w:p w14:paraId="1B9671A1" w14:textId="77BB1DE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423.421 </w:t>
            </w:r>
          </w:p>
        </w:tc>
        <w:tc>
          <w:tcPr>
            <w:tcW w:w="992" w:type="dxa"/>
            <w:tcBorders>
              <w:top w:val="nil"/>
              <w:left w:val="nil"/>
              <w:bottom w:val="single" w:sz="4" w:space="0" w:color="auto"/>
              <w:right w:val="single" w:sz="4" w:space="0" w:color="auto"/>
            </w:tcBorders>
            <w:shd w:val="clear" w:color="auto" w:fill="auto"/>
            <w:noWrap/>
          </w:tcPr>
          <w:p w14:paraId="7591E7B4" w14:textId="6076768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2.859.105 </w:t>
            </w:r>
          </w:p>
        </w:tc>
      </w:tr>
      <w:tr w:rsidR="0066388E" w:rsidRPr="00E715D6" w14:paraId="6C87B47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87EC3F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N_31</w:t>
            </w:r>
          </w:p>
        </w:tc>
        <w:tc>
          <w:tcPr>
            <w:tcW w:w="5060" w:type="dxa"/>
            <w:tcBorders>
              <w:top w:val="nil"/>
              <w:left w:val="nil"/>
              <w:bottom w:val="single" w:sz="4" w:space="0" w:color="auto"/>
              <w:right w:val="single" w:sz="4" w:space="0" w:color="auto"/>
            </w:tcBorders>
            <w:shd w:val="clear" w:color="auto" w:fill="auto"/>
            <w:noWrap/>
            <w:vAlign w:val="bottom"/>
            <w:hideMark/>
          </w:tcPr>
          <w:p w14:paraId="4230CAC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220-&gt;Mulchen 220</w:t>
            </w:r>
          </w:p>
        </w:tc>
        <w:tc>
          <w:tcPr>
            <w:tcW w:w="1035" w:type="dxa"/>
            <w:tcBorders>
              <w:top w:val="nil"/>
              <w:left w:val="nil"/>
              <w:bottom w:val="single" w:sz="4" w:space="0" w:color="auto"/>
              <w:right w:val="single" w:sz="4" w:space="0" w:color="auto"/>
            </w:tcBorders>
            <w:shd w:val="clear" w:color="auto" w:fill="auto"/>
            <w:noWrap/>
          </w:tcPr>
          <w:p w14:paraId="64DEF06E" w14:textId="3BAD72E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58.704 </w:t>
            </w:r>
          </w:p>
        </w:tc>
        <w:tc>
          <w:tcPr>
            <w:tcW w:w="891" w:type="dxa"/>
            <w:tcBorders>
              <w:top w:val="nil"/>
              <w:left w:val="nil"/>
              <w:bottom w:val="single" w:sz="4" w:space="0" w:color="auto"/>
              <w:right w:val="single" w:sz="4" w:space="0" w:color="auto"/>
            </w:tcBorders>
            <w:shd w:val="clear" w:color="auto" w:fill="auto"/>
            <w:noWrap/>
          </w:tcPr>
          <w:p w14:paraId="57BA8D24" w14:textId="081DF6A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227.189 </w:t>
            </w:r>
          </w:p>
        </w:tc>
        <w:tc>
          <w:tcPr>
            <w:tcW w:w="952" w:type="dxa"/>
            <w:tcBorders>
              <w:top w:val="nil"/>
              <w:left w:val="nil"/>
              <w:bottom w:val="single" w:sz="4" w:space="0" w:color="auto"/>
              <w:right w:val="single" w:sz="4" w:space="0" w:color="auto"/>
            </w:tcBorders>
            <w:shd w:val="clear" w:color="auto" w:fill="auto"/>
            <w:noWrap/>
          </w:tcPr>
          <w:p w14:paraId="2AC58E79" w14:textId="008C9D1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7.188 </w:t>
            </w:r>
          </w:p>
        </w:tc>
        <w:tc>
          <w:tcPr>
            <w:tcW w:w="992" w:type="dxa"/>
            <w:tcBorders>
              <w:top w:val="nil"/>
              <w:left w:val="nil"/>
              <w:bottom w:val="single" w:sz="4" w:space="0" w:color="auto"/>
              <w:right w:val="single" w:sz="4" w:space="0" w:color="auto"/>
            </w:tcBorders>
            <w:shd w:val="clear" w:color="auto" w:fill="auto"/>
            <w:noWrap/>
          </w:tcPr>
          <w:p w14:paraId="77F77D1D" w14:textId="2D726FB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293.081 </w:t>
            </w:r>
          </w:p>
        </w:tc>
      </w:tr>
      <w:tr w:rsidR="0066388E" w:rsidRPr="00E715D6" w14:paraId="221598B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D23786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N_32</w:t>
            </w:r>
          </w:p>
        </w:tc>
        <w:tc>
          <w:tcPr>
            <w:tcW w:w="5060" w:type="dxa"/>
            <w:tcBorders>
              <w:top w:val="nil"/>
              <w:left w:val="nil"/>
              <w:bottom w:val="single" w:sz="4" w:space="0" w:color="auto"/>
              <w:right w:val="single" w:sz="4" w:space="0" w:color="auto"/>
            </w:tcBorders>
            <w:shd w:val="clear" w:color="auto" w:fill="auto"/>
            <w:noWrap/>
            <w:vAlign w:val="bottom"/>
            <w:hideMark/>
          </w:tcPr>
          <w:p w14:paraId="44CDBC7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220-&gt;Trebol 220</w:t>
            </w:r>
          </w:p>
        </w:tc>
        <w:tc>
          <w:tcPr>
            <w:tcW w:w="1035" w:type="dxa"/>
            <w:tcBorders>
              <w:top w:val="nil"/>
              <w:left w:val="nil"/>
              <w:bottom w:val="single" w:sz="4" w:space="0" w:color="auto"/>
              <w:right w:val="single" w:sz="4" w:space="0" w:color="auto"/>
            </w:tcBorders>
            <w:shd w:val="clear" w:color="auto" w:fill="auto"/>
            <w:noWrap/>
          </w:tcPr>
          <w:p w14:paraId="23C2EC0E" w14:textId="1A339C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1.687.256 </w:t>
            </w:r>
          </w:p>
        </w:tc>
        <w:tc>
          <w:tcPr>
            <w:tcW w:w="891" w:type="dxa"/>
            <w:tcBorders>
              <w:top w:val="nil"/>
              <w:left w:val="nil"/>
              <w:bottom w:val="single" w:sz="4" w:space="0" w:color="auto"/>
              <w:right w:val="single" w:sz="4" w:space="0" w:color="auto"/>
            </w:tcBorders>
            <w:shd w:val="clear" w:color="auto" w:fill="auto"/>
            <w:noWrap/>
          </w:tcPr>
          <w:p w14:paraId="07E6A6FC" w14:textId="49196F8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442.872 </w:t>
            </w:r>
          </w:p>
        </w:tc>
        <w:tc>
          <w:tcPr>
            <w:tcW w:w="952" w:type="dxa"/>
            <w:tcBorders>
              <w:top w:val="nil"/>
              <w:left w:val="nil"/>
              <w:bottom w:val="single" w:sz="4" w:space="0" w:color="auto"/>
              <w:right w:val="single" w:sz="4" w:space="0" w:color="auto"/>
            </w:tcBorders>
            <w:shd w:val="clear" w:color="auto" w:fill="auto"/>
            <w:noWrap/>
          </w:tcPr>
          <w:p w14:paraId="36A0D97B" w14:textId="6FD894A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310.230 </w:t>
            </w:r>
          </w:p>
        </w:tc>
        <w:tc>
          <w:tcPr>
            <w:tcW w:w="992" w:type="dxa"/>
            <w:tcBorders>
              <w:top w:val="nil"/>
              <w:left w:val="nil"/>
              <w:bottom w:val="single" w:sz="4" w:space="0" w:color="auto"/>
              <w:right w:val="single" w:sz="4" w:space="0" w:color="auto"/>
            </w:tcBorders>
            <w:shd w:val="clear" w:color="auto" w:fill="auto"/>
            <w:noWrap/>
          </w:tcPr>
          <w:p w14:paraId="53C4058B" w14:textId="62CB9D8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2.440.359 </w:t>
            </w:r>
          </w:p>
        </w:tc>
      </w:tr>
      <w:tr w:rsidR="0066388E" w:rsidRPr="00E715D6" w14:paraId="1EC1266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914C1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N_33</w:t>
            </w:r>
          </w:p>
        </w:tc>
        <w:tc>
          <w:tcPr>
            <w:tcW w:w="5060" w:type="dxa"/>
            <w:tcBorders>
              <w:top w:val="nil"/>
              <w:left w:val="nil"/>
              <w:bottom w:val="single" w:sz="4" w:space="0" w:color="auto"/>
              <w:right w:val="single" w:sz="4" w:space="0" w:color="auto"/>
            </w:tcBorders>
            <w:shd w:val="clear" w:color="auto" w:fill="auto"/>
            <w:noWrap/>
            <w:vAlign w:val="bottom"/>
            <w:hideMark/>
          </w:tcPr>
          <w:p w14:paraId="2E203E5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Charrua 500-&gt;Nueva Charrua 500</w:t>
            </w:r>
          </w:p>
        </w:tc>
        <w:tc>
          <w:tcPr>
            <w:tcW w:w="1035" w:type="dxa"/>
            <w:tcBorders>
              <w:top w:val="nil"/>
              <w:left w:val="nil"/>
              <w:bottom w:val="single" w:sz="4" w:space="0" w:color="auto"/>
              <w:right w:val="single" w:sz="4" w:space="0" w:color="auto"/>
            </w:tcBorders>
            <w:shd w:val="clear" w:color="auto" w:fill="auto"/>
            <w:noWrap/>
          </w:tcPr>
          <w:p w14:paraId="26041D05" w14:textId="38678D1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2.264.353 </w:t>
            </w:r>
          </w:p>
        </w:tc>
        <w:tc>
          <w:tcPr>
            <w:tcW w:w="891" w:type="dxa"/>
            <w:tcBorders>
              <w:top w:val="nil"/>
              <w:left w:val="nil"/>
              <w:bottom w:val="single" w:sz="4" w:space="0" w:color="auto"/>
              <w:right w:val="single" w:sz="4" w:space="0" w:color="auto"/>
            </w:tcBorders>
            <w:shd w:val="clear" w:color="auto" w:fill="auto"/>
            <w:noWrap/>
          </w:tcPr>
          <w:p w14:paraId="06DA1001" w14:textId="779BF8D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312.442 </w:t>
            </w:r>
          </w:p>
        </w:tc>
        <w:tc>
          <w:tcPr>
            <w:tcW w:w="952" w:type="dxa"/>
            <w:tcBorders>
              <w:top w:val="nil"/>
              <w:left w:val="nil"/>
              <w:bottom w:val="single" w:sz="4" w:space="0" w:color="auto"/>
              <w:right w:val="single" w:sz="4" w:space="0" w:color="auto"/>
            </w:tcBorders>
            <w:shd w:val="clear" w:color="auto" w:fill="auto"/>
            <w:noWrap/>
          </w:tcPr>
          <w:p w14:paraId="76A498E7" w14:textId="35A6B31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565.548 </w:t>
            </w:r>
          </w:p>
        </w:tc>
        <w:tc>
          <w:tcPr>
            <w:tcW w:w="992" w:type="dxa"/>
            <w:tcBorders>
              <w:top w:val="nil"/>
              <w:left w:val="nil"/>
              <w:bottom w:val="single" w:sz="4" w:space="0" w:color="auto"/>
              <w:right w:val="single" w:sz="4" w:space="0" w:color="auto"/>
            </w:tcBorders>
            <w:shd w:val="clear" w:color="auto" w:fill="auto"/>
            <w:noWrap/>
          </w:tcPr>
          <w:p w14:paraId="238ACC02" w14:textId="57304DF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3.142.344 </w:t>
            </w:r>
          </w:p>
        </w:tc>
      </w:tr>
      <w:tr w:rsidR="0066388E" w:rsidRPr="00E715D6" w14:paraId="4C731E87"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EAB6F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N_34</w:t>
            </w:r>
          </w:p>
        </w:tc>
        <w:tc>
          <w:tcPr>
            <w:tcW w:w="5060" w:type="dxa"/>
            <w:tcBorders>
              <w:top w:val="nil"/>
              <w:left w:val="nil"/>
              <w:bottom w:val="single" w:sz="4" w:space="0" w:color="auto"/>
              <w:right w:val="single" w:sz="4" w:space="0" w:color="auto"/>
            </w:tcBorders>
            <w:shd w:val="clear" w:color="auto" w:fill="auto"/>
            <w:noWrap/>
            <w:vAlign w:val="bottom"/>
            <w:hideMark/>
          </w:tcPr>
          <w:p w14:paraId="317A56D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Chena 220-&gt;Neptuno 220</w:t>
            </w:r>
          </w:p>
        </w:tc>
        <w:tc>
          <w:tcPr>
            <w:tcW w:w="1035" w:type="dxa"/>
            <w:tcBorders>
              <w:top w:val="nil"/>
              <w:left w:val="nil"/>
              <w:bottom w:val="single" w:sz="4" w:space="0" w:color="auto"/>
              <w:right w:val="single" w:sz="4" w:space="0" w:color="auto"/>
            </w:tcBorders>
            <w:shd w:val="clear" w:color="auto" w:fill="auto"/>
            <w:noWrap/>
          </w:tcPr>
          <w:p w14:paraId="3D620444" w14:textId="732CF9A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207.336 </w:t>
            </w:r>
          </w:p>
        </w:tc>
        <w:tc>
          <w:tcPr>
            <w:tcW w:w="891" w:type="dxa"/>
            <w:tcBorders>
              <w:top w:val="nil"/>
              <w:left w:val="nil"/>
              <w:bottom w:val="single" w:sz="4" w:space="0" w:color="auto"/>
              <w:right w:val="single" w:sz="4" w:space="0" w:color="auto"/>
            </w:tcBorders>
            <w:shd w:val="clear" w:color="auto" w:fill="auto"/>
            <w:noWrap/>
          </w:tcPr>
          <w:p w14:paraId="744A8B34" w14:textId="1F72DA4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52.071 </w:t>
            </w:r>
          </w:p>
        </w:tc>
        <w:tc>
          <w:tcPr>
            <w:tcW w:w="952" w:type="dxa"/>
            <w:tcBorders>
              <w:top w:val="nil"/>
              <w:left w:val="nil"/>
              <w:bottom w:val="single" w:sz="4" w:space="0" w:color="auto"/>
              <w:right w:val="single" w:sz="4" w:space="0" w:color="auto"/>
            </w:tcBorders>
            <w:shd w:val="clear" w:color="auto" w:fill="auto"/>
            <w:noWrap/>
          </w:tcPr>
          <w:p w14:paraId="6ACB364F" w14:textId="142CC8D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39.774 </w:t>
            </w:r>
          </w:p>
        </w:tc>
        <w:tc>
          <w:tcPr>
            <w:tcW w:w="992" w:type="dxa"/>
            <w:tcBorders>
              <w:top w:val="nil"/>
              <w:left w:val="nil"/>
              <w:bottom w:val="single" w:sz="4" w:space="0" w:color="auto"/>
              <w:right w:val="single" w:sz="4" w:space="0" w:color="auto"/>
            </w:tcBorders>
            <w:shd w:val="clear" w:color="auto" w:fill="auto"/>
            <w:noWrap/>
          </w:tcPr>
          <w:p w14:paraId="10EF6E9C" w14:textId="1520801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299.181 </w:t>
            </w:r>
          </w:p>
        </w:tc>
      </w:tr>
      <w:tr w:rsidR="0066388E" w:rsidRPr="00E715D6" w14:paraId="0FCA4EF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767024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N_35</w:t>
            </w:r>
          </w:p>
        </w:tc>
        <w:tc>
          <w:tcPr>
            <w:tcW w:w="5060" w:type="dxa"/>
            <w:tcBorders>
              <w:top w:val="nil"/>
              <w:left w:val="nil"/>
              <w:bottom w:val="single" w:sz="4" w:space="0" w:color="auto"/>
              <w:right w:val="single" w:sz="4" w:space="0" w:color="auto"/>
            </w:tcBorders>
            <w:shd w:val="clear" w:color="auto" w:fill="auto"/>
            <w:noWrap/>
            <w:vAlign w:val="bottom"/>
            <w:hideMark/>
          </w:tcPr>
          <w:p w14:paraId="45D014F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Chena 220-&gt;Tap Central Santa Marta 220</w:t>
            </w:r>
          </w:p>
        </w:tc>
        <w:tc>
          <w:tcPr>
            <w:tcW w:w="1035" w:type="dxa"/>
            <w:tcBorders>
              <w:top w:val="nil"/>
              <w:left w:val="nil"/>
              <w:bottom w:val="single" w:sz="4" w:space="0" w:color="auto"/>
              <w:right w:val="single" w:sz="4" w:space="0" w:color="auto"/>
            </w:tcBorders>
            <w:shd w:val="clear" w:color="auto" w:fill="auto"/>
            <w:noWrap/>
          </w:tcPr>
          <w:p w14:paraId="5AC15592" w14:textId="1ADE085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555.452 </w:t>
            </w:r>
          </w:p>
        </w:tc>
        <w:tc>
          <w:tcPr>
            <w:tcW w:w="891" w:type="dxa"/>
            <w:tcBorders>
              <w:top w:val="nil"/>
              <w:left w:val="nil"/>
              <w:bottom w:val="single" w:sz="4" w:space="0" w:color="auto"/>
              <w:right w:val="single" w:sz="4" w:space="0" w:color="auto"/>
            </w:tcBorders>
            <w:shd w:val="clear" w:color="auto" w:fill="auto"/>
            <w:noWrap/>
          </w:tcPr>
          <w:p w14:paraId="45FC95F5" w14:textId="52F27DE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107.520 </w:t>
            </w:r>
          </w:p>
        </w:tc>
        <w:tc>
          <w:tcPr>
            <w:tcW w:w="952" w:type="dxa"/>
            <w:tcBorders>
              <w:top w:val="nil"/>
              <w:left w:val="nil"/>
              <w:bottom w:val="single" w:sz="4" w:space="0" w:color="auto"/>
              <w:right w:val="single" w:sz="4" w:space="0" w:color="auto"/>
            </w:tcBorders>
            <w:shd w:val="clear" w:color="auto" w:fill="auto"/>
            <w:noWrap/>
          </w:tcPr>
          <w:p w14:paraId="0611C2A1" w14:textId="3BD48BF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143.666 </w:t>
            </w:r>
          </w:p>
        </w:tc>
        <w:tc>
          <w:tcPr>
            <w:tcW w:w="992" w:type="dxa"/>
            <w:tcBorders>
              <w:top w:val="nil"/>
              <w:left w:val="nil"/>
              <w:bottom w:val="single" w:sz="4" w:space="0" w:color="auto"/>
              <w:right w:val="single" w:sz="4" w:space="0" w:color="auto"/>
            </w:tcBorders>
            <w:shd w:val="clear" w:color="auto" w:fill="auto"/>
            <w:noWrap/>
          </w:tcPr>
          <w:p w14:paraId="7264602B" w14:textId="6409568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806.638 </w:t>
            </w:r>
          </w:p>
        </w:tc>
      </w:tr>
      <w:tr w:rsidR="0066388E" w:rsidRPr="00E715D6" w14:paraId="7C96E99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F44A25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N_36</w:t>
            </w:r>
          </w:p>
        </w:tc>
        <w:tc>
          <w:tcPr>
            <w:tcW w:w="5060" w:type="dxa"/>
            <w:tcBorders>
              <w:top w:val="nil"/>
              <w:left w:val="nil"/>
              <w:bottom w:val="single" w:sz="4" w:space="0" w:color="auto"/>
              <w:right w:val="single" w:sz="4" w:space="0" w:color="auto"/>
            </w:tcBorders>
            <w:shd w:val="clear" w:color="auto" w:fill="auto"/>
            <w:noWrap/>
            <w:vAlign w:val="bottom"/>
            <w:hideMark/>
          </w:tcPr>
          <w:p w14:paraId="6713BA9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Chiloe 220-&gt;Nueva Ancud 220</w:t>
            </w:r>
          </w:p>
        </w:tc>
        <w:tc>
          <w:tcPr>
            <w:tcW w:w="1035" w:type="dxa"/>
            <w:tcBorders>
              <w:top w:val="nil"/>
              <w:left w:val="nil"/>
              <w:bottom w:val="single" w:sz="4" w:space="0" w:color="auto"/>
              <w:right w:val="single" w:sz="4" w:space="0" w:color="auto"/>
            </w:tcBorders>
            <w:shd w:val="clear" w:color="auto" w:fill="auto"/>
            <w:noWrap/>
          </w:tcPr>
          <w:p w14:paraId="7AE92EE7" w14:textId="554A02F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252.638 </w:t>
            </w:r>
          </w:p>
        </w:tc>
        <w:tc>
          <w:tcPr>
            <w:tcW w:w="891" w:type="dxa"/>
            <w:tcBorders>
              <w:top w:val="nil"/>
              <w:left w:val="nil"/>
              <w:bottom w:val="single" w:sz="4" w:space="0" w:color="auto"/>
              <w:right w:val="single" w:sz="4" w:space="0" w:color="auto"/>
            </w:tcBorders>
            <w:shd w:val="clear" w:color="auto" w:fill="auto"/>
            <w:noWrap/>
          </w:tcPr>
          <w:p w14:paraId="5EB95924" w14:textId="136089D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78.732 </w:t>
            </w:r>
          </w:p>
        </w:tc>
        <w:tc>
          <w:tcPr>
            <w:tcW w:w="952" w:type="dxa"/>
            <w:tcBorders>
              <w:top w:val="nil"/>
              <w:left w:val="nil"/>
              <w:bottom w:val="single" w:sz="4" w:space="0" w:color="auto"/>
              <w:right w:val="single" w:sz="4" w:space="0" w:color="auto"/>
            </w:tcBorders>
            <w:shd w:val="clear" w:color="auto" w:fill="auto"/>
            <w:noWrap/>
          </w:tcPr>
          <w:p w14:paraId="079D926C" w14:textId="7995856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43.426 </w:t>
            </w:r>
          </w:p>
        </w:tc>
        <w:tc>
          <w:tcPr>
            <w:tcW w:w="992" w:type="dxa"/>
            <w:tcBorders>
              <w:top w:val="nil"/>
              <w:left w:val="nil"/>
              <w:bottom w:val="single" w:sz="4" w:space="0" w:color="auto"/>
              <w:right w:val="single" w:sz="4" w:space="0" w:color="auto"/>
            </w:tcBorders>
            <w:shd w:val="clear" w:color="auto" w:fill="auto"/>
            <w:noWrap/>
          </w:tcPr>
          <w:p w14:paraId="4306F2A1" w14:textId="782AA68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374.796 </w:t>
            </w:r>
          </w:p>
        </w:tc>
      </w:tr>
      <w:tr w:rsidR="0066388E" w:rsidRPr="00E715D6" w14:paraId="47101CE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8B732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N_37</w:t>
            </w:r>
          </w:p>
        </w:tc>
        <w:tc>
          <w:tcPr>
            <w:tcW w:w="5060" w:type="dxa"/>
            <w:tcBorders>
              <w:top w:val="nil"/>
              <w:left w:val="nil"/>
              <w:bottom w:val="single" w:sz="4" w:space="0" w:color="auto"/>
              <w:right w:val="single" w:sz="4" w:space="0" w:color="auto"/>
            </w:tcBorders>
            <w:shd w:val="clear" w:color="auto" w:fill="auto"/>
            <w:noWrap/>
            <w:vAlign w:val="bottom"/>
            <w:hideMark/>
          </w:tcPr>
          <w:p w14:paraId="34CCCB2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Chuquicamata 220-&gt;Nueva Chuquicamata 220</w:t>
            </w:r>
          </w:p>
        </w:tc>
        <w:tc>
          <w:tcPr>
            <w:tcW w:w="1035" w:type="dxa"/>
            <w:tcBorders>
              <w:top w:val="nil"/>
              <w:left w:val="nil"/>
              <w:bottom w:val="single" w:sz="4" w:space="0" w:color="auto"/>
              <w:right w:val="single" w:sz="4" w:space="0" w:color="auto"/>
            </w:tcBorders>
            <w:shd w:val="clear" w:color="auto" w:fill="auto"/>
            <w:noWrap/>
          </w:tcPr>
          <w:p w14:paraId="2F9B3F70" w14:textId="1742EC8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731.625 </w:t>
            </w:r>
          </w:p>
        </w:tc>
        <w:tc>
          <w:tcPr>
            <w:tcW w:w="891" w:type="dxa"/>
            <w:tcBorders>
              <w:top w:val="nil"/>
              <w:left w:val="nil"/>
              <w:bottom w:val="single" w:sz="4" w:space="0" w:color="auto"/>
              <w:right w:val="single" w:sz="4" w:space="0" w:color="auto"/>
            </w:tcBorders>
            <w:shd w:val="clear" w:color="auto" w:fill="auto"/>
            <w:noWrap/>
          </w:tcPr>
          <w:p w14:paraId="71DD671A" w14:textId="7D77962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78.109 </w:t>
            </w:r>
          </w:p>
        </w:tc>
        <w:tc>
          <w:tcPr>
            <w:tcW w:w="952" w:type="dxa"/>
            <w:tcBorders>
              <w:top w:val="nil"/>
              <w:left w:val="nil"/>
              <w:bottom w:val="single" w:sz="4" w:space="0" w:color="auto"/>
              <w:right w:val="single" w:sz="4" w:space="0" w:color="auto"/>
            </w:tcBorders>
            <w:shd w:val="clear" w:color="auto" w:fill="auto"/>
            <w:noWrap/>
          </w:tcPr>
          <w:p w14:paraId="55C95238" w14:textId="6FC95EF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242.072 </w:t>
            </w:r>
          </w:p>
        </w:tc>
        <w:tc>
          <w:tcPr>
            <w:tcW w:w="992" w:type="dxa"/>
            <w:tcBorders>
              <w:top w:val="nil"/>
              <w:left w:val="nil"/>
              <w:bottom w:val="single" w:sz="4" w:space="0" w:color="auto"/>
              <w:right w:val="single" w:sz="4" w:space="0" w:color="auto"/>
            </w:tcBorders>
            <w:shd w:val="clear" w:color="auto" w:fill="auto"/>
            <w:noWrap/>
          </w:tcPr>
          <w:p w14:paraId="27641F43" w14:textId="1B4C23B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1.051.807 </w:t>
            </w:r>
          </w:p>
        </w:tc>
      </w:tr>
      <w:tr w:rsidR="0066388E" w:rsidRPr="00E715D6" w14:paraId="73F70BB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032131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N_38</w:t>
            </w:r>
          </w:p>
        </w:tc>
        <w:tc>
          <w:tcPr>
            <w:tcW w:w="5060" w:type="dxa"/>
            <w:tcBorders>
              <w:top w:val="nil"/>
              <w:left w:val="nil"/>
              <w:bottom w:val="single" w:sz="4" w:space="0" w:color="auto"/>
              <w:right w:val="single" w:sz="4" w:space="0" w:color="auto"/>
            </w:tcBorders>
            <w:shd w:val="clear" w:color="auto" w:fill="auto"/>
            <w:noWrap/>
            <w:vAlign w:val="bottom"/>
            <w:hideMark/>
          </w:tcPr>
          <w:p w14:paraId="2C139AF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Ciruelos 220-&gt;Cerros de Huichahue 220</w:t>
            </w:r>
          </w:p>
        </w:tc>
        <w:tc>
          <w:tcPr>
            <w:tcW w:w="1035" w:type="dxa"/>
            <w:tcBorders>
              <w:top w:val="nil"/>
              <w:left w:val="nil"/>
              <w:bottom w:val="single" w:sz="4" w:space="0" w:color="auto"/>
              <w:right w:val="single" w:sz="4" w:space="0" w:color="auto"/>
            </w:tcBorders>
            <w:shd w:val="clear" w:color="auto" w:fill="auto"/>
            <w:noWrap/>
          </w:tcPr>
          <w:p w14:paraId="072D03B9" w14:textId="5301CC3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271.118 </w:t>
            </w:r>
          </w:p>
        </w:tc>
        <w:tc>
          <w:tcPr>
            <w:tcW w:w="891" w:type="dxa"/>
            <w:tcBorders>
              <w:top w:val="nil"/>
              <w:left w:val="nil"/>
              <w:bottom w:val="single" w:sz="4" w:space="0" w:color="auto"/>
              <w:right w:val="single" w:sz="4" w:space="0" w:color="auto"/>
            </w:tcBorders>
            <w:shd w:val="clear" w:color="auto" w:fill="auto"/>
            <w:noWrap/>
          </w:tcPr>
          <w:p w14:paraId="64F48BB3" w14:textId="0704131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92.473 </w:t>
            </w:r>
          </w:p>
        </w:tc>
        <w:tc>
          <w:tcPr>
            <w:tcW w:w="952" w:type="dxa"/>
            <w:tcBorders>
              <w:top w:val="nil"/>
              <w:left w:val="nil"/>
              <w:bottom w:val="single" w:sz="4" w:space="0" w:color="auto"/>
              <w:right w:val="single" w:sz="4" w:space="0" w:color="auto"/>
            </w:tcBorders>
            <w:shd w:val="clear" w:color="auto" w:fill="auto"/>
            <w:noWrap/>
          </w:tcPr>
          <w:p w14:paraId="14A03469" w14:textId="425CA97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43.237 </w:t>
            </w:r>
          </w:p>
        </w:tc>
        <w:tc>
          <w:tcPr>
            <w:tcW w:w="992" w:type="dxa"/>
            <w:tcBorders>
              <w:top w:val="nil"/>
              <w:left w:val="nil"/>
              <w:bottom w:val="single" w:sz="4" w:space="0" w:color="auto"/>
              <w:right w:val="single" w:sz="4" w:space="0" w:color="auto"/>
            </w:tcBorders>
            <w:shd w:val="clear" w:color="auto" w:fill="auto"/>
            <w:noWrap/>
          </w:tcPr>
          <w:p w14:paraId="61076693" w14:textId="77DE848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406.827 </w:t>
            </w:r>
          </w:p>
        </w:tc>
      </w:tr>
      <w:tr w:rsidR="0066388E" w:rsidRPr="00E715D6" w14:paraId="1D899C6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893E0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N_39</w:t>
            </w:r>
          </w:p>
        </w:tc>
        <w:tc>
          <w:tcPr>
            <w:tcW w:w="5060" w:type="dxa"/>
            <w:tcBorders>
              <w:top w:val="nil"/>
              <w:left w:val="nil"/>
              <w:bottom w:val="single" w:sz="4" w:space="0" w:color="auto"/>
              <w:right w:val="single" w:sz="4" w:space="0" w:color="auto"/>
            </w:tcBorders>
            <w:shd w:val="clear" w:color="auto" w:fill="auto"/>
            <w:noWrap/>
            <w:vAlign w:val="bottom"/>
            <w:hideMark/>
          </w:tcPr>
          <w:p w14:paraId="171E592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Ciruelos 220-&gt;Lastarria 220</w:t>
            </w:r>
          </w:p>
        </w:tc>
        <w:tc>
          <w:tcPr>
            <w:tcW w:w="1035" w:type="dxa"/>
            <w:tcBorders>
              <w:top w:val="nil"/>
              <w:left w:val="nil"/>
              <w:bottom w:val="single" w:sz="4" w:space="0" w:color="auto"/>
              <w:right w:val="single" w:sz="4" w:space="0" w:color="auto"/>
            </w:tcBorders>
            <w:shd w:val="clear" w:color="auto" w:fill="auto"/>
            <w:noWrap/>
          </w:tcPr>
          <w:p w14:paraId="024F249C" w14:textId="2E8F661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742.412 </w:t>
            </w:r>
          </w:p>
        </w:tc>
        <w:tc>
          <w:tcPr>
            <w:tcW w:w="891" w:type="dxa"/>
            <w:tcBorders>
              <w:top w:val="nil"/>
              <w:left w:val="nil"/>
              <w:bottom w:val="single" w:sz="4" w:space="0" w:color="auto"/>
              <w:right w:val="single" w:sz="4" w:space="0" w:color="auto"/>
            </w:tcBorders>
            <w:shd w:val="clear" w:color="auto" w:fill="auto"/>
            <w:noWrap/>
          </w:tcPr>
          <w:p w14:paraId="313C1651" w14:textId="4E4C76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181.697 </w:t>
            </w:r>
          </w:p>
        </w:tc>
        <w:tc>
          <w:tcPr>
            <w:tcW w:w="952" w:type="dxa"/>
            <w:tcBorders>
              <w:top w:val="nil"/>
              <w:left w:val="nil"/>
              <w:bottom w:val="single" w:sz="4" w:space="0" w:color="auto"/>
              <w:right w:val="single" w:sz="4" w:space="0" w:color="auto"/>
            </w:tcBorders>
            <w:shd w:val="clear" w:color="auto" w:fill="auto"/>
            <w:noWrap/>
          </w:tcPr>
          <w:p w14:paraId="6930EA42" w14:textId="667CD02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150.856 </w:t>
            </w:r>
          </w:p>
        </w:tc>
        <w:tc>
          <w:tcPr>
            <w:tcW w:w="992" w:type="dxa"/>
            <w:tcBorders>
              <w:top w:val="nil"/>
              <w:left w:val="nil"/>
              <w:bottom w:val="single" w:sz="4" w:space="0" w:color="auto"/>
              <w:right w:val="single" w:sz="4" w:space="0" w:color="auto"/>
            </w:tcBorders>
            <w:shd w:val="clear" w:color="auto" w:fill="auto"/>
            <w:noWrap/>
          </w:tcPr>
          <w:p w14:paraId="1497C5BD" w14:textId="5D4B1E2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1.074.965 </w:t>
            </w:r>
          </w:p>
        </w:tc>
      </w:tr>
      <w:tr w:rsidR="0066388E" w:rsidRPr="00E715D6" w14:paraId="6EA6A8E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341225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N_40</w:t>
            </w:r>
          </w:p>
        </w:tc>
        <w:tc>
          <w:tcPr>
            <w:tcW w:w="5060" w:type="dxa"/>
            <w:tcBorders>
              <w:top w:val="nil"/>
              <w:left w:val="nil"/>
              <w:bottom w:val="single" w:sz="4" w:space="0" w:color="auto"/>
              <w:right w:val="single" w:sz="4" w:space="0" w:color="auto"/>
            </w:tcBorders>
            <w:shd w:val="clear" w:color="auto" w:fill="auto"/>
            <w:noWrap/>
            <w:vAlign w:val="bottom"/>
            <w:hideMark/>
          </w:tcPr>
          <w:p w14:paraId="34CF02B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Ciruelos 220-&gt;Valdivia 220</w:t>
            </w:r>
          </w:p>
        </w:tc>
        <w:tc>
          <w:tcPr>
            <w:tcW w:w="1035" w:type="dxa"/>
            <w:tcBorders>
              <w:top w:val="nil"/>
              <w:left w:val="nil"/>
              <w:bottom w:val="single" w:sz="4" w:space="0" w:color="auto"/>
              <w:right w:val="single" w:sz="4" w:space="0" w:color="auto"/>
            </w:tcBorders>
            <w:shd w:val="clear" w:color="auto" w:fill="auto"/>
            <w:noWrap/>
          </w:tcPr>
          <w:p w14:paraId="04A7757B" w14:textId="25D05C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917.970 </w:t>
            </w:r>
          </w:p>
        </w:tc>
        <w:tc>
          <w:tcPr>
            <w:tcW w:w="891" w:type="dxa"/>
            <w:tcBorders>
              <w:top w:val="nil"/>
              <w:left w:val="nil"/>
              <w:bottom w:val="single" w:sz="4" w:space="0" w:color="auto"/>
              <w:right w:val="single" w:sz="4" w:space="0" w:color="auto"/>
            </w:tcBorders>
            <w:shd w:val="clear" w:color="auto" w:fill="auto"/>
            <w:noWrap/>
          </w:tcPr>
          <w:p w14:paraId="2752AB1B" w14:textId="45771D3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223.083 </w:t>
            </w:r>
          </w:p>
        </w:tc>
        <w:tc>
          <w:tcPr>
            <w:tcW w:w="952" w:type="dxa"/>
            <w:tcBorders>
              <w:top w:val="nil"/>
              <w:left w:val="nil"/>
              <w:bottom w:val="single" w:sz="4" w:space="0" w:color="auto"/>
              <w:right w:val="single" w:sz="4" w:space="0" w:color="auto"/>
            </w:tcBorders>
            <w:shd w:val="clear" w:color="auto" w:fill="auto"/>
            <w:noWrap/>
          </w:tcPr>
          <w:p w14:paraId="297ADFDC" w14:textId="05A8895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186.186 </w:t>
            </w:r>
          </w:p>
        </w:tc>
        <w:tc>
          <w:tcPr>
            <w:tcW w:w="992" w:type="dxa"/>
            <w:tcBorders>
              <w:top w:val="nil"/>
              <w:left w:val="nil"/>
              <w:bottom w:val="single" w:sz="4" w:space="0" w:color="auto"/>
              <w:right w:val="single" w:sz="4" w:space="0" w:color="auto"/>
            </w:tcBorders>
            <w:shd w:val="clear" w:color="auto" w:fill="auto"/>
            <w:noWrap/>
          </w:tcPr>
          <w:p w14:paraId="69EAC579" w14:textId="2DAAB2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1.327.239 </w:t>
            </w:r>
          </w:p>
        </w:tc>
      </w:tr>
      <w:tr w:rsidR="0066388E" w:rsidRPr="00E715D6" w14:paraId="21693F3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AAA2F4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N_41</w:t>
            </w:r>
          </w:p>
        </w:tc>
        <w:tc>
          <w:tcPr>
            <w:tcW w:w="5060" w:type="dxa"/>
            <w:tcBorders>
              <w:top w:val="nil"/>
              <w:left w:val="nil"/>
              <w:bottom w:val="single" w:sz="4" w:space="0" w:color="auto"/>
              <w:right w:val="single" w:sz="4" w:space="0" w:color="auto"/>
            </w:tcBorders>
            <w:shd w:val="clear" w:color="auto" w:fill="auto"/>
            <w:noWrap/>
            <w:vAlign w:val="bottom"/>
            <w:hideMark/>
          </w:tcPr>
          <w:p w14:paraId="3DE4D21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Condores 220-&gt;Parinacota 220</w:t>
            </w:r>
          </w:p>
        </w:tc>
        <w:tc>
          <w:tcPr>
            <w:tcW w:w="1035" w:type="dxa"/>
            <w:tcBorders>
              <w:top w:val="nil"/>
              <w:left w:val="nil"/>
              <w:bottom w:val="single" w:sz="4" w:space="0" w:color="auto"/>
              <w:right w:val="single" w:sz="4" w:space="0" w:color="auto"/>
            </w:tcBorders>
            <w:shd w:val="clear" w:color="auto" w:fill="auto"/>
            <w:noWrap/>
          </w:tcPr>
          <w:p w14:paraId="0E5DB77F" w14:textId="088C63F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2.531.832 </w:t>
            </w:r>
          </w:p>
        </w:tc>
        <w:tc>
          <w:tcPr>
            <w:tcW w:w="891" w:type="dxa"/>
            <w:tcBorders>
              <w:top w:val="nil"/>
              <w:left w:val="nil"/>
              <w:bottom w:val="single" w:sz="4" w:space="0" w:color="auto"/>
              <w:right w:val="single" w:sz="4" w:space="0" w:color="auto"/>
            </w:tcBorders>
            <w:shd w:val="clear" w:color="auto" w:fill="auto"/>
            <w:noWrap/>
          </w:tcPr>
          <w:p w14:paraId="3C553A82" w14:textId="0CE4603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668.565 </w:t>
            </w:r>
          </w:p>
        </w:tc>
        <w:tc>
          <w:tcPr>
            <w:tcW w:w="952" w:type="dxa"/>
            <w:tcBorders>
              <w:top w:val="nil"/>
              <w:left w:val="nil"/>
              <w:bottom w:val="single" w:sz="4" w:space="0" w:color="auto"/>
              <w:right w:val="single" w:sz="4" w:space="0" w:color="auto"/>
            </w:tcBorders>
            <w:shd w:val="clear" w:color="auto" w:fill="auto"/>
            <w:noWrap/>
          </w:tcPr>
          <w:p w14:paraId="2CB26FFC" w14:textId="304CC5A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510.471 </w:t>
            </w:r>
          </w:p>
        </w:tc>
        <w:tc>
          <w:tcPr>
            <w:tcW w:w="992" w:type="dxa"/>
            <w:tcBorders>
              <w:top w:val="nil"/>
              <w:left w:val="nil"/>
              <w:bottom w:val="single" w:sz="4" w:space="0" w:color="auto"/>
              <w:right w:val="single" w:sz="4" w:space="0" w:color="auto"/>
            </w:tcBorders>
            <w:shd w:val="clear" w:color="auto" w:fill="auto"/>
            <w:noWrap/>
          </w:tcPr>
          <w:p w14:paraId="547ED975" w14:textId="0C4741B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3.710.868 </w:t>
            </w:r>
          </w:p>
        </w:tc>
      </w:tr>
      <w:tr w:rsidR="0066388E" w:rsidRPr="00E715D6" w14:paraId="20601CC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DAACF0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N_42</w:t>
            </w:r>
          </w:p>
        </w:tc>
        <w:tc>
          <w:tcPr>
            <w:tcW w:w="5060" w:type="dxa"/>
            <w:tcBorders>
              <w:top w:val="nil"/>
              <w:left w:val="nil"/>
              <w:bottom w:val="single" w:sz="4" w:space="0" w:color="auto"/>
              <w:right w:val="single" w:sz="4" w:space="0" w:color="auto"/>
            </w:tcBorders>
            <w:shd w:val="clear" w:color="auto" w:fill="auto"/>
            <w:noWrap/>
            <w:vAlign w:val="bottom"/>
            <w:hideMark/>
          </w:tcPr>
          <w:p w14:paraId="7CD6677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Crucero 220-&gt;Kimal 220</w:t>
            </w:r>
          </w:p>
        </w:tc>
        <w:tc>
          <w:tcPr>
            <w:tcW w:w="1035" w:type="dxa"/>
            <w:tcBorders>
              <w:top w:val="nil"/>
              <w:left w:val="nil"/>
              <w:bottom w:val="single" w:sz="4" w:space="0" w:color="auto"/>
              <w:right w:val="single" w:sz="4" w:space="0" w:color="auto"/>
            </w:tcBorders>
            <w:shd w:val="clear" w:color="auto" w:fill="auto"/>
            <w:noWrap/>
          </w:tcPr>
          <w:p w14:paraId="484CF59C" w14:textId="24B06C6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114.042 </w:t>
            </w:r>
          </w:p>
        </w:tc>
        <w:tc>
          <w:tcPr>
            <w:tcW w:w="891" w:type="dxa"/>
            <w:tcBorders>
              <w:top w:val="nil"/>
              <w:left w:val="nil"/>
              <w:bottom w:val="single" w:sz="4" w:space="0" w:color="auto"/>
              <w:right w:val="single" w:sz="4" w:space="0" w:color="auto"/>
            </w:tcBorders>
            <w:shd w:val="clear" w:color="auto" w:fill="auto"/>
            <w:noWrap/>
          </w:tcPr>
          <w:p w14:paraId="4B773B5C" w14:textId="1F3BBFB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37.545 </w:t>
            </w:r>
          </w:p>
        </w:tc>
        <w:tc>
          <w:tcPr>
            <w:tcW w:w="952" w:type="dxa"/>
            <w:tcBorders>
              <w:top w:val="nil"/>
              <w:left w:val="nil"/>
              <w:bottom w:val="single" w:sz="4" w:space="0" w:color="auto"/>
              <w:right w:val="single" w:sz="4" w:space="0" w:color="auto"/>
            </w:tcBorders>
            <w:shd w:val="clear" w:color="auto" w:fill="auto"/>
            <w:noWrap/>
          </w:tcPr>
          <w:p w14:paraId="382D2285" w14:textId="523621C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17.063 </w:t>
            </w:r>
          </w:p>
        </w:tc>
        <w:tc>
          <w:tcPr>
            <w:tcW w:w="992" w:type="dxa"/>
            <w:tcBorders>
              <w:top w:val="nil"/>
              <w:left w:val="nil"/>
              <w:bottom w:val="single" w:sz="4" w:space="0" w:color="auto"/>
              <w:right w:val="single" w:sz="4" w:space="0" w:color="auto"/>
            </w:tcBorders>
            <w:shd w:val="clear" w:color="auto" w:fill="auto"/>
            <w:noWrap/>
          </w:tcPr>
          <w:p w14:paraId="369229F3" w14:textId="01BA8A6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168.650 </w:t>
            </w:r>
          </w:p>
        </w:tc>
      </w:tr>
      <w:tr w:rsidR="0066388E" w:rsidRPr="00E715D6" w14:paraId="2DBB6A8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3BEAE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N_43</w:t>
            </w:r>
          </w:p>
        </w:tc>
        <w:tc>
          <w:tcPr>
            <w:tcW w:w="5060" w:type="dxa"/>
            <w:tcBorders>
              <w:top w:val="nil"/>
              <w:left w:val="nil"/>
              <w:bottom w:val="single" w:sz="4" w:space="0" w:color="auto"/>
              <w:right w:val="single" w:sz="4" w:space="0" w:color="auto"/>
            </w:tcBorders>
            <w:shd w:val="clear" w:color="auto" w:fill="auto"/>
            <w:noWrap/>
            <w:vAlign w:val="bottom"/>
            <w:hideMark/>
          </w:tcPr>
          <w:p w14:paraId="6FAFBB7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Cumbre 500-&gt;Nueva Cardones 500</w:t>
            </w:r>
          </w:p>
        </w:tc>
        <w:tc>
          <w:tcPr>
            <w:tcW w:w="1035" w:type="dxa"/>
            <w:tcBorders>
              <w:top w:val="nil"/>
              <w:left w:val="nil"/>
              <w:bottom w:val="single" w:sz="4" w:space="0" w:color="auto"/>
              <w:right w:val="single" w:sz="4" w:space="0" w:color="auto"/>
            </w:tcBorders>
            <w:shd w:val="clear" w:color="auto" w:fill="auto"/>
            <w:noWrap/>
          </w:tcPr>
          <w:p w14:paraId="43B7C7BB" w14:textId="6C5CC40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14.817.072 </w:t>
            </w:r>
          </w:p>
        </w:tc>
        <w:tc>
          <w:tcPr>
            <w:tcW w:w="891" w:type="dxa"/>
            <w:tcBorders>
              <w:top w:val="nil"/>
              <w:left w:val="nil"/>
              <w:bottom w:val="single" w:sz="4" w:space="0" w:color="auto"/>
              <w:right w:val="single" w:sz="4" w:space="0" w:color="auto"/>
            </w:tcBorders>
            <w:shd w:val="clear" w:color="auto" w:fill="auto"/>
            <w:noWrap/>
          </w:tcPr>
          <w:p w14:paraId="7C762261" w14:textId="3DD9DB6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2.064.470 </w:t>
            </w:r>
          </w:p>
        </w:tc>
        <w:tc>
          <w:tcPr>
            <w:tcW w:w="952" w:type="dxa"/>
            <w:tcBorders>
              <w:top w:val="nil"/>
              <w:left w:val="nil"/>
              <w:bottom w:val="single" w:sz="4" w:space="0" w:color="auto"/>
              <w:right w:val="single" w:sz="4" w:space="0" w:color="auto"/>
            </w:tcBorders>
            <w:shd w:val="clear" w:color="auto" w:fill="auto"/>
            <w:noWrap/>
          </w:tcPr>
          <w:p w14:paraId="5B11CE16" w14:textId="69C2BD2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2.643.989 </w:t>
            </w:r>
          </w:p>
        </w:tc>
        <w:tc>
          <w:tcPr>
            <w:tcW w:w="992" w:type="dxa"/>
            <w:tcBorders>
              <w:top w:val="nil"/>
              <w:left w:val="nil"/>
              <w:bottom w:val="single" w:sz="4" w:space="0" w:color="auto"/>
              <w:right w:val="single" w:sz="4" w:space="0" w:color="auto"/>
            </w:tcBorders>
            <w:shd w:val="clear" w:color="auto" w:fill="auto"/>
            <w:noWrap/>
          </w:tcPr>
          <w:p w14:paraId="551BFCBB" w14:textId="6EDE9C7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19.525.531 </w:t>
            </w:r>
          </w:p>
        </w:tc>
      </w:tr>
      <w:tr w:rsidR="0066388E" w:rsidRPr="00E715D6" w14:paraId="0D87A2F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F17EC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N_44</w:t>
            </w:r>
          </w:p>
        </w:tc>
        <w:tc>
          <w:tcPr>
            <w:tcW w:w="5060" w:type="dxa"/>
            <w:tcBorders>
              <w:top w:val="nil"/>
              <w:left w:val="nil"/>
              <w:bottom w:val="single" w:sz="4" w:space="0" w:color="auto"/>
              <w:right w:val="single" w:sz="4" w:space="0" w:color="auto"/>
            </w:tcBorders>
            <w:shd w:val="clear" w:color="auto" w:fill="auto"/>
            <w:noWrap/>
            <w:vAlign w:val="bottom"/>
            <w:hideMark/>
          </w:tcPr>
          <w:p w14:paraId="109A513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Don Goyo 220-&gt;La Cebada 220</w:t>
            </w:r>
          </w:p>
        </w:tc>
        <w:tc>
          <w:tcPr>
            <w:tcW w:w="1035" w:type="dxa"/>
            <w:tcBorders>
              <w:top w:val="nil"/>
              <w:left w:val="nil"/>
              <w:bottom w:val="single" w:sz="4" w:space="0" w:color="auto"/>
              <w:right w:val="single" w:sz="4" w:space="0" w:color="auto"/>
            </w:tcBorders>
            <w:shd w:val="clear" w:color="auto" w:fill="auto"/>
            <w:noWrap/>
          </w:tcPr>
          <w:p w14:paraId="0B29B306" w14:textId="6D25564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1.029.558 </w:t>
            </w:r>
          </w:p>
        </w:tc>
        <w:tc>
          <w:tcPr>
            <w:tcW w:w="891" w:type="dxa"/>
            <w:tcBorders>
              <w:top w:val="nil"/>
              <w:left w:val="nil"/>
              <w:bottom w:val="single" w:sz="4" w:space="0" w:color="auto"/>
              <w:right w:val="single" w:sz="4" w:space="0" w:color="auto"/>
            </w:tcBorders>
            <w:shd w:val="clear" w:color="auto" w:fill="auto"/>
            <w:noWrap/>
          </w:tcPr>
          <w:p w14:paraId="59C5A812" w14:textId="4C6B9B9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324.787 </w:t>
            </w:r>
          </w:p>
        </w:tc>
        <w:tc>
          <w:tcPr>
            <w:tcW w:w="952" w:type="dxa"/>
            <w:tcBorders>
              <w:top w:val="nil"/>
              <w:left w:val="nil"/>
              <w:bottom w:val="single" w:sz="4" w:space="0" w:color="auto"/>
              <w:right w:val="single" w:sz="4" w:space="0" w:color="auto"/>
            </w:tcBorders>
            <w:shd w:val="clear" w:color="auto" w:fill="auto"/>
            <w:noWrap/>
          </w:tcPr>
          <w:p w14:paraId="0ECDB1E7" w14:textId="573BBEF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196.672 </w:t>
            </w:r>
          </w:p>
        </w:tc>
        <w:tc>
          <w:tcPr>
            <w:tcW w:w="992" w:type="dxa"/>
            <w:tcBorders>
              <w:top w:val="nil"/>
              <w:left w:val="nil"/>
              <w:bottom w:val="single" w:sz="4" w:space="0" w:color="auto"/>
              <w:right w:val="single" w:sz="4" w:space="0" w:color="auto"/>
            </w:tcBorders>
            <w:shd w:val="clear" w:color="auto" w:fill="auto"/>
            <w:noWrap/>
          </w:tcPr>
          <w:p w14:paraId="042EABF6" w14:textId="2A194FB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1.551.017 </w:t>
            </w:r>
          </w:p>
        </w:tc>
      </w:tr>
      <w:tr w:rsidR="0066388E" w:rsidRPr="00E715D6" w14:paraId="59165D1C"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783596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N_45</w:t>
            </w:r>
          </w:p>
        </w:tc>
        <w:tc>
          <w:tcPr>
            <w:tcW w:w="5060" w:type="dxa"/>
            <w:tcBorders>
              <w:top w:val="nil"/>
              <w:left w:val="nil"/>
              <w:bottom w:val="single" w:sz="4" w:space="0" w:color="auto"/>
              <w:right w:val="single" w:sz="4" w:space="0" w:color="auto"/>
            </w:tcBorders>
            <w:shd w:val="clear" w:color="auto" w:fill="auto"/>
            <w:noWrap/>
            <w:vAlign w:val="bottom"/>
            <w:hideMark/>
          </w:tcPr>
          <w:p w14:paraId="7508F04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Don Hector 220-&gt;Punta Colorada 220</w:t>
            </w:r>
          </w:p>
        </w:tc>
        <w:tc>
          <w:tcPr>
            <w:tcW w:w="1035" w:type="dxa"/>
            <w:tcBorders>
              <w:top w:val="nil"/>
              <w:left w:val="nil"/>
              <w:bottom w:val="single" w:sz="4" w:space="0" w:color="auto"/>
              <w:right w:val="single" w:sz="4" w:space="0" w:color="auto"/>
            </w:tcBorders>
            <w:shd w:val="clear" w:color="auto" w:fill="auto"/>
            <w:noWrap/>
          </w:tcPr>
          <w:p w14:paraId="72F687F1" w14:textId="2814C8D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1.257.612 </w:t>
            </w:r>
          </w:p>
        </w:tc>
        <w:tc>
          <w:tcPr>
            <w:tcW w:w="891" w:type="dxa"/>
            <w:tcBorders>
              <w:top w:val="nil"/>
              <w:left w:val="nil"/>
              <w:bottom w:val="single" w:sz="4" w:space="0" w:color="auto"/>
              <w:right w:val="single" w:sz="4" w:space="0" w:color="auto"/>
            </w:tcBorders>
            <w:shd w:val="clear" w:color="auto" w:fill="auto"/>
            <w:noWrap/>
          </w:tcPr>
          <w:p w14:paraId="76CA1292" w14:textId="406AEA3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230.643 </w:t>
            </w:r>
          </w:p>
        </w:tc>
        <w:tc>
          <w:tcPr>
            <w:tcW w:w="952" w:type="dxa"/>
            <w:tcBorders>
              <w:top w:val="nil"/>
              <w:left w:val="nil"/>
              <w:bottom w:val="single" w:sz="4" w:space="0" w:color="auto"/>
              <w:right w:val="single" w:sz="4" w:space="0" w:color="auto"/>
            </w:tcBorders>
            <w:shd w:val="clear" w:color="auto" w:fill="auto"/>
            <w:noWrap/>
          </w:tcPr>
          <w:p w14:paraId="41376C24" w14:textId="60A89D6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328.176 </w:t>
            </w:r>
          </w:p>
        </w:tc>
        <w:tc>
          <w:tcPr>
            <w:tcW w:w="992" w:type="dxa"/>
            <w:tcBorders>
              <w:top w:val="nil"/>
              <w:left w:val="nil"/>
              <w:bottom w:val="single" w:sz="4" w:space="0" w:color="auto"/>
              <w:right w:val="single" w:sz="4" w:space="0" w:color="auto"/>
            </w:tcBorders>
            <w:shd w:val="clear" w:color="auto" w:fill="auto"/>
            <w:noWrap/>
          </w:tcPr>
          <w:p w14:paraId="063C79B9" w14:textId="3FAAFBD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1.816.430 </w:t>
            </w:r>
          </w:p>
        </w:tc>
      </w:tr>
      <w:tr w:rsidR="0066388E" w:rsidRPr="00E715D6" w14:paraId="693BD13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FEF02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N_46</w:t>
            </w:r>
          </w:p>
        </w:tc>
        <w:tc>
          <w:tcPr>
            <w:tcW w:w="5060" w:type="dxa"/>
            <w:tcBorders>
              <w:top w:val="nil"/>
              <w:left w:val="nil"/>
              <w:bottom w:val="single" w:sz="4" w:space="0" w:color="auto"/>
              <w:right w:val="single" w:sz="4" w:space="0" w:color="auto"/>
            </w:tcBorders>
            <w:shd w:val="clear" w:color="auto" w:fill="auto"/>
            <w:noWrap/>
            <w:vAlign w:val="bottom"/>
            <w:hideMark/>
          </w:tcPr>
          <w:p w14:paraId="544F36F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Duqueco 220-&gt;Bureo 220</w:t>
            </w:r>
          </w:p>
        </w:tc>
        <w:tc>
          <w:tcPr>
            <w:tcW w:w="1035" w:type="dxa"/>
            <w:tcBorders>
              <w:top w:val="nil"/>
              <w:left w:val="nil"/>
              <w:bottom w:val="single" w:sz="4" w:space="0" w:color="auto"/>
              <w:right w:val="single" w:sz="4" w:space="0" w:color="auto"/>
            </w:tcBorders>
            <w:shd w:val="clear" w:color="auto" w:fill="auto"/>
            <w:noWrap/>
          </w:tcPr>
          <w:p w14:paraId="7DFBBFA5" w14:textId="1D8D34C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558.543 </w:t>
            </w:r>
          </w:p>
        </w:tc>
        <w:tc>
          <w:tcPr>
            <w:tcW w:w="891" w:type="dxa"/>
            <w:tcBorders>
              <w:top w:val="nil"/>
              <w:left w:val="nil"/>
              <w:bottom w:val="single" w:sz="4" w:space="0" w:color="auto"/>
              <w:right w:val="single" w:sz="4" w:space="0" w:color="auto"/>
            </w:tcBorders>
            <w:shd w:val="clear" w:color="auto" w:fill="auto"/>
            <w:noWrap/>
          </w:tcPr>
          <w:p w14:paraId="3DF42610" w14:textId="4D2DF0C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212.014 </w:t>
            </w:r>
          </w:p>
        </w:tc>
        <w:tc>
          <w:tcPr>
            <w:tcW w:w="952" w:type="dxa"/>
            <w:tcBorders>
              <w:top w:val="nil"/>
              <w:left w:val="nil"/>
              <w:bottom w:val="single" w:sz="4" w:space="0" w:color="auto"/>
              <w:right w:val="single" w:sz="4" w:space="0" w:color="auto"/>
            </w:tcBorders>
            <w:shd w:val="clear" w:color="auto" w:fill="auto"/>
            <w:noWrap/>
          </w:tcPr>
          <w:p w14:paraId="5A64F6DF" w14:textId="767A2D1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138.347 </w:t>
            </w:r>
          </w:p>
        </w:tc>
        <w:tc>
          <w:tcPr>
            <w:tcW w:w="992" w:type="dxa"/>
            <w:tcBorders>
              <w:top w:val="nil"/>
              <w:left w:val="nil"/>
              <w:bottom w:val="single" w:sz="4" w:space="0" w:color="auto"/>
              <w:right w:val="single" w:sz="4" w:space="0" w:color="auto"/>
            </w:tcBorders>
            <w:shd w:val="clear" w:color="auto" w:fill="auto"/>
            <w:noWrap/>
          </w:tcPr>
          <w:p w14:paraId="6E5FB8A7" w14:textId="4821042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908.904 </w:t>
            </w:r>
          </w:p>
        </w:tc>
      </w:tr>
      <w:tr w:rsidR="0066388E" w:rsidRPr="00E715D6" w14:paraId="3A1016D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D6BA4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N_47</w:t>
            </w:r>
          </w:p>
        </w:tc>
        <w:tc>
          <w:tcPr>
            <w:tcW w:w="5060" w:type="dxa"/>
            <w:tcBorders>
              <w:top w:val="nil"/>
              <w:left w:val="nil"/>
              <w:bottom w:val="single" w:sz="4" w:space="0" w:color="auto"/>
              <w:right w:val="single" w:sz="4" w:space="0" w:color="auto"/>
            </w:tcBorders>
            <w:shd w:val="clear" w:color="auto" w:fill="auto"/>
            <w:noWrap/>
            <w:vAlign w:val="bottom"/>
            <w:hideMark/>
          </w:tcPr>
          <w:p w14:paraId="66B5C4B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Duqueco 220-&gt;Los Varones 220</w:t>
            </w:r>
          </w:p>
        </w:tc>
        <w:tc>
          <w:tcPr>
            <w:tcW w:w="1035" w:type="dxa"/>
            <w:tcBorders>
              <w:top w:val="nil"/>
              <w:left w:val="nil"/>
              <w:bottom w:val="single" w:sz="4" w:space="0" w:color="auto"/>
              <w:right w:val="single" w:sz="4" w:space="0" w:color="auto"/>
            </w:tcBorders>
            <w:shd w:val="clear" w:color="auto" w:fill="auto"/>
            <w:noWrap/>
          </w:tcPr>
          <w:p w14:paraId="664932F1" w14:textId="35A83D2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216.658 </w:t>
            </w:r>
          </w:p>
        </w:tc>
        <w:tc>
          <w:tcPr>
            <w:tcW w:w="891" w:type="dxa"/>
            <w:tcBorders>
              <w:top w:val="nil"/>
              <w:left w:val="nil"/>
              <w:bottom w:val="single" w:sz="4" w:space="0" w:color="auto"/>
              <w:right w:val="single" w:sz="4" w:space="0" w:color="auto"/>
            </w:tcBorders>
            <w:shd w:val="clear" w:color="auto" w:fill="auto"/>
            <w:noWrap/>
          </w:tcPr>
          <w:p w14:paraId="21342ECE" w14:textId="123DFE5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84.119 </w:t>
            </w:r>
          </w:p>
        </w:tc>
        <w:tc>
          <w:tcPr>
            <w:tcW w:w="952" w:type="dxa"/>
            <w:tcBorders>
              <w:top w:val="nil"/>
              <w:left w:val="nil"/>
              <w:bottom w:val="single" w:sz="4" w:space="0" w:color="auto"/>
              <w:right w:val="single" w:sz="4" w:space="0" w:color="auto"/>
            </w:tcBorders>
            <w:shd w:val="clear" w:color="auto" w:fill="auto"/>
            <w:noWrap/>
          </w:tcPr>
          <w:p w14:paraId="69F453D9" w14:textId="6F534A4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52.259 </w:t>
            </w:r>
          </w:p>
        </w:tc>
        <w:tc>
          <w:tcPr>
            <w:tcW w:w="992" w:type="dxa"/>
            <w:tcBorders>
              <w:top w:val="nil"/>
              <w:left w:val="nil"/>
              <w:bottom w:val="single" w:sz="4" w:space="0" w:color="auto"/>
              <w:right w:val="single" w:sz="4" w:space="0" w:color="auto"/>
            </w:tcBorders>
            <w:shd w:val="clear" w:color="auto" w:fill="auto"/>
            <w:noWrap/>
          </w:tcPr>
          <w:p w14:paraId="5D41A2D1" w14:textId="6954D37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353.035 </w:t>
            </w:r>
          </w:p>
        </w:tc>
      </w:tr>
      <w:tr w:rsidR="0066388E" w:rsidRPr="00E715D6" w14:paraId="2EFE24F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649646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N_48</w:t>
            </w:r>
          </w:p>
        </w:tc>
        <w:tc>
          <w:tcPr>
            <w:tcW w:w="5060" w:type="dxa"/>
            <w:tcBorders>
              <w:top w:val="nil"/>
              <w:left w:val="nil"/>
              <w:bottom w:val="single" w:sz="4" w:space="0" w:color="auto"/>
              <w:right w:val="single" w:sz="4" w:space="0" w:color="auto"/>
            </w:tcBorders>
            <w:shd w:val="clear" w:color="auto" w:fill="auto"/>
            <w:noWrap/>
            <w:vAlign w:val="bottom"/>
            <w:hideMark/>
          </w:tcPr>
          <w:p w14:paraId="189D16D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El Cobre 220-&gt;Esperanza SING 220</w:t>
            </w:r>
          </w:p>
        </w:tc>
        <w:tc>
          <w:tcPr>
            <w:tcW w:w="1035" w:type="dxa"/>
            <w:tcBorders>
              <w:top w:val="nil"/>
              <w:left w:val="nil"/>
              <w:bottom w:val="single" w:sz="4" w:space="0" w:color="auto"/>
              <w:right w:val="single" w:sz="4" w:space="0" w:color="auto"/>
            </w:tcBorders>
            <w:shd w:val="clear" w:color="auto" w:fill="auto"/>
            <w:noWrap/>
          </w:tcPr>
          <w:p w14:paraId="5D81E6A8" w14:textId="76406D7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1.412.681 </w:t>
            </w:r>
          </w:p>
        </w:tc>
        <w:tc>
          <w:tcPr>
            <w:tcW w:w="891" w:type="dxa"/>
            <w:tcBorders>
              <w:top w:val="nil"/>
              <w:left w:val="nil"/>
              <w:bottom w:val="single" w:sz="4" w:space="0" w:color="auto"/>
              <w:right w:val="single" w:sz="4" w:space="0" w:color="auto"/>
            </w:tcBorders>
            <w:shd w:val="clear" w:color="auto" w:fill="auto"/>
            <w:noWrap/>
          </w:tcPr>
          <w:p w14:paraId="5B7AAFD8" w14:textId="20B553A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441.095 </w:t>
            </w:r>
          </w:p>
        </w:tc>
        <w:tc>
          <w:tcPr>
            <w:tcW w:w="952" w:type="dxa"/>
            <w:tcBorders>
              <w:top w:val="nil"/>
              <w:left w:val="nil"/>
              <w:bottom w:val="single" w:sz="4" w:space="0" w:color="auto"/>
              <w:right w:val="single" w:sz="4" w:space="0" w:color="auto"/>
            </w:tcBorders>
            <w:shd w:val="clear" w:color="auto" w:fill="auto"/>
            <w:noWrap/>
          </w:tcPr>
          <w:p w14:paraId="0CB8D221" w14:textId="67567E8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230.333 </w:t>
            </w:r>
          </w:p>
        </w:tc>
        <w:tc>
          <w:tcPr>
            <w:tcW w:w="992" w:type="dxa"/>
            <w:tcBorders>
              <w:top w:val="nil"/>
              <w:left w:val="nil"/>
              <w:bottom w:val="single" w:sz="4" w:space="0" w:color="auto"/>
              <w:right w:val="single" w:sz="4" w:space="0" w:color="auto"/>
            </w:tcBorders>
            <w:shd w:val="clear" w:color="auto" w:fill="auto"/>
            <w:noWrap/>
          </w:tcPr>
          <w:p w14:paraId="2961FB9B" w14:textId="7C41444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2.084.109 </w:t>
            </w:r>
          </w:p>
        </w:tc>
      </w:tr>
      <w:tr w:rsidR="0066388E" w:rsidRPr="00E715D6" w14:paraId="2AD7318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6DC6E9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N_49</w:t>
            </w:r>
          </w:p>
        </w:tc>
        <w:tc>
          <w:tcPr>
            <w:tcW w:w="5060" w:type="dxa"/>
            <w:tcBorders>
              <w:top w:val="nil"/>
              <w:left w:val="nil"/>
              <w:bottom w:val="single" w:sz="4" w:space="0" w:color="auto"/>
              <w:right w:val="single" w:sz="4" w:space="0" w:color="auto"/>
            </w:tcBorders>
            <w:shd w:val="clear" w:color="auto" w:fill="auto"/>
            <w:noWrap/>
            <w:vAlign w:val="bottom"/>
            <w:hideMark/>
          </w:tcPr>
          <w:p w14:paraId="318BA1C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El Rosal 220-&gt;Los Varones 220</w:t>
            </w:r>
          </w:p>
        </w:tc>
        <w:tc>
          <w:tcPr>
            <w:tcW w:w="1035" w:type="dxa"/>
            <w:tcBorders>
              <w:top w:val="nil"/>
              <w:left w:val="nil"/>
              <w:bottom w:val="single" w:sz="4" w:space="0" w:color="auto"/>
              <w:right w:val="single" w:sz="4" w:space="0" w:color="auto"/>
            </w:tcBorders>
            <w:shd w:val="clear" w:color="auto" w:fill="auto"/>
            <w:noWrap/>
          </w:tcPr>
          <w:p w14:paraId="54C9F9A0" w14:textId="6EE64BC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378.249 </w:t>
            </w:r>
          </w:p>
        </w:tc>
        <w:tc>
          <w:tcPr>
            <w:tcW w:w="891" w:type="dxa"/>
            <w:tcBorders>
              <w:top w:val="nil"/>
              <w:left w:val="nil"/>
              <w:bottom w:val="single" w:sz="4" w:space="0" w:color="auto"/>
              <w:right w:val="single" w:sz="4" w:space="0" w:color="auto"/>
            </w:tcBorders>
            <w:shd w:val="clear" w:color="auto" w:fill="auto"/>
            <w:noWrap/>
          </w:tcPr>
          <w:p w14:paraId="637A6104" w14:textId="13F73E8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125.163 </w:t>
            </w:r>
          </w:p>
        </w:tc>
        <w:tc>
          <w:tcPr>
            <w:tcW w:w="952" w:type="dxa"/>
            <w:tcBorders>
              <w:top w:val="nil"/>
              <w:left w:val="nil"/>
              <w:bottom w:val="single" w:sz="4" w:space="0" w:color="auto"/>
              <w:right w:val="single" w:sz="4" w:space="0" w:color="auto"/>
            </w:tcBorders>
            <w:shd w:val="clear" w:color="auto" w:fill="auto"/>
            <w:noWrap/>
          </w:tcPr>
          <w:p w14:paraId="68E8B3E3" w14:textId="0F27BF4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83.100 </w:t>
            </w:r>
          </w:p>
        </w:tc>
        <w:tc>
          <w:tcPr>
            <w:tcW w:w="992" w:type="dxa"/>
            <w:tcBorders>
              <w:top w:val="nil"/>
              <w:left w:val="nil"/>
              <w:bottom w:val="single" w:sz="4" w:space="0" w:color="auto"/>
              <w:right w:val="single" w:sz="4" w:space="0" w:color="auto"/>
            </w:tcBorders>
            <w:shd w:val="clear" w:color="auto" w:fill="auto"/>
            <w:noWrap/>
          </w:tcPr>
          <w:p w14:paraId="4249F8B6" w14:textId="02E0E92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586.512 </w:t>
            </w:r>
          </w:p>
        </w:tc>
      </w:tr>
      <w:tr w:rsidR="0066388E" w:rsidRPr="00E715D6" w14:paraId="4818483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C934EC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N_50</w:t>
            </w:r>
          </w:p>
        </w:tc>
        <w:tc>
          <w:tcPr>
            <w:tcW w:w="5060" w:type="dxa"/>
            <w:tcBorders>
              <w:top w:val="nil"/>
              <w:left w:val="nil"/>
              <w:bottom w:val="single" w:sz="4" w:space="0" w:color="auto"/>
              <w:right w:val="single" w:sz="4" w:space="0" w:color="auto"/>
            </w:tcBorders>
            <w:shd w:val="clear" w:color="auto" w:fill="auto"/>
            <w:noWrap/>
            <w:vAlign w:val="bottom"/>
            <w:hideMark/>
          </w:tcPr>
          <w:p w14:paraId="5A42CAA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El Salto 220-&gt;Tap Chicureo 220</w:t>
            </w:r>
          </w:p>
        </w:tc>
        <w:tc>
          <w:tcPr>
            <w:tcW w:w="1035" w:type="dxa"/>
            <w:tcBorders>
              <w:top w:val="nil"/>
              <w:left w:val="nil"/>
              <w:bottom w:val="single" w:sz="4" w:space="0" w:color="auto"/>
              <w:right w:val="single" w:sz="4" w:space="0" w:color="auto"/>
            </w:tcBorders>
            <w:shd w:val="clear" w:color="auto" w:fill="auto"/>
            <w:noWrap/>
          </w:tcPr>
          <w:p w14:paraId="4F64C9F2" w14:textId="095D03B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483.958 </w:t>
            </w:r>
          </w:p>
        </w:tc>
        <w:tc>
          <w:tcPr>
            <w:tcW w:w="891" w:type="dxa"/>
            <w:tcBorders>
              <w:top w:val="nil"/>
              <w:left w:val="nil"/>
              <w:bottom w:val="single" w:sz="4" w:space="0" w:color="auto"/>
              <w:right w:val="single" w:sz="4" w:space="0" w:color="auto"/>
            </w:tcBorders>
            <w:shd w:val="clear" w:color="auto" w:fill="auto"/>
            <w:noWrap/>
          </w:tcPr>
          <w:p w14:paraId="68A436FB" w14:textId="5063493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54.957 </w:t>
            </w:r>
          </w:p>
        </w:tc>
        <w:tc>
          <w:tcPr>
            <w:tcW w:w="952" w:type="dxa"/>
            <w:tcBorders>
              <w:top w:val="nil"/>
              <w:left w:val="nil"/>
              <w:bottom w:val="single" w:sz="4" w:space="0" w:color="auto"/>
              <w:right w:val="single" w:sz="4" w:space="0" w:color="auto"/>
            </w:tcBorders>
            <w:shd w:val="clear" w:color="auto" w:fill="auto"/>
            <w:noWrap/>
          </w:tcPr>
          <w:p w14:paraId="7EDE34DD" w14:textId="0BFC780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80.218 </w:t>
            </w:r>
          </w:p>
        </w:tc>
        <w:tc>
          <w:tcPr>
            <w:tcW w:w="992" w:type="dxa"/>
            <w:tcBorders>
              <w:top w:val="nil"/>
              <w:left w:val="nil"/>
              <w:bottom w:val="single" w:sz="4" w:space="0" w:color="auto"/>
              <w:right w:val="single" w:sz="4" w:space="0" w:color="auto"/>
            </w:tcBorders>
            <w:shd w:val="clear" w:color="auto" w:fill="auto"/>
            <w:noWrap/>
          </w:tcPr>
          <w:p w14:paraId="2D9F01E4" w14:textId="6F95397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619.133 </w:t>
            </w:r>
          </w:p>
        </w:tc>
      </w:tr>
      <w:tr w:rsidR="0066388E" w:rsidRPr="00E715D6" w14:paraId="4008B57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6965AC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N_51</w:t>
            </w:r>
          </w:p>
        </w:tc>
        <w:tc>
          <w:tcPr>
            <w:tcW w:w="5060" w:type="dxa"/>
            <w:tcBorders>
              <w:top w:val="nil"/>
              <w:left w:val="nil"/>
              <w:bottom w:val="single" w:sz="4" w:space="0" w:color="auto"/>
              <w:right w:val="single" w:sz="4" w:space="0" w:color="auto"/>
            </w:tcBorders>
            <w:shd w:val="clear" w:color="auto" w:fill="auto"/>
            <w:noWrap/>
            <w:vAlign w:val="bottom"/>
            <w:hideMark/>
          </w:tcPr>
          <w:p w14:paraId="3124D85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Encuentro 220-&gt;Kimal 220</w:t>
            </w:r>
          </w:p>
        </w:tc>
        <w:tc>
          <w:tcPr>
            <w:tcW w:w="1035" w:type="dxa"/>
            <w:tcBorders>
              <w:top w:val="nil"/>
              <w:left w:val="nil"/>
              <w:bottom w:val="single" w:sz="4" w:space="0" w:color="auto"/>
              <w:right w:val="single" w:sz="4" w:space="0" w:color="auto"/>
            </w:tcBorders>
            <w:shd w:val="clear" w:color="auto" w:fill="auto"/>
            <w:noWrap/>
          </w:tcPr>
          <w:p w14:paraId="6D8B36FF" w14:textId="4AC9BE4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87.790 </w:t>
            </w:r>
          </w:p>
        </w:tc>
        <w:tc>
          <w:tcPr>
            <w:tcW w:w="891" w:type="dxa"/>
            <w:tcBorders>
              <w:top w:val="nil"/>
              <w:left w:val="nil"/>
              <w:bottom w:val="single" w:sz="4" w:space="0" w:color="auto"/>
              <w:right w:val="single" w:sz="4" w:space="0" w:color="auto"/>
            </w:tcBorders>
            <w:shd w:val="clear" w:color="auto" w:fill="auto"/>
            <w:noWrap/>
          </w:tcPr>
          <w:p w14:paraId="10C9CED9" w14:textId="3894968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31.723 </w:t>
            </w:r>
          </w:p>
        </w:tc>
        <w:tc>
          <w:tcPr>
            <w:tcW w:w="952" w:type="dxa"/>
            <w:tcBorders>
              <w:top w:val="nil"/>
              <w:left w:val="nil"/>
              <w:bottom w:val="single" w:sz="4" w:space="0" w:color="auto"/>
              <w:right w:val="single" w:sz="4" w:space="0" w:color="auto"/>
            </w:tcBorders>
            <w:shd w:val="clear" w:color="auto" w:fill="auto"/>
            <w:noWrap/>
          </w:tcPr>
          <w:p w14:paraId="29111833" w14:textId="3760C8B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12.253 </w:t>
            </w:r>
          </w:p>
        </w:tc>
        <w:tc>
          <w:tcPr>
            <w:tcW w:w="992" w:type="dxa"/>
            <w:tcBorders>
              <w:top w:val="nil"/>
              <w:left w:val="nil"/>
              <w:bottom w:val="single" w:sz="4" w:space="0" w:color="auto"/>
              <w:right w:val="single" w:sz="4" w:space="0" w:color="auto"/>
            </w:tcBorders>
            <w:shd w:val="clear" w:color="auto" w:fill="auto"/>
            <w:noWrap/>
          </w:tcPr>
          <w:p w14:paraId="0FDA2D4E" w14:textId="1700C30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131.766 </w:t>
            </w:r>
          </w:p>
        </w:tc>
      </w:tr>
      <w:tr w:rsidR="0066388E" w:rsidRPr="00E715D6" w14:paraId="48EBA81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92695E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N_52</w:t>
            </w:r>
          </w:p>
        </w:tc>
        <w:tc>
          <w:tcPr>
            <w:tcW w:w="5060" w:type="dxa"/>
            <w:tcBorders>
              <w:top w:val="nil"/>
              <w:left w:val="nil"/>
              <w:bottom w:val="single" w:sz="4" w:space="0" w:color="auto"/>
              <w:right w:val="single" w:sz="4" w:space="0" w:color="auto"/>
            </w:tcBorders>
            <w:shd w:val="clear" w:color="auto" w:fill="auto"/>
            <w:noWrap/>
            <w:vAlign w:val="bottom"/>
            <w:hideMark/>
          </w:tcPr>
          <w:p w14:paraId="4851D2E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Encuentro 220-&gt;Miraje 220</w:t>
            </w:r>
          </w:p>
        </w:tc>
        <w:tc>
          <w:tcPr>
            <w:tcW w:w="1035" w:type="dxa"/>
            <w:tcBorders>
              <w:top w:val="nil"/>
              <w:left w:val="nil"/>
              <w:bottom w:val="single" w:sz="4" w:space="0" w:color="auto"/>
              <w:right w:val="single" w:sz="4" w:space="0" w:color="auto"/>
            </w:tcBorders>
            <w:shd w:val="clear" w:color="auto" w:fill="auto"/>
            <w:noWrap/>
          </w:tcPr>
          <w:p w14:paraId="0614B7CC" w14:textId="13461C3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703.005 </w:t>
            </w:r>
          </w:p>
        </w:tc>
        <w:tc>
          <w:tcPr>
            <w:tcW w:w="891" w:type="dxa"/>
            <w:tcBorders>
              <w:top w:val="nil"/>
              <w:left w:val="nil"/>
              <w:bottom w:val="single" w:sz="4" w:space="0" w:color="auto"/>
              <w:right w:val="single" w:sz="4" w:space="0" w:color="auto"/>
            </w:tcBorders>
            <w:shd w:val="clear" w:color="auto" w:fill="auto"/>
            <w:noWrap/>
          </w:tcPr>
          <w:p w14:paraId="63DBB259" w14:textId="03B5207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160.252 </w:t>
            </w:r>
          </w:p>
        </w:tc>
        <w:tc>
          <w:tcPr>
            <w:tcW w:w="952" w:type="dxa"/>
            <w:tcBorders>
              <w:top w:val="nil"/>
              <w:left w:val="nil"/>
              <w:bottom w:val="single" w:sz="4" w:space="0" w:color="auto"/>
              <w:right w:val="single" w:sz="4" w:space="0" w:color="auto"/>
            </w:tcBorders>
            <w:shd w:val="clear" w:color="auto" w:fill="auto"/>
            <w:noWrap/>
          </w:tcPr>
          <w:p w14:paraId="7E55E4BC" w14:textId="56AADE0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113.286 </w:t>
            </w:r>
          </w:p>
        </w:tc>
        <w:tc>
          <w:tcPr>
            <w:tcW w:w="992" w:type="dxa"/>
            <w:tcBorders>
              <w:top w:val="nil"/>
              <w:left w:val="nil"/>
              <w:bottom w:val="single" w:sz="4" w:space="0" w:color="auto"/>
              <w:right w:val="single" w:sz="4" w:space="0" w:color="auto"/>
            </w:tcBorders>
            <w:shd w:val="clear" w:color="auto" w:fill="auto"/>
            <w:noWrap/>
          </w:tcPr>
          <w:p w14:paraId="4034E96C" w14:textId="74139A5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976.544 </w:t>
            </w:r>
          </w:p>
        </w:tc>
      </w:tr>
      <w:tr w:rsidR="0066388E" w:rsidRPr="00E715D6" w14:paraId="2F9D07E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39BEAE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N_53</w:t>
            </w:r>
          </w:p>
        </w:tc>
        <w:tc>
          <w:tcPr>
            <w:tcW w:w="5060" w:type="dxa"/>
            <w:tcBorders>
              <w:top w:val="nil"/>
              <w:left w:val="nil"/>
              <w:bottom w:val="single" w:sz="4" w:space="0" w:color="auto"/>
              <w:right w:val="single" w:sz="4" w:space="0" w:color="auto"/>
            </w:tcBorders>
            <w:shd w:val="clear" w:color="auto" w:fill="auto"/>
            <w:noWrap/>
            <w:vAlign w:val="bottom"/>
            <w:hideMark/>
          </w:tcPr>
          <w:p w14:paraId="5F90298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Encuentro 220-&gt;Tap off Sierra Gorda Eolico 220</w:t>
            </w:r>
          </w:p>
        </w:tc>
        <w:tc>
          <w:tcPr>
            <w:tcW w:w="1035" w:type="dxa"/>
            <w:tcBorders>
              <w:top w:val="nil"/>
              <w:left w:val="nil"/>
              <w:bottom w:val="single" w:sz="4" w:space="0" w:color="auto"/>
              <w:right w:val="single" w:sz="4" w:space="0" w:color="auto"/>
            </w:tcBorders>
            <w:shd w:val="clear" w:color="auto" w:fill="auto"/>
            <w:noWrap/>
          </w:tcPr>
          <w:p w14:paraId="389669C0" w14:textId="2F15BEF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835.612 </w:t>
            </w:r>
          </w:p>
        </w:tc>
        <w:tc>
          <w:tcPr>
            <w:tcW w:w="891" w:type="dxa"/>
            <w:tcBorders>
              <w:top w:val="nil"/>
              <w:left w:val="nil"/>
              <w:bottom w:val="single" w:sz="4" w:space="0" w:color="auto"/>
              <w:right w:val="single" w:sz="4" w:space="0" w:color="auto"/>
            </w:tcBorders>
            <w:shd w:val="clear" w:color="auto" w:fill="auto"/>
            <w:noWrap/>
          </w:tcPr>
          <w:p w14:paraId="7D63C3B0" w14:textId="704D14F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259.081 </w:t>
            </w:r>
          </w:p>
        </w:tc>
        <w:tc>
          <w:tcPr>
            <w:tcW w:w="952" w:type="dxa"/>
            <w:tcBorders>
              <w:top w:val="nil"/>
              <w:left w:val="nil"/>
              <w:bottom w:val="single" w:sz="4" w:space="0" w:color="auto"/>
              <w:right w:val="single" w:sz="4" w:space="0" w:color="auto"/>
            </w:tcBorders>
            <w:shd w:val="clear" w:color="auto" w:fill="auto"/>
            <w:noWrap/>
          </w:tcPr>
          <w:p w14:paraId="77572814" w14:textId="582A9A9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136.238 </w:t>
            </w:r>
          </w:p>
        </w:tc>
        <w:tc>
          <w:tcPr>
            <w:tcW w:w="992" w:type="dxa"/>
            <w:tcBorders>
              <w:top w:val="nil"/>
              <w:left w:val="nil"/>
              <w:bottom w:val="single" w:sz="4" w:space="0" w:color="auto"/>
              <w:right w:val="single" w:sz="4" w:space="0" w:color="auto"/>
            </w:tcBorders>
            <w:shd w:val="clear" w:color="auto" w:fill="auto"/>
            <w:noWrap/>
          </w:tcPr>
          <w:p w14:paraId="65A96BE4" w14:textId="7578FEF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1.230.931 </w:t>
            </w:r>
          </w:p>
        </w:tc>
      </w:tr>
      <w:tr w:rsidR="0066388E" w:rsidRPr="00E715D6" w14:paraId="4E394DF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462A3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N_54</w:t>
            </w:r>
          </w:p>
        </w:tc>
        <w:tc>
          <w:tcPr>
            <w:tcW w:w="5060" w:type="dxa"/>
            <w:tcBorders>
              <w:top w:val="nil"/>
              <w:left w:val="nil"/>
              <w:bottom w:val="single" w:sz="4" w:space="0" w:color="auto"/>
              <w:right w:val="single" w:sz="4" w:space="0" w:color="auto"/>
            </w:tcBorders>
            <w:shd w:val="clear" w:color="auto" w:fill="auto"/>
            <w:noWrap/>
            <w:vAlign w:val="bottom"/>
            <w:hideMark/>
          </w:tcPr>
          <w:p w14:paraId="3CCDC03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Esperanza SING 220-&gt;Centinela 220</w:t>
            </w:r>
          </w:p>
        </w:tc>
        <w:tc>
          <w:tcPr>
            <w:tcW w:w="1035" w:type="dxa"/>
            <w:tcBorders>
              <w:top w:val="nil"/>
              <w:left w:val="nil"/>
              <w:bottom w:val="single" w:sz="4" w:space="0" w:color="auto"/>
              <w:right w:val="single" w:sz="4" w:space="0" w:color="auto"/>
            </w:tcBorders>
            <w:shd w:val="clear" w:color="auto" w:fill="auto"/>
            <w:noWrap/>
          </w:tcPr>
          <w:p w14:paraId="3C53E814" w14:textId="3DDB77A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163.391 </w:t>
            </w:r>
          </w:p>
        </w:tc>
        <w:tc>
          <w:tcPr>
            <w:tcW w:w="891" w:type="dxa"/>
            <w:tcBorders>
              <w:top w:val="nil"/>
              <w:left w:val="nil"/>
              <w:bottom w:val="single" w:sz="4" w:space="0" w:color="auto"/>
              <w:right w:val="single" w:sz="4" w:space="0" w:color="auto"/>
            </w:tcBorders>
            <w:shd w:val="clear" w:color="auto" w:fill="auto"/>
            <w:noWrap/>
          </w:tcPr>
          <w:p w14:paraId="79FB28E5" w14:textId="278ABED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40.817 </w:t>
            </w:r>
          </w:p>
        </w:tc>
        <w:tc>
          <w:tcPr>
            <w:tcW w:w="952" w:type="dxa"/>
            <w:tcBorders>
              <w:top w:val="nil"/>
              <w:left w:val="nil"/>
              <w:bottom w:val="single" w:sz="4" w:space="0" w:color="auto"/>
              <w:right w:val="single" w:sz="4" w:space="0" w:color="auto"/>
            </w:tcBorders>
            <w:shd w:val="clear" w:color="auto" w:fill="auto"/>
            <w:noWrap/>
          </w:tcPr>
          <w:p w14:paraId="335CCD08" w14:textId="10C881F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26.410 </w:t>
            </w:r>
          </w:p>
        </w:tc>
        <w:tc>
          <w:tcPr>
            <w:tcW w:w="992" w:type="dxa"/>
            <w:tcBorders>
              <w:top w:val="nil"/>
              <w:left w:val="nil"/>
              <w:bottom w:val="single" w:sz="4" w:space="0" w:color="auto"/>
              <w:right w:val="single" w:sz="4" w:space="0" w:color="auto"/>
            </w:tcBorders>
            <w:shd w:val="clear" w:color="auto" w:fill="auto"/>
            <w:noWrap/>
          </w:tcPr>
          <w:p w14:paraId="0A327EDB" w14:textId="772ED99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230.617 </w:t>
            </w:r>
          </w:p>
        </w:tc>
      </w:tr>
      <w:tr w:rsidR="0066388E" w:rsidRPr="00E715D6" w14:paraId="161F709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77084E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N_55</w:t>
            </w:r>
          </w:p>
        </w:tc>
        <w:tc>
          <w:tcPr>
            <w:tcW w:w="5060" w:type="dxa"/>
            <w:tcBorders>
              <w:top w:val="nil"/>
              <w:left w:val="nil"/>
              <w:bottom w:val="single" w:sz="4" w:space="0" w:color="auto"/>
              <w:right w:val="single" w:sz="4" w:space="0" w:color="auto"/>
            </w:tcBorders>
            <w:shd w:val="clear" w:color="auto" w:fill="auto"/>
            <w:noWrap/>
            <w:vAlign w:val="bottom"/>
            <w:hideMark/>
          </w:tcPr>
          <w:p w14:paraId="02A73DA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Hualpen 220-&gt;Guindo 220</w:t>
            </w:r>
          </w:p>
        </w:tc>
        <w:tc>
          <w:tcPr>
            <w:tcW w:w="1035" w:type="dxa"/>
            <w:tcBorders>
              <w:top w:val="nil"/>
              <w:left w:val="nil"/>
              <w:bottom w:val="single" w:sz="4" w:space="0" w:color="auto"/>
              <w:right w:val="single" w:sz="4" w:space="0" w:color="auto"/>
            </w:tcBorders>
            <w:shd w:val="clear" w:color="auto" w:fill="auto"/>
            <w:noWrap/>
          </w:tcPr>
          <w:p w14:paraId="64F5F2AF" w14:textId="5B5E4F2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231.848 </w:t>
            </w:r>
          </w:p>
        </w:tc>
        <w:tc>
          <w:tcPr>
            <w:tcW w:w="891" w:type="dxa"/>
            <w:tcBorders>
              <w:top w:val="nil"/>
              <w:left w:val="nil"/>
              <w:bottom w:val="single" w:sz="4" w:space="0" w:color="auto"/>
              <w:right w:val="single" w:sz="4" w:space="0" w:color="auto"/>
            </w:tcBorders>
            <w:shd w:val="clear" w:color="auto" w:fill="auto"/>
            <w:noWrap/>
          </w:tcPr>
          <w:p w14:paraId="4A6BFF70" w14:textId="4C10123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69.033 </w:t>
            </w:r>
          </w:p>
        </w:tc>
        <w:tc>
          <w:tcPr>
            <w:tcW w:w="952" w:type="dxa"/>
            <w:tcBorders>
              <w:top w:val="nil"/>
              <w:left w:val="nil"/>
              <w:bottom w:val="single" w:sz="4" w:space="0" w:color="auto"/>
              <w:right w:val="single" w:sz="4" w:space="0" w:color="auto"/>
            </w:tcBorders>
            <w:shd w:val="clear" w:color="auto" w:fill="auto"/>
            <w:noWrap/>
          </w:tcPr>
          <w:p w14:paraId="2C3350B1" w14:textId="1F98A46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54.114 </w:t>
            </w:r>
          </w:p>
        </w:tc>
        <w:tc>
          <w:tcPr>
            <w:tcW w:w="992" w:type="dxa"/>
            <w:tcBorders>
              <w:top w:val="nil"/>
              <w:left w:val="nil"/>
              <w:bottom w:val="single" w:sz="4" w:space="0" w:color="auto"/>
              <w:right w:val="single" w:sz="4" w:space="0" w:color="auto"/>
            </w:tcBorders>
            <w:shd w:val="clear" w:color="auto" w:fill="auto"/>
            <w:noWrap/>
          </w:tcPr>
          <w:p w14:paraId="47AB6A72" w14:textId="3DE7A8A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354.996 </w:t>
            </w:r>
          </w:p>
        </w:tc>
      </w:tr>
      <w:tr w:rsidR="0066388E" w:rsidRPr="00E715D6" w14:paraId="446D524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2EBD7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N_56</w:t>
            </w:r>
          </w:p>
        </w:tc>
        <w:tc>
          <w:tcPr>
            <w:tcW w:w="5060" w:type="dxa"/>
            <w:tcBorders>
              <w:top w:val="nil"/>
              <w:left w:val="nil"/>
              <w:bottom w:val="single" w:sz="4" w:space="0" w:color="auto"/>
              <w:right w:val="single" w:sz="4" w:space="0" w:color="auto"/>
            </w:tcBorders>
            <w:shd w:val="clear" w:color="auto" w:fill="auto"/>
            <w:noWrap/>
            <w:vAlign w:val="bottom"/>
            <w:hideMark/>
          </w:tcPr>
          <w:p w14:paraId="4F26BCE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Hualpen 220-&gt;Trebol 220</w:t>
            </w:r>
          </w:p>
        </w:tc>
        <w:tc>
          <w:tcPr>
            <w:tcW w:w="1035" w:type="dxa"/>
            <w:tcBorders>
              <w:top w:val="nil"/>
              <w:left w:val="nil"/>
              <w:bottom w:val="single" w:sz="4" w:space="0" w:color="auto"/>
              <w:right w:val="single" w:sz="4" w:space="0" w:color="auto"/>
            </w:tcBorders>
            <w:shd w:val="clear" w:color="auto" w:fill="auto"/>
            <w:noWrap/>
          </w:tcPr>
          <w:p w14:paraId="1C29680C" w14:textId="7B3E196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272.954 </w:t>
            </w:r>
          </w:p>
        </w:tc>
        <w:tc>
          <w:tcPr>
            <w:tcW w:w="891" w:type="dxa"/>
            <w:tcBorders>
              <w:top w:val="nil"/>
              <w:left w:val="nil"/>
              <w:bottom w:val="single" w:sz="4" w:space="0" w:color="auto"/>
              <w:right w:val="single" w:sz="4" w:space="0" w:color="auto"/>
            </w:tcBorders>
            <w:shd w:val="clear" w:color="auto" w:fill="auto"/>
            <w:noWrap/>
          </w:tcPr>
          <w:p w14:paraId="7B895971" w14:textId="1862A07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147.829 </w:t>
            </w:r>
          </w:p>
        </w:tc>
        <w:tc>
          <w:tcPr>
            <w:tcW w:w="952" w:type="dxa"/>
            <w:tcBorders>
              <w:top w:val="nil"/>
              <w:left w:val="nil"/>
              <w:bottom w:val="single" w:sz="4" w:space="0" w:color="auto"/>
              <w:right w:val="single" w:sz="4" w:space="0" w:color="auto"/>
            </w:tcBorders>
            <w:shd w:val="clear" w:color="auto" w:fill="auto"/>
            <w:noWrap/>
          </w:tcPr>
          <w:p w14:paraId="5F393005" w14:textId="1AB22FA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61.305 </w:t>
            </w:r>
          </w:p>
        </w:tc>
        <w:tc>
          <w:tcPr>
            <w:tcW w:w="992" w:type="dxa"/>
            <w:tcBorders>
              <w:top w:val="nil"/>
              <w:left w:val="nil"/>
              <w:bottom w:val="single" w:sz="4" w:space="0" w:color="auto"/>
              <w:right w:val="single" w:sz="4" w:space="0" w:color="auto"/>
            </w:tcBorders>
            <w:shd w:val="clear" w:color="auto" w:fill="auto"/>
            <w:noWrap/>
          </w:tcPr>
          <w:p w14:paraId="2FF42648" w14:textId="40D9CA6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482.088 </w:t>
            </w:r>
          </w:p>
        </w:tc>
      </w:tr>
      <w:tr w:rsidR="0066388E" w:rsidRPr="00E715D6" w14:paraId="0CB17DD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0FB2C0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N_57</w:t>
            </w:r>
          </w:p>
        </w:tc>
        <w:tc>
          <w:tcPr>
            <w:tcW w:w="5060" w:type="dxa"/>
            <w:tcBorders>
              <w:top w:val="nil"/>
              <w:left w:val="nil"/>
              <w:bottom w:val="single" w:sz="4" w:space="0" w:color="auto"/>
              <w:right w:val="single" w:sz="4" w:space="0" w:color="auto"/>
            </w:tcBorders>
            <w:shd w:val="clear" w:color="auto" w:fill="auto"/>
            <w:noWrap/>
            <w:vAlign w:val="bottom"/>
            <w:hideMark/>
          </w:tcPr>
          <w:p w14:paraId="2ED4595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Kapatur 220-&gt;Los Changos 220</w:t>
            </w:r>
          </w:p>
        </w:tc>
        <w:tc>
          <w:tcPr>
            <w:tcW w:w="1035" w:type="dxa"/>
            <w:tcBorders>
              <w:top w:val="nil"/>
              <w:left w:val="nil"/>
              <w:bottom w:val="single" w:sz="4" w:space="0" w:color="auto"/>
              <w:right w:val="single" w:sz="4" w:space="0" w:color="auto"/>
            </w:tcBorders>
            <w:shd w:val="clear" w:color="auto" w:fill="auto"/>
            <w:noWrap/>
          </w:tcPr>
          <w:p w14:paraId="237427D0" w14:textId="7E3734A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3A281BCC" w14:textId="26ECA77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2FBF34A8" w14:textId="5FE1592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5553D8D0" w14:textId="6326B7C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291B661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035E95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N_58</w:t>
            </w:r>
          </w:p>
        </w:tc>
        <w:tc>
          <w:tcPr>
            <w:tcW w:w="5060" w:type="dxa"/>
            <w:tcBorders>
              <w:top w:val="nil"/>
              <w:left w:val="nil"/>
              <w:bottom w:val="single" w:sz="4" w:space="0" w:color="auto"/>
              <w:right w:val="single" w:sz="4" w:space="0" w:color="auto"/>
            </w:tcBorders>
            <w:shd w:val="clear" w:color="auto" w:fill="auto"/>
            <w:noWrap/>
            <w:vAlign w:val="bottom"/>
            <w:hideMark/>
          </w:tcPr>
          <w:p w14:paraId="7F44891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Kimal 220-&gt;Nueva Chuquicamata 220</w:t>
            </w:r>
          </w:p>
        </w:tc>
        <w:tc>
          <w:tcPr>
            <w:tcW w:w="1035" w:type="dxa"/>
            <w:tcBorders>
              <w:top w:val="nil"/>
              <w:left w:val="nil"/>
              <w:bottom w:val="single" w:sz="4" w:space="0" w:color="auto"/>
              <w:right w:val="single" w:sz="4" w:space="0" w:color="auto"/>
            </w:tcBorders>
            <w:shd w:val="clear" w:color="auto" w:fill="auto"/>
            <w:noWrap/>
          </w:tcPr>
          <w:p w14:paraId="034C07D5" w14:textId="5F64985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1.930.160 </w:t>
            </w:r>
          </w:p>
        </w:tc>
        <w:tc>
          <w:tcPr>
            <w:tcW w:w="891" w:type="dxa"/>
            <w:tcBorders>
              <w:top w:val="nil"/>
              <w:left w:val="nil"/>
              <w:bottom w:val="single" w:sz="4" w:space="0" w:color="auto"/>
              <w:right w:val="single" w:sz="4" w:space="0" w:color="auto"/>
            </w:tcBorders>
            <w:shd w:val="clear" w:color="auto" w:fill="auto"/>
            <w:noWrap/>
          </w:tcPr>
          <w:p w14:paraId="16D52D28" w14:textId="31344B8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310.562 </w:t>
            </w:r>
          </w:p>
        </w:tc>
        <w:tc>
          <w:tcPr>
            <w:tcW w:w="952" w:type="dxa"/>
            <w:tcBorders>
              <w:top w:val="nil"/>
              <w:left w:val="nil"/>
              <w:bottom w:val="single" w:sz="4" w:space="0" w:color="auto"/>
              <w:right w:val="single" w:sz="4" w:space="0" w:color="auto"/>
            </w:tcBorders>
            <w:shd w:val="clear" w:color="auto" w:fill="auto"/>
            <w:noWrap/>
          </w:tcPr>
          <w:p w14:paraId="0B32028C" w14:textId="3E41FC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449.577 </w:t>
            </w:r>
          </w:p>
        </w:tc>
        <w:tc>
          <w:tcPr>
            <w:tcW w:w="992" w:type="dxa"/>
            <w:tcBorders>
              <w:top w:val="nil"/>
              <w:left w:val="nil"/>
              <w:bottom w:val="single" w:sz="4" w:space="0" w:color="auto"/>
              <w:right w:val="single" w:sz="4" w:space="0" w:color="auto"/>
            </w:tcBorders>
            <w:shd w:val="clear" w:color="auto" w:fill="auto"/>
            <w:noWrap/>
          </w:tcPr>
          <w:p w14:paraId="18986305" w14:textId="04926CC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2.690.299 </w:t>
            </w:r>
          </w:p>
        </w:tc>
      </w:tr>
      <w:tr w:rsidR="0066388E" w:rsidRPr="00E715D6" w14:paraId="5A55A0C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B28982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N_59</w:t>
            </w:r>
          </w:p>
        </w:tc>
        <w:tc>
          <w:tcPr>
            <w:tcW w:w="5060" w:type="dxa"/>
            <w:tcBorders>
              <w:top w:val="nil"/>
              <w:left w:val="nil"/>
              <w:bottom w:val="single" w:sz="4" w:space="0" w:color="auto"/>
              <w:right w:val="single" w:sz="4" w:space="0" w:color="auto"/>
            </w:tcBorders>
            <w:shd w:val="clear" w:color="auto" w:fill="auto"/>
            <w:noWrap/>
            <w:vAlign w:val="bottom"/>
            <w:hideMark/>
          </w:tcPr>
          <w:p w14:paraId="7F6236E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Laberinto 220-&gt;El Cobre 220</w:t>
            </w:r>
          </w:p>
        </w:tc>
        <w:tc>
          <w:tcPr>
            <w:tcW w:w="1035" w:type="dxa"/>
            <w:tcBorders>
              <w:top w:val="nil"/>
              <w:left w:val="nil"/>
              <w:bottom w:val="single" w:sz="4" w:space="0" w:color="auto"/>
              <w:right w:val="single" w:sz="4" w:space="0" w:color="auto"/>
            </w:tcBorders>
            <w:shd w:val="clear" w:color="auto" w:fill="auto"/>
            <w:noWrap/>
          </w:tcPr>
          <w:p w14:paraId="75E05BB5" w14:textId="0064722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106.690 </w:t>
            </w:r>
          </w:p>
        </w:tc>
        <w:tc>
          <w:tcPr>
            <w:tcW w:w="891" w:type="dxa"/>
            <w:tcBorders>
              <w:top w:val="nil"/>
              <w:left w:val="nil"/>
              <w:bottom w:val="single" w:sz="4" w:space="0" w:color="auto"/>
              <w:right w:val="single" w:sz="4" w:space="0" w:color="auto"/>
            </w:tcBorders>
            <w:shd w:val="clear" w:color="auto" w:fill="auto"/>
            <w:noWrap/>
          </w:tcPr>
          <w:p w14:paraId="3B2B2644" w14:textId="287C03C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21.869 </w:t>
            </w:r>
          </w:p>
        </w:tc>
        <w:tc>
          <w:tcPr>
            <w:tcW w:w="952" w:type="dxa"/>
            <w:tcBorders>
              <w:top w:val="nil"/>
              <w:left w:val="nil"/>
              <w:bottom w:val="single" w:sz="4" w:space="0" w:color="auto"/>
              <w:right w:val="single" w:sz="4" w:space="0" w:color="auto"/>
            </w:tcBorders>
            <w:shd w:val="clear" w:color="auto" w:fill="auto"/>
            <w:noWrap/>
          </w:tcPr>
          <w:p w14:paraId="0167CDC2" w14:textId="38AAD42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16.050 </w:t>
            </w:r>
          </w:p>
        </w:tc>
        <w:tc>
          <w:tcPr>
            <w:tcW w:w="992" w:type="dxa"/>
            <w:tcBorders>
              <w:top w:val="nil"/>
              <w:left w:val="nil"/>
              <w:bottom w:val="single" w:sz="4" w:space="0" w:color="auto"/>
              <w:right w:val="single" w:sz="4" w:space="0" w:color="auto"/>
            </w:tcBorders>
            <w:shd w:val="clear" w:color="auto" w:fill="auto"/>
            <w:noWrap/>
          </w:tcPr>
          <w:p w14:paraId="064D30CB" w14:textId="0C9A782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144.609 </w:t>
            </w:r>
          </w:p>
        </w:tc>
      </w:tr>
      <w:tr w:rsidR="0066388E" w:rsidRPr="00E715D6" w14:paraId="4FDB74B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04FC9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N_60</w:t>
            </w:r>
          </w:p>
        </w:tc>
        <w:tc>
          <w:tcPr>
            <w:tcW w:w="5060" w:type="dxa"/>
            <w:tcBorders>
              <w:top w:val="nil"/>
              <w:left w:val="nil"/>
              <w:bottom w:val="single" w:sz="4" w:space="0" w:color="auto"/>
              <w:right w:val="single" w:sz="4" w:space="0" w:color="auto"/>
            </w:tcBorders>
            <w:shd w:val="clear" w:color="auto" w:fill="auto"/>
            <w:noWrap/>
            <w:vAlign w:val="bottom"/>
            <w:hideMark/>
          </w:tcPr>
          <w:p w14:paraId="345BEE3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Laberinto 220-&gt;Kapatur 220</w:t>
            </w:r>
          </w:p>
        </w:tc>
        <w:tc>
          <w:tcPr>
            <w:tcW w:w="1035" w:type="dxa"/>
            <w:tcBorders>
              <w:top w:val="nil"/>
              <w:left w:val="nil"/>
              <w:bottom w:val="single" w:sz="4" w:space="0" w:color="auto"/>
              <w:right w:val="single" w:sz="4" w:space="0" w:color="auto"/>
            </w:tcBorders>
            <w:shd w:val="clear" w:color="auto" w:fill="auto"/>
            <w:noWrap/>
          </w:tcPr>
          <w:p w14:paraId="45CEDCB8" w14:textId="1D000D5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3.977.809 </w:t>
            </w:r>
          </w:p>
        </w:tc>
        <w:tc>
          <w:tcPr>
            <w:tcW w:w="891" w:type="dxa"/>
            <w:tcBorders>
              <w:top w:val="nil"/>
              <w:left w:val="nil"/>
              <w:bottom w:val="single" w:sz="4" w:space="0" w:color="auto"/>
              <w:right w:val="single" w:sz="4" w:space="0" w:color="auto"/>
            </w:tcBorders>
            <w:shd w:val="clear" w:color="auto" w:fill="auto"/>
            <w:noWrap/>
          </w:tcPr>
          <w:p w14:paraId="2BF65AC8" w14:textId="260BA92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835.133 </w:t>
            </w:r>
          </w:p>
        </w:tc>
        <w:tc>
          <w:tcPr>
            <w:tcW w:w="952" w:type="dxa"/>
            <w:tcBorders>
              <w:top w:val="nil"/>
              <w:left w:val="nil"/>
              <w:bottom w:val="single" w:sz="4" w:space="0" w:color="auto"/>
              <w:right w:val="single" w:sz="4" w:space="0" w:color="auto"/>
            </w:tcBorders>
            <w:shd w:val="clear" w:color="auto" w:fill="auto"/>
            <w:noWrap/>
          </w:tcPr>
          <w:p w14:paraId="25057FA0" w14:textId="2865170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648.486 </w:t>
            </w:r>
          </w:p>
        </w:tc>
        <w:tc>
          <w:tcPr>
            <w:tcW w:w="992" w:type="dxa"/>
            <w:tcBorders>
              <w:top w:val="nil"/>
              <w:left w:val="nil"/>
              <w:bottom w:val="single" w:sz="4" w:space="0" w:color="auto"/>
              <w:right w:val="single" w:sz="4" w:space="0" w:color="auto"/>
            </w:tcBorders>
            <w:shd w:val="clear" w:color="auto" w:fill="auto"/>
            <w:noWrap/>
          </w:tcPr>
          <w:p w14:paraId="5EFDF637" w14:textId="4930796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5.461.428 </w:t>
            </w:r>
          </w:p>
        </w:tc>
      </w:tr>
      <w:tr w:rsidR="0066388E" w:rsidRPr="00E715D6" w14:paraId="456183C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18ACE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N_61</w:t>
            </w:r>
          </w:p>
        </w:tc>
        <w:tc>
          <w:tcPr>
            <w:tcW w:w="5060" w:type="dxa"/>
            <w:tcBorders>
              <w:top w:val="nil"/>
              <w:left w:val="nil"/>
              <w:bottom w:val="single" w:sz="4" w:space="0" w:color="auto"/>
              <w:right w:val="single" w:sz="4" w:space="0" w:color="auto"/>
            </w:tcBorders>
            <w:shd w:val="clear" w:color="auto" w:fill="auto"/>
            <w:noWrap/>
            <w:vAlign w:val="bottom"/>
            <w:hideMark/>
          </w:tcPr>
          <w:p w14:paraId="1AADE46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Laberinto 220-&gt;Kimal 220</w:t>
            </w:r>
          </w:p>
        </w:tc>
        <w:tc>
          <w:tcPr>
            <w:tcW w:w="1035" w:type="dxa"/>
            <w:tcBorders>
              <w:top w:val="nil"/>
              <w:left w:val="nil"/>
              <w:bottom w:val="single" w:sz="4" w:space="0" w:color="auto"/>
              <w:right w:val="single" w:sz="4" w:space="0" w:color="auto"/>
            </w:tcBorders>
            <w:shd w:val="clear" w:color="auto" w:fill="auto"/>
            <w:noWrap/>
          </w:tcPr>
          <w:p w14:paraId="1C1FE5AA" w14:textId="63AE17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2.687.599 </w:t>
            </w:r>
          </w:p>
        </w:tc>
        <w:tc>
          <w:tcPr>
            <w:tcW w:w="891" w:type="dxa"/>
            <w:tcBorders>
              <w:top w:val="nil"/>
              <w:left w:val="nil"/>
              <w:bottom w:val="single" w:sz="4" w:space="0" w:color="auto"/>
              <w:right w:val="single" w:sz="4" w:space="0" w:color="auto"/>
            </w:tcBorders>
            <w:shd w:val="clear" w:color="auto" w:fill="auto"/>
            <w:noWrap/>
          </w:tcPr>
          <w:p w14:paraId="0EBA5E9D" w14:textId="28C63EA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714.726 </w:t>
            </w:r>
          </w:p>
        </w:tc>
        <w:tc>
          <w:tcPr>
            <w:tcW w:w="952" w:type="dxa"/>
            <w:tcBorders>
              <w:top w:val="nil"/>
              <w:left w:val="nil"/>
              <w:bottom w:val="single" w:sz="4" w:space="0" w:color="auto"/>
              <w:right w:val="single" w:sz="4" w:space="0" w:color="auto"/>
            </w:tcBorders>
            <w:shd w:val="clear" w:color="auto" w:fill="auto"/>
            <w:noWrap/>
          </w:tcPr>
          <w:p w14:paraId="1ECC54D3" w14:textId="585DE55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540.761 </w:t>
            </w:r>
          </w:p>
        </w:tc>
        <w:tc>
          <w:tcPr>
            <w:tcW w:w="992" w:type="dxa"/>
            <w:tcBorders>
              <w:top w:val="nil"/>
              <w:left w:val="nil"/>
              <w:bottom w:val="single" w:sz="4" w:space="0" w:color="auto"/>
              <w:right w:val="single" w:sz="4" w:space="0" w:color="auto"/>
            </w:tcBorders>
            <w:shd w:val="clear" w:color="auto" w:fill="auto"/>
            <w:noWrap/>
          </w:tcPr>
          <w:p w14:paraId="1FDEE770" w14:textId="2533B9D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3.943.086 </w:t>
            </w:r>
          </w:p>
        </w:tc>
      </w:tr>
      <w:tr w:rsidR="0066388E" w:rsidRPr="00E715D6" w14:paraId="6A27A28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09968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N_62</w:t>
            </w:r>
          </w:p>
        </w:tc>
        <w:tc>
          <w:tcPr>
            <w:tcW w:w="5060" w:type="dxa"/>
            <w:tcBorders>
              <w:top w:val="nil"/>
              <w:left w:val="nil"/>
              <w:bottom w:val="single" w:sz="4" w:space="0" w:color="auto"/>
              <w:right w:val="single" w:sz="4" w:space="0" w:color="auto"/>
            </w:tcBorders>
            <w:shd w:val="clear" w:color="auto" w:fill="auto"/>
            <w:noWrap/>
            <w:vAlign w:val="bottom"/>
            <w:hideMark/>
          </w:tcPr>
          <w:p w14:paraId="0FE0911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Laberinto 220-&gt;Nueva Zaldivar 220</w:t>
            </w:r>
          </w:p>
        </w:tc>
        <w:tc>
          <w:tcPr>
            <w:tcW w:w="1035" w:type="dxa"/>
            <w:tcBorders>
              <w:top w:val="nil"/>
              <w:left w:val="nil"/>
              <w:bottom w:val="single" w:sz="4" w:space="0" w:color="auto"/>
              <w:right w:val="single" w:sz="4" w:space="0" w:color="auto"/>
            </w:tcBorders>
            <w:shd w:val="clear" w:color="auto" w:fill="auto"/>
            <w:noWrap/>
          </w:tcPr>
          <w:p w14:paraId="352ABCE1" w14:textId="4C6DE7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1.889.871 </w:t>
            </w:r>
          </w:p>
        </w:tc>
        <w:tc>
          <w:tcPr>
            <w:tcW w:w="891" w:type="dxa"/>
            <w:tcBorders>
              <w:top w:val="nil"/>
              <w:left w:val="nil"/>
              <w:bottom w:val="single" w:sz="4" w:space="0" w:color="auto"/>
              <w:right w:val="single" w:sz="4" w:space="0" w:color="auto"/>
            </w:tcBorders>
            <w:shd w:val="clear" w:color="auto" w:fill="auto"/>
            <w:noWrap/>
          </w:tcPr>
          <w:p w14:paraId="439CCCF1" w14:textId="2F54AE9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459.753 </w:t>
            </w:r>
          </w:p>
        </w:tc>
        <w:tc>
          <w:tcPr>
            <w:tcW w:w="952" w:type="dxa"/>
            <w:tcBorders>
              <w:top w:val="nil"/>
              <w:left w:val="nil"/>
              <w:bottom w:val="single" w:sz="4" w:space="0" w:color="auto"/>
              <w:right w:val="single" w:sz="4" w:space="0" w:color="auto"/>
            </w:tcBorders>
            <w:shd w:val="clear" w:color="auto" w:fill="auto"/>
            <w:noWrap/>
          </w:tcPr>
          <w:p w14:paraId="716F2525" w14:textId="5EB9ECA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374.734 </w:t>
            </w:r>
          </w:p>
        </w:tc>
        <w:tc>
          <w:tcPr>
            <w:tcW w:w="992" w:type="dxa"/>
            <w:tcBorders>
              <w:top w:val="nil"/>
              <w:left w:val="nil"/>
              <w:bottom w:val="single" w:sz="4" w:space="0" w:color="auto"/>
              <w:right w:val="single" w:sz="4" w:space="0" w:color="auto"/>
            </w:tcBorders>
            <w:shd w:val="clear" w:color="auto" w:fill="auto"/>
            <w:noWrap/>
          </w:tcPr>
          <w:p w14:paraId="4FF0F659" w14:textId="1DB9C0A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2.724.359 </w:t>
            </w:r>
          </w:p>
        </w:tc>
      </w:tr>
      <w:tr w:rsidR="0066388E" w:rsidRPr="00E715D6" w14:paraId="26B6262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D93DC7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N_63</w:t>
            </w:r>
          </w:p>
        </w:tc>
        <w:tc>
          <w:tcPr>
            <w:tcW w:w="5060" w:type="dxa"/>
            <w:tcBorders>
              <w:top w:val="nil"/>
              <w:left w:val="nil"/>
              <w:bottom w:val="single" w:sz="4" w:space="0" w:color="auto"/>
              <w:right w:val="single" w:sz="4" w:space="0" w:color="auto"/>
            </w:tcBorders>
            <w:shd w:val="clear" w:color="auto" w:fill="auto"/>
            <w:noWrap/>
            <w:vAlign w:val="bottom"/>
            <w:hideMark/>
          </w:tcPr>
          <w:p w14:paraId="7C7E2BA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Lagunas 220-&gt;Encuentro 220</w:t>
            </w:r>
          </w:p>
        </w:tc>
        <w:tc>
          <w:tcPr>
            <w:tcW w:w="1035" w:type="dxa"/>
            <w:tcBorders>
              <w:top w:val="nil"/>
              <w:left w:val="nil"/>
              <w:bottom w:val="single" w:sz="4" w:space="0" w:color="auto"/>
              <w:right w:val="single" w:sz="4" w:space="0" w:color="auto"/>
            </w:tcBorders>
            <w:shd w:val="clear" w:color="auto" w:fill="auto"/>
            <w:noWrap/>
          </w:tcPr>
          <w:p w14:paraId="0F5E999E" w14:textId="7A20A0A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1.113.500 </w:t>
            </w:r>
          </w:p>
        </w:tc>
        <w:tc>
          <w:tcPr>
            <w:tcW w:w="891" w:type="dxa"/>
            <w:tcBorders>
              <w:top w:val="nil"/>
              <w:left w:val="nil"/>
              <w:bottom w:val="single" w:sz="4" w:space="0" w:color="auto"/>
              <w:right w:val="single" w:sz="4" w:space="0" w:color="auto"/>
            </w:tcBorders>
            <w:shd w:val="clear" w:color="auto" w:fill="auto"/>
            <w:noWrap/>
          </w:tcPr>
          <w:p w14:paraId="3B37E8FD" w14:textId="50C02CA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541.885 </w:t>
            </w:r>
          </w:p>
        </w:tc>
        <w:tc>
          <w:tcPr>
            <w:tcW w:w="952" w:type="dxa"/>
            <w:tcBorders>
              <w:top w:val="nil"/>
              <w:left w:val="nil"/>
              <w:bottom w:val="single" w:sz="4" w:space="0" w:color="auto"/>
              <w:right w:val="single" w:sz="4" w:space="0" w:color="auto"/>
            </w:tcBorders>
            <w:shd w:val="clear" w:color="auto" w:fill="auto"/>
            <w:noWrap/>
          </w:tcPr>
          <w:p w14:paraId="6AF1FA4A" w14:textId="777D60B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188.643 </w:t>
            </w:r>
          </w:p>
        </w:tc>
        <w:tc>
          <w:tcPr>
            <w:tcW w:w="992" w:type="dxa"/>
            <w:tcBorders>
              <w:top w:val="nil"/>
              <w:left w:val="nil"/>
              <w:bottom w:val="single" w:sz="4" w:space="0" w:color="auto"/>
              <w:right w:val="single" w:sz="4" w:space="0" w:color="auto"/>
            </w:tcBorders>
            <w:shd w:val="clear" w:color="auto" w:fill="auto"/>
            <w:noWrap/>
          </w:tcPr>
          <w:p w14:paraId="601BD48E" w14:textId="1FF48E8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1.844.028 </w:t>
            </w:r>
          </w:p>
        </w:tc>
      </w:tr>
      <w:tr w:rsidR="0066388E" w:rsidRPr="00E715D6" w14:paraId="44D10D7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4E356F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N_64</w:t>
            </w:r>
          </w:p>
        </w:tc>
        <w:tc>
          <w:tcPr>
            <w:tcW w:w="5060" w:type="dxa"/>
            <w:tcBorders>
              <w:top w:val="nil"/>
              <w:left w:val="nil"/>
              <w:bottom w:val="single" w:sz="4" w:space="0" w:color="auto"/>
              <w:right w:val="single" w:sz="4" w:space="0" w:color="auto"/>
            </w:tcBorders>
            <w:shd w:val="clear" w:color="auto" w:fill="auto"/>
            <w:noWrap/>
            <w:vAlign w:val="bottom"/>
            <w:hideMark/>
          </w:tcPr>
          <w:p w14:paraId="108C8B5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Lagunas 220-&gt;Nueva Pozo Almonte 220</w:t>
            </w:r>
          </w:p>
        </w:tc>
        <w:tc>
          <w:tcPr>
            <w:tcW w:w="1035" w:type="dxa"/>
            <w:tcBorders>
              <w:top w:val="nil"/>
              <w:left w:val="nil"/>
              <w:bottom w:val="single" w:sz="4" w:space="0" w:color="auto"/>
              <w:right w:val="single" w:sz="4" w:space="0" w:color="auto"/>
            </w:tcBorders>
            <w:shd w:val="clear" w:color="auto" w:fill="auto"/>
            <w:noWrap/>
          </w:tcPr>
          <w:p w14:paraId="7ACB40C1" w14:textId="040D55B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881.039 </w:t>
            </w:r>
          </w:p>
        </w:tc>
        <w:tc>
          <w:tcPr>
            <w:tcW w:w="891" w:type="dxa"/>
            <w:tcBorders>
              <w:top w:val="nil"/>
              <w:left w:val="nil"/>
              <w:bottom w:val="single" w:sz="4" w:space="0" w:color="auto"/>
              <w:right w:val="single" w:sz="4" w:space="0" w:color="auto"/>
            </w:tcBorders>
            <w:shd w:val="clear" w:color="auto" w:fill="auto"/>
            <w:noWrap/>
          </w:tcPr>
          <w:p w14:paraId="62802160" w14:textId="0E9E4AE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208.714 </w:t>
            </w:r>
          </w:p>
        </w:tc>
        <w:tc>
          <w:tcPr>
            <w:tcW w:w="952" w:type="dxa"/>
            <w:tcBorders>
              <w:top w:val="nil"/>
              <w:left w:val="nil"/>
              <w:bottom w:val="single" w:sz="4" w:space="0" w:color="auto"/>
              <w:right w:val="single" w:sz="4" w:space="0" w:color="auto"/>
            </w:tcBorders>
            <w:shd w:val="clear" w:color="auto" w:fill="auto"/>
            <w:noWrap/>
          </w:tcPr>
          <w:p w14:paraId="688D440D" w14:textId="69ACA90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205.790 </w:t>
            </w:r>
          </w:p>
        </w:tc>
        <w:tc>
          <w:tcPr>
            <w:tcW w:w="992" w:type="dxa"/>
            <w:tcBorders>
              <w:top w:val="nil"/>
              <w:left w:val="nil"/>
              <w:bottom w:val="single" w:sz="4" w:space="0" w:color="auto"/>
              <w:right w:val="single" w:sz="4" w:space="0" w:color="auto"/>
            </w:tcBorders>
            <w:shd w:val="clear" w:color="auto" w:fill="auto"/>
            <w:noWrap/>
          </w:tcPr>
          <w:p w14:paraId="0E78A14F" w14:textId="1FDD705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1.295.543 </w:t>
            </w:r>
          </w:p>
        </w:tc>
      </w:tr>
      <w:tr w:rsidR="0066388E" w:rsidRPr="00E715D6" w14:paraId="6CF164A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FE902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N_65</w:t>
            </w:r>
          </w:p>
        </w:tc>
        <w:tc>
          <w:tcPr>
            <w:tcW w:w="5060" w:type="dxa"/>
            <w:tcBorders>
              <w:top w:val="nil"/>
              <w:left w:val="nil"/>
              <w:bottom w:val="single" w:sz="4" w:space="0" w:color="auto"/>
              <w:right w:val="single" w:sz="4" w:space="0" w:color="auto"/>
            </w:tcBorders>
            <w:shd w:val="clear" w:color="auto" w:fill="auto"/>
            <w:noWrap/>
            <w:vAlign w:val="bottom"/>
            <w:hideMark/>
          </w:tcPr>
          <w:p w14:paraId="1AED270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Lagunas 220-&gt;Nueva Victoria 220</w:t>
            </w:r>
          </w:p>
        </w:tc>
        <w:tc>
          <w:tcPr>
            <w:tcW w:w="1035" w:type="dxa"/>
            <w:tcBorders>
              <w:top w:val="nil"/>
              <w:left w:val="nil"/>
              <w:bottom w:val="single" w:sz="4" w:space="0" w:color="auto"/>
              <w:right w:val="single" w:sz="4" w:space="0" w:color="auto"/>
            </w:tcBorders>
            <w:shd w:val="clear" w:color="auto" w:fill="auto"/>
            <w:noWrap/>
          </w:tcPr>
          <w:p w14:paraId="16FED884" w14:textId="0D2AE08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232.889 </w:t>
            </w:r>
          </w:p>
        </w:tc>
        <w:tc>
          <w:tcPr>
            <w:tcW w:w="891" w:type="dxa"/>
            <w:tcBorders>
              <w:top w:val="nil"/>
              <w:left w:val="nil"/>
              <w:bottom w:val="single" w:sz="4" w:space="0" w:color="auto"/>
              <w:right w:val="single" w:sz="4" w:space="0" w:color="auto"/>
            </w:tcBorders>
            <w:shd w:val="clear" w:color="auto" w:fill="auto"/>
            <w:noWrap/>
          </w:tcPr>
          <w:p w14:paraId="49C4F06E" w14:textId="40F402E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61.222 </w:t>
            </w:r>
          </w:p>
        </w:tc>
        <w:tc>
          <w:tcPr>
            <w:tcW w:w="952" w:type="dxa"/>
            <w:tcBorders>
              <w:top w:val="nil"/>
              <w:left w:val="nil"/>
              <w:bottom w:val="single" w:sz="4" w:space="0" w:color="auto"/>
              <w:right w:val="single" w:sz="4" w:space="0" w:color="auto"/>
            </w:tcBorders>
            <w:shd w:val="clear" w:color="auto" w:fill="auto"/>
            <w:noWrap/>
          </w:tcPr>
          <w:p w14:paraId="234899CF" w14:textId="6C20B87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43.243 </w:t>
            </w:r>
          </w:p>
        </w:tc>
        <w:tc>
          <w:tcPr>
            <w:tcW w:w="992" w:type="dxa"/>
            <w:tcBorders>
              <w:top w:val="nil"/>
              <w:left w:val="nil"/>
              <w:bottom w:val="single" w:sz="4" w:space="0" w:color="auto"/>
              <w:right w:val="single" w:sz="4" w:space="0" w:color="auto"/>
            </w:tcBorders>
            <w:shd w:val="clear" w:color="auto" w:fill="auto"/>
            <w:noWrap/>
          </w:tcPr>
          <w:p w14:paraId="3341589E" w14:textId="3E52089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337.353 </w:t>
            </w:r>
          </w:p>
        </w:tc>
      </w:tr>
      <w:tr w:rsidR="0066388E" w:rsidRPr="00E715D6" w14:paraId="652CE79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3AEA6B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N_66</w:t>
            </w:r>
          </w:p>
        </w:tc>
        <w:tc>
          <w:tcPr>
            <w:tcW w:w="5060" w:type="dxa"/>
            <w:tcBorders>
              <w:top w:val="nil"/>
              <w:left w:val="nil"/>
              <w:bottom w:val="single" w:sz="4" w:space="0" w:color="auto"/>
              <w:right w:val="single" w:sz="4" w:space="0" w:color="auto"/>
            </w:tcBorders>
            <w:shd w:val="clear" w:color="auto" w:fill="auto"/>
            <w:noWrap/>
            <w:vAlign w:val="bottom"/>
            <w:hideMark/>
          </w:tcPr>
          <w:p w14:paraId="5E3FA5A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Lagunas 220-&gt;San Simon 220</w:t>
            </w:r>
          </w:p>
        </w:tc>
        <w:tc>
          <w:tcPr>
            <w:tcW w:w="1035" w:type="dxa"/>
            <w:tcBorders>
              <w:top w:val="nil"/>
              <w:left w:val="nil"/>
              <w:bottom w:val="single" w:sz="4" w:space="0" w:color="auto"/>
              <w:right w:val="single" w:sz="4" w:space="0" w:color="auto"/>
            </w:tcBorders>
            <w:shd w:val="clear" w:color="auto" w:fill="auto"/>
            <w:noWrap/>
          </w:tcPr>
          <w:p w14:paraId="4AC307AE" w14:textId="6C218F9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528.172 </w:t>
            </w:r>
          </w:p>
        </w:tc>
        <w:tc>
          <w:tcPr>
            <w:tcW w:w="891" w:type="dxa"/>
            <w:tcBorders>
              <w:top w:val="nil"/>
              <w:left w:val="nil"/>
              <w:bottom w:val="single" w:sz="4" w:space="0" w:color="auto"/>
              <w:right w:val="single" w:sz="4" w:space="0" w:color="auto"/>
            </w:tcBorders>
            <w:shd w:val="clear" w:color="auto" w:fill="auto"/>
            <w:noWrap/>
          </w:tcPr>
          <w:p w14:paraId="370A7C66" w14:textId="5E8F10F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130.241 </w:t>
            </w:r>
          </w:p>
        </w:tc>
        <w:tc>
          <w:tcPr>
            <w:tcW w:w="952" w:type="dxa"/>
            <w:tcBorders>
              <w:top w:val="nil"/>
              <w:left w:val="nil"/>
              <w:bottom w:val="single" w:sz="4" w:space="0" w:color="auto"/>
              <w:right w:val="single" w:sz="4" w:space="0" w:color="auto"/>
            </w:tcBorders>
            <w:shd w:val="clear" w:color="auto" w:fill="auto"/>
            <w:noWrap/>
          </w:tcPr>
          <w:p w14:paraId="285314E5" w14:textId="318A9DB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99.637 </w:t>
            </w:r>
          </w:p>
        </w:tc>
        <w:tc>
          <w:tcPr>
            <w:tcW w:w="992" w:type="dxa"/>
            <w:tcBorders>
              <w:top w:val="nil"/>
              <w:left w:val="nil"/>
              <w:bottom w:val="single" w:sz="4" w:space="0" w:color="auto"/>
              <w:right w:val="single" w:sz="4" w:space="0" w:color="auto"/>
            </w:tcBorders>
            <w:shd w:val="clear" w:color="auto" w:fill="auto"/>
            <w:noWrap/>
          </w:tcPr>
          <w:p w14:paraId="165565BE" w14:textId="2DD0272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758.051 </w:t>
            </w:r>
          </w:p>
        </w:tc>
      </w:tr>
      <w:tr w:rsidR="0066388E" w:rsidRPr="00E715D6" w14:paraId="543D098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6BE57B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N_67</w:t>
            </w:r>
          </w:p>
        </w:tc>
        <w:tc>
          <w:tcPr>
            <w:tcW w:w="5060" w:type="dxa"/>
            <w:tcBorders>
              <w:top w:val="nil"/>
              <w:left w:val="nil"/>
              <w:bottom w:val="single" w:sz="4" w:space="0" w:color="auto"/>
              <w:right w:val="single" w:sz="4" w:space="0" w:color="auto"/>
            </w:tcBorders>
            <w:shd w:val="clear" w:color="auto" w:fill="auto"/>
            <w:noWrap/>
            <w:vAlign w:val="bottom"/>
            <w:hideMark/>
          </w:tcPr>
          <w:p w14:paraId="4F37CD9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Lagunillas 220-&gt;Guindo 220</w:t>
            </w:r>
          </w:p>
        </w:tc>
        <w:tc>
          <w:tcPr>
            <w:tcW w:w="1035" w:type="dxa"/>
            <w:tcBorders>
              <w:top w:val="nil"/>
              <w:left w:val="nil"/>
              <w:bottom w:val="single" w:sz="4" w:space="0" w:color="auto"/>
              <w:right w:val="single" w:sz="4" w:space="0" w:color="auto"/>
            </w:tcBorders>
            <w:shd w:val="clear" w:color="auto" w:fill="auto"/>
            <w:noWrap/>
          </w:tcPr>
          <w:p w14:paraId="2AD7DA7A" w14:textId="2579EDB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295.982 </w:t>
            </w:r>
          </w:p>
        </w:tc>
        <w:tc>
          <w:tcPr>
            <w:tcW w:w="891" w:type="dxa"/>
            <w:tcBorders>
              <w:top w:val="nil"/>
              <w:left w:val="nil"/>
              <w:bottom w:val="single" w:sz="4" w:space="0" w:color="auto"/>
              <w:right w:val="single" w:sz="4" w:space="0" w:color="auto"/>
            </w:tcBorders>
            <w:shd w:val="clear" w:color="auto" w:fill="auto"/>
            <w:noWrap/>
          </w:tcPr>
          <w:p w14:paraId="35E53703" w14:textId="51A0447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83.121 </w:t>
            </w:r>
          </w:p>
        </w:tc>
        <w:tc>
          <w:tcPr>
            <w:tcW w:w="952" w:type="dxa"/>
            <w:tcBorders>
              <w:top w:val="nil"/>
              <w:left w:val="nil"/>
              <w:bottom w:val="single" w:sz="4" w:space="0" w:color="auto"/>
              <w:right w:val="single" w:sz="4" w:space="0" w:color="auto"/>
            </w:tcBorders>
            <w:shd w:val="clear" w:color="auto" w:fill="auto"/>
            <w:noWrap/>
          </w:tcPr>
          <w:p w14:paraId="357C4CE0" w14:textId="0C6F66A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65.567 </w:t>
            </w:r>
          </w:p>
        </w:tc>
        <w:tc>
          <w:tcPr>
            <w:tcW w:w="992" w:type="dxa"/>
            <w:tcBorders>
              <w:top w:val="nil"/>
              <w:left w:val="nil"/>
              <w:bottom w:val="single" w:sz="4" w:space="0" w:color="auto"/>
              <w:right w:val="single" w:sz="4" w:space="0" w:color="auto"/>
            </w:tcBorders>
            <w:shd w:val="clear" w:color="auto" w:fill="auto"/>
            <w:noWrap/>
          </w:tcPr>
          <w:p w14:paraId="7C9DFE98" w14:textId="28C2750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444.670 </w:t>
            </w:r>
          </w:p>
        </w:tc>
      </w:tr>
      <w:tr w:rsidR="0066388E" w:rsidRPr="00E715D6" w14:paraId="57FC3B6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A340B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N_68</w:t>
            </w:r>
          </w:p>
        </w:tc>
        <w:tc>
          <w:tcPr>
            <w:tcW w:w="5060" w:type="dxa"/>
            <w:tcBorders>
              <w:top w:val="nil"/>
              <w:left w:val="nil"/>
              <w:bottom w:val="single" w:sz="4" w:space="0" w:color="auto"/>
              <w:right w:val="single" w:sz="4" w:space="0" w:color="auto"/>
            </w:tcBorders>
            <w:shd w:val="clear" w:color="auto" w:fill="auto"/>
            <w:noWrap/>
            <w:vAlign w:val="bottom"/>
            <w:hideMark/>
          </w:tcPr>
          <w:p w14:paraId="45F6303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 Aguirre 220-&gt;Cerro Navia 220</w:t>
            </w:r>
          </w:p>
        </w:tc>
        <w:tc>
          <w:tcPr>
            <w:tcW w:w="1035" w:type="dxa"/>
            <w:tcBorders>
              <w:top w:val="nil"/>
              <w:left w:val="nil"/>
              <w:bottom w:val="single" w:sz="4" w:space="0" w:color="auto"/>
              <w:right w:val="single" w:sz="4" w:space="0" w:color="auto"/>
            </w:tcBorders>
            <w:shd w:val="clear" w:color="auto" w:fill="auto"/>
            <w:noWrap/>
          </w:tcPr>
          <w:p w14:paraId="10A4FE0F" w14:textId="470F7AC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24B348E3" w14:textId="37E544A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0CFFF23A" w14:textId="7188D01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51FC52AB" w14:textId="28A4702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5323D79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28054C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N_69</w:t>
            </w:r>
          </w:p>
        </w:tc>
        <w:tc>
          <w:tcPr>
            <w:tcW w:w="5060" w:type="dxa"/>
            <w:tcBorders>
              <w:top w:val="nil"/>
              <w:left w:val="nil"/>
              <w:bottom w:val="single" w:sz="4" w:space="0" w:color="auto"/>
              <w:right w:val="single" w:sz="4" w:space="0" w:color="auto"/>
            </w:tcBorders>
            <w:shd w:val="clear" w:color="auto" w:fill="auto"/>
            <w:noWrap/>
            <w:vAlign w:val="bottom"/>
            <w:hideMark/>
          </w:tcPr>
          <w:p w14:paraId="10415F7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 Aguirre 220-&gt;Nueva Alto Melipilla 220</w:t>
            </w:r>
          </w:p>
        </w:tc>
        <w:tc>
          <w:tcPr>
            <w:tcW w:w="1035" w:type="dxa"/>
            <w:tcBorders>
              <w:top w:val="nil"/>
              <w:left w:val="nil"/>
              <w:bottom w:val="single" w:sz="4" w:space="0" w:color="auto"/>
              <w:right w:val="single" w:sz="4" w:space="0" w:color="auto"/>
            </w:tcBorders>
            <w:shd w:val="clear" w:color="auto" w:fill="auto"/>
            <w:noWrap/>
          </w:tcPr>
          <w:p w14:paraId="36F9084B" w14:textId="47705C9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953.700 </w:t>
            </w:r>
          </w:p>
        </w:tc>
        <w:tc>
          <w:tcPr>
            <w:tcW w:w="891" w:type="dxa"/>
            <w:tcBorders>
              <w:top w:val="nil"/>
              <w:left w:val="nil"/>
              <w:bottom w:val="single" w:sz="4" w:space="0" w:color="auto"/>
              <w:right w:val="single" w:sz="4" w:space="0" w:color="auto"/>
            </w:tcBorders>
            <w:shd w:val="clear" w:color="auto" w:fill="auto"/>
            <w:noWrap/>
          </w:tcPr>
          <w:p w14:paraId="0ABFF37A" w14:textId="3C9C07E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242.408 </w:t>
            </w:r>
          </w:p>
        </w:tc>
        <w:tc>
          <w:tcPr>
            <w:tcW w:w="952" w:type="dxa"/>
            <w:tcBorders>
              <w:top w:val="nil"/>
              <w:left w:val="nil"/>
              <w:bottom w:val="single" w:sz="4" w:space="0" w:color="auto"/>
              <w:right w:val="single" w:sz="4" w:space="0" w:color="auto"/>
            </w:tcBorders>
            <w:shd w:val="clear" w:color="auto" w:fill="auto"/>
            <w:noWrap/>
          </w:tcPr>
          <w:p w14:paraId="00EC34B7" w14:textId="48E92CD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233.549 </w:t>
            </w:r>
          </w:p>
        </w:tc>
        <w:tc>
          <w:tcPr>
            <w:tcW w:w="992" w:type="dxa"/>
            <w:tcBorders>
              <w:top w:val="nil"/>
              <w:left w:val="nil"/>
              <w:bottom w:val="single" w:sz="4" w:space="0" w:color="auto"/>
              <w:right w:val="single" w:sz="4" w:space="0" w:color="auto"/>
            </w:tcBorders>
            <w:shd w:val="clear" w:color="auto" w:fill="auto"/>
            <w:noWrap/>
          </w:tcPr>
          <w:p w14:paraId="00AEF619" w14:textId="34695BB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1.429.657 </w:t>
            </w:r>
          </w:p>
        </w:tc>
      </w:tr>
      <w:tr w:rsidR="0066388E" w:rsidRPr="00E715D6" w14:paraId="194C560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1130EF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N_70</w:t>
            </w:r>
          </w:p>
        </w:tc>
        <w:tc>
          <w:tcPr>
            <w:tcW w:w="5060" w:type="dxa"/>
            <w:tcBorders>
              <w:top w:val="nil"/>
              <w:left w:val="nil"/>
              <w:bottom w:val="single" w:sz="4" w:space="0" w:color="auto"/>
              <w:right w:val="single" w:sz="4" w:space="0" w:color="auto"/>
            </w:tcBorders>
            <w:shd w:val="clear" w:color="auto" w:fill="auto"/>
            <w:noWrap/>
            <w:vAlign w:val="bottom"/>
            <w:hideMark/>
          </w:tcPr>
          <w:p w14:paraId="7331E70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 Aguirre 500-&gt;Alto Jahuel 500</w:t>
            </w:r>
          </w:p>
        </w:tc>
        <w:tc>
          <w:tcPr>
            <w:tcW w:w="1035" w:type="dxa"/>
            <w:tcBorders>
              <w:top w:val="nil"/>
              <w:left w:val="nil"/>
              <w:bottom w:val="single" w:sz="4" w:space="0" w:color="auto"/>
              <w:right w:val="single" w:sz="4" w:space="0" w:color="auto"/>
            </w:tcBorders>
            <w:shd w:val="clear" w:color="auto" w:fill="auto"/>
            <w:noWrap/>
          </w:tcPr>
          <w:p w14:paraId="5C79EF4F" w14:textId="48EF624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3.247.999 </w:t>
            </w:r>
          </w:p>
        </w:tc>
        <w:tc>
          <w:tcPr>
            <w:tcW w:w="891" w:type="dxa"/>
            <w:tcBorders>
              <w:top w:val="nil"/>
              <w:left w:val="nil"/>
              <w:bottom w:val="single" w:sz="4" w:space="0" w:color="auto"/>
              <w:right w:val="single" w:sz="4" w:space="0" w:color="auto"/>
            </w:tcBorders>
            <w:shd w:val="clear" w:color="auto" w:fill="auto"/>
            <w:noWrap/>
          </w:tcPr>
          <w:p w14:paraId="4CDE80D7" w14:textId="22991FF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466.585 </w:t>
            </w:r>
          </w:p>
        </w:tc>
        <w:tc>
          <w:tcPr>
            <w:tcW w:w="952" w:type="dxa"/>
            <w:tcBorders>
              <w:top w:val="nil"/>
              <w:left w:val="nil"/>
              <w:bottom w:val="single" w:sz="4" w:space="0" w:color="auto"/>
              <w:right w:val="single" w:sz="4" w:space="0" w:color="auto"/>
            </w:tcBorders>
            <w:shd w:val="clear" w:color="auto" w:fill="auto"/>
            <w:noWrap/>
          </w:tcPr>
          <w:p w14:paraId="0F019B77" w14:textId="676D3EF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636.255 </w:t>
            </w:r>
          </w:p>
        </w:tc>
        <w:tc>
          <w:tcPr>
            <w:tcW w:w="992" w:type="dxa"/>
            <w:tcBorders>
              <w:top w:val="nil"/>
              <w:left w:val="nil"/>
              <w:bottom w:val="single" w:sz="4" w:space="0" w:color="auto"/>
              <w:right w:val="single" w:sz="4" w:space="0" w:color="auto"/>
            </w:tcBorders>
            <w:shd w:val="clear" w:color="auto" w:fill="auto"/>
            <w:noWrap/>
          </w:tcPr>
          <w:p w14:paraId="4BB5D229" w14:textId="6514A46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4.350.839 </w:t>
            </w:r>
          </w:p>
        </w:tc>
      </w:tr>
      <w:tr w:rsidR="0066388E" w:rsidRPr="00E715D6" w14:paraId="577AB837"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08BEF1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N_71</w:t>
            </w:r>
          </w:p>
        </w:tc>
        <w:tc>
          <w:tcPr>
            <w:tcW w:w="5060" w:type="dxa"/>
            <w:tcBorders>
              <w:top w:val="nil"/>
              <w:left w:val="nil"/>
              <w:bottom w:val="single" w:sz="4" w:space="0" w:color="auto"/>
              <w:right w:val="single" w:sz="4" w:space="0" w:color="auto"/>
            </w:tcBorders>
            <w:shd w:val="clear" w:color="auto" w:fill="auto"/>
            <w:noWrap/>
            <w:vAlign w:val="bottom"/>
            <w:hideMark/>
          </w:tcPr>
          <w:p w14:paraId="335FAB2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 Aguirre 500-&gt;Lo Aguirre 220</w:t>
            </w:r>
          </w:p>
        </w:tc>
        <w:tc>
          <w:tcPr>
            <w:tcW w:w="1035" w:type="dxa"/>
            <w:tcBorders>
              <w:top w:val="nil"/>
              <w:left w:val="nil"/>
              <w:bottom w:val="single" w:sz="4" w:space="0" w:color="auto"/>
              <w:right w:val="single" w:sz="4" w:space="0" w:color="auto"/>
            </w:tcBorders>
            <w:shd w:val="clear" w:color="auto" w:fill="auto"/>
            <w:noWrap/>
          </w:tcPr>
          <w:p w14:paraId="7834FB29" w14:textId="63F4D39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23943C7F" w14:textId="4267556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08E19D7F" w14:textId="1145083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5263BDF1" w14:textId="2058389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51F6FF2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9FA04E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N_72</w:t>
            </w:r>
          </w:p>
        </w:tc>
        <w:tc>
          <w:tcPr>
            <w:tcW w:w="5060" w:type="dxa"/>
            <w:tcBorders>
              <w:top w:val="nil"/>
              <w:left w:val="nil"/>
              <w:bottom w:val="single" w:sz="4" w:space="0" w:color="auto"/>
              <w:right w:val="single" w:sz="4" w:space="0" w:color="auto"/>
            </w:tcBorders>
            <w:shd w:val="clear" w:color="auto" w:fill="auto"/>
            <w:noWrap/>
            <w:vAlign w:val="bottom"/>
            <w:hideMark/>
          </w:tcPr>
          <w:p w14:paraId="2799D89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Los Changos 500-&gt;Cumbre 500</w:t>
            </w:r>
          </w:p>
        </w:tc>
        <w:tc>
          <w:tcPr>
            <w:tcW w:w="1035" w:type="dxa"/>
            <w:tcBorders>
              <w:top w:val="nil"/>
              <w:left w:val="nil"/>
              <w:bottom w:val="single" w:sz="4" w:space="0" w:color="auto"/>
              <w:right w:val="single" w:sz="4" w:space="0" w:color="auto"/>
            </w:tcBorders>
            <w:shd w:val="clear" w:color="auto" w:fill="auto"/>
            <w:noWrap/>
          </w:tcPr>
          <w:p w14:paraId="54181E08" w14:textId="737FA4D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27.198.370 </w:t>
            </w:r>
          </w:p>
        </w:tc>
        <w:tc>
          <w:tcPr>
            <w:tcW w:w="891" w:type="dxa"/>
            <w:tcBorders>
              <w:top w:val="nil"/>
              <w:left w:val="nil"/>
              <w:bottom w:val="single" w:sz="4" w:space="0" w:color="auto"/>
              <w:right w:val="single" w:sz="4" w:space="0" w:color="auto"/>
            </w:tcBorders>
            <w:shd w:val="clear" w:color="auto" w:fill="auto"/>
            <w:noWrap/>
          </w:tcPr>
          <w:p w14:paraId="3C4503AE" w14:textId="02E3977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3.844.403 </w:t>
            </w:r>
          </w:p>
        </w:tc>
        <w:tc>
          <w:tcPr>
            <w:tcW w:w="952" w:type="dxa"/>
            <w:tcBorders>
              <w:top w:val="nil"/>
              <w:left w:val="nil"/>
              <w:bottom w:val="single" w:sz="4" w:space="0" w:color="auto"/>
              <w:right w:val="single" w:sz="4" w:space="0" w:color="auto"/>
            </w:tcBorders>
            <w:shd w:val="clear" w:color="auto" w:fill="auto"/>
            <w:noWrap/>
          </w:tcPr>
          <w:p w14:paraId="3EAAFDD5" w14:textId="70373FB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4.618.183 </w:t>
            </w:r>
          </w:p>
        </w:tc>
        <w:tc>
          <w:tcPr>
            <w:tcW w:w="992" w:type="dxa"/>
            <w:tcBorders>
              <w:top w:val="nil"/>
              <w:left w:val="nil"/>
              <w:bottom w:val="single" w:sz="4" w:space="0" w:color="auto"/>
              <w:right w:val="single" w:sz="4" w:space="0" w:color="auto"/>
            </w:tcBorders>
            <w:shd w:val="clear" w:color="auto" w:fill="auto"/>
            <w:noWrap/>
          </w:tcPr>
          <w:p w14:paraId="40D8A321" w14:textId="12936CB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35.660.955 </w:t>
            </w:r>
          </w:p>
        </w:tc>
      </w:tr>
      <w:tr w:rsidR="0066388E" w:rsidRPr="00E715D6" w14:paraId="4D12BB9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BA7770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N_73</w:t>
            </w:r>
          </w:p>
        </w:tc>
        <w:tc>
          <w:tcPr>
            <w:tcW w:w="5060" w:type="dxa"/>
            <w:tcBorders>
              <w:top w:val="nil"/>
              <w:left w:val="nil"/>
              <w:bottom w:val="single" w:sz="4" w:space="0" w:color="auto"/>
              <w:right w:val="single" w:sz="4" w:space="0" w:color="auto"/>
            </w:tcBorders>
            <w:shd w:val="clear" w:color="auto" w:fill="auto"/>
            <w:noWrap/>
            <w:vAlign w:val="bottom"/>
            <w:hideMark/>
          </w:tcPr>
          <w:p w14:paraId="328E04B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Los Changos 500-&gt;Los Changos 220</w:t>
            </w:r>
          </w:p>
        </w:tc>
        <w:tc>
          <w:tcPr>
            <w:tcW w:w="1035" w:type="dxa"/>
            <w:tcBorders>
              <w:top w:val="nil"/>
              <w:left w:val="nil"/>
              <w:bottom w:val="single" w:sz="4" w:space="0" w:color="auto"/>
              <w:right w:val="single" w:sz="4" w:space="0" w:color="auto"/>
            </w:tcBorders>
            <w:shd w:val="clear" w:color="auto" w:fill="auto"/>
            <w:noWrap/>
          </w:tcPr>
          <w:p w14:paraId="0D568FCF" w14:textId="3CBEFD0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1.322.083 </w:t>
            </w:r>
          </w:p>
        </w:tc>
        <w:tc>
          <w:tcPr>
            <w:tcW w:w="891" w:type="dxa"/>
            <w:tcBorders>
              <w:top w:val="nil"/>
              <w:left w:val="nil"/>
              <w:bottom w:val="single" w:sz="4" w:space="0" w:color="auto"/>
              <w:right w:val="single" w:sz="4" w:space="0" w:color="auto"/>
            </w:tcBorders>
            <w:shd w:val="clear" w:color="auto" w:fill="auto"/>
            <w:noWrap/>
          </w:tcPr>
          <w:p w14:paraId="4CD7B0B2" w14:textId="05FEC1A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151.796 </w:t>
            </w:r>
          </w:p>
        </w:tc>
        <w:tc>
          <w:tcPr>
            <w:tcW w:w="952" w:type="dxa"/>
            <w:tcBorders>
              <w:top w:val="nil"/>
              <w:left w:val="nil"/>
              <w:bottom w:val="single" w:sz="4" w:space="0" w:color="auto"/>
              <w:right w:val="single" w:sz="4" w:space="0" w:color="auto"/>
            </w:tcBorders>
            <w:shd w:val="clear" w:color="auto" w:fill="auto"/>
            <w:noWrap/>
          </w:tcPr>
          <w:p w14:paraId="09A274DC" w14:textId="1956F22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155.161 </w:t>
            </w:r>
          </w:p>
        </w:tc>
        <w:tc>
          <w:tcPr>
            <w:tcW w:w="992" w:type="dxa"/>
            <w:tcBorders>
              <w:top w:val="nil"/>
              <w:left w:val="nil"/>
              <w:bottom w:val="single" w:sz="4" w:space="0" w:color="auto"/>
              <w:right w:val="single" w:sz="4" w:space="0" w:color="auto"/>
            </w:tcBorders>
            <w:shd w:val="clear" w:color="auto" w:fill="auto"/>
            <w:noWrap/>
          </w:tcPr>
          <w:p w14:paraId="3869C762" w14:textId="379503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1.629.040 </w:t>
            </w:r>
          </w:p>
        </w:tc>
      </w:tr>
      <w:tr w:rsidR="0066388E" w:rsidRPr="00E715D6" w14:paraId="7536373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2B26FA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N_74</w:t>
            </w:r>
          </w:p>
        </w:tc>
        <w:tc>
          <w:tcPr>
            <w:tcW w:w="5060" w:type="dxa"/>
            <w:tcBorders>
              <w:top w:val="nil"/>
              <w:left w:val="nil"/>
              <w:bottom w:val="single" w:sz="4" w:space="0" w:color="auto"/>
              <w:right w:val="single" w:sz="4" w:space="0" w:color="auto"/>
            </w:tcBorders>
            <w:shd w:val="clear" w:color="auto" w:fill="auto"/>
            <w:noWrap/>
            <w:vAlign w:val="bottom"/>
            <w:hideMark/>
          </w:tcPr>
          <w:p w14:paraId="727272E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Los Maquis 220-&gt;Quilapilun 220</w:t>
            </w:r>
          </w:p>
        </w:tc>
        <w:tc>
          <w:tcPr>
            <w:tcW w:w="1035" w:type="dxa"/>
            <w:tcBorders>
              <w:top w:val="nil"/>
              <w:left w:val="nil"/>
              <w:bottom w:val="single" w:sz="4" w:space="0" w:color="auto"/>
              <w:right w:val="single" w:sz="4" w:space="0" w:color="auto"/>
            </w:tcBorders>
            <w:shd w:val="clear" w:color="auto" w:fill="auto"/>
            <w:noWrap/>
          </w:tcPr>
          <w:p w14:paraId="2BAEA67E" w14:textId="6AADB80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2.474.387 </w:t>
            </w:r>
          </w:p>
        </w:tc>
        <w:tc>
          <w:tcPr>
            <w:tcW w:w="891" w:type="dxa"/>
            <w:tcBorders>
              <w:top w:val="nil"/>
              <w:left w:val="nil"/>
              <w:bottom w:val="single" w:sz="4" w:space="0" w:color="auto"/>
              <w:right w:val="single" w:sz="4" w:space="0" w:color="auto"/>
            </w:tcBorders>
            <w:shd w:val="clear" w:color="auto" w:fill="auto"/>
            <w:noWrap/>
          </w:tcPr>
          <w:p w14:paraId="6635E771" w14:textId="257AEBA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336.257 </w:t>
            </w:r>
          </w:p>
        </w:tc>
        <w:tc>
          <w:tcPr>
            <w:tcW w:w="952" w:type="dxa"/>
            <w:tcBorders>
              <w:top w:val="nil"/>
              <w:left w:val="nil"/>
              <w:bottom w:val="single" w:sz="4" w:space="0" w:color="auto"/>
              <w:right w:val="single" w:sz="4" w:space="0" w:color="auto"/>
            </w:tcBorders>
            <w:shd w:val="clear" w:color="auto" w:fill="auto"/>
            <w:noWrap/>
          </w:tcPr>
          <w:p w14:paraId="3CFCD8AE" w14:textId="77AFDF4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318.101 </w:t>
            </w:r>
          </w:p>
        </w:tc>
        <w:tc>
          <w:tcPr>
            <w:tcW w:w="992" w:type="dxa"/>
            <w:tcBorders>
              <w:top w:val="nil"/>
              <w:left w:val="nil"/>
              <w:bottom w:val="single" w:sz="4" w:space="0" w:color="auto"/>
              <w:right w:val="single" w:sz="4" w:space="0" w:color="auto"/>
            </w:tcBorders>
            <w:shd w:val="clear" w:color="auto" w:fill="auto"/>
            <w:noWrap/>
          </w:tcPr>
          <w:p w14:paraId="4B116400" w14:textId="31149C2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3.128.745 </w:t>
            </w:r>
          </w:p>
        </w:tc>
      </w:tr>
      <w:tr w:rsidR="0066388E" w:rsidRPr="00E715D6" w14:paraId="675B653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BF0B29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N_75</w:t>
            </w:r>
          </w:p>
        </w:tc>
        <w:tc>
          <w:tcPr>
            <w:tcW w:w="5060" w:type="dxa"/>
            <w:tcBorders>
              <w:top w:val="nil"/>
              <w:left w:val="nil"/>
              <w:bottom w:val="single" w:sz="4" w:space="0" w:color="auto"/>
              <w:right w:val="single" w:sz="4" w:space="0" w:color="auto"/>
            </w:tcBorders>
            <w:shd w:val="clear" w:color="auto" w:fill="auto"/>
            <w:noWrap/>
            <w:vAlign w:val="bottom"/>
            <w:hideMark/>
          </w:tcPr>
          <w:p w14:paraId="1C00FA1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Los Vilos 220-&gt;Las Palmas 220</w:t>
            </w:r>
          </w:p>
        </w:tc>
        <w:tc>
          <w:tcPr>
            <w:tcW w:w="1035" w:type="dxa"/>
            <w:tcBorders>
              <w:top w:val="nil"/>
              <w:left w:val="nil"/>
              <w:bottom w:val="single" w:sz="4" w:space="0" w:color="auto"/>
              <w:right w:val="single" w:sz="4" w:space="0" w:color="auto"/>
            </w:tcBorders>
            <w:shd w:val="clear" w:color="auto" w:fill="auto"/>
            <w:noWrap/>
          </w:tcPr>
          <w:p w14:paraId="6C872203" w14:textId="7EB842F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1.547.382 </w:t>
            </w:r>
          </w:p>
        </w:tc>
        <w:tc>
          <w:tcPr>
            <w:tcW w:w="891" w:type="dxa"/>
            <w:tcBorders>
              <w:top w:val="nil"/>
              <w:left w:val="nil"/>
              <w:bottom w:val="single" w:sz="4" w:space="0" w:color="auto"/>
              <w:right w:val="single" w:sz="4" w:space="0" w:color="auto"/>
            </w:tcBorders>
            <w:shd w:val="clear" w:color="auto" w:fill="auto"/>
            <w:noWrap/>
          </w:tcPr>
          <w:p w14:paraId="1730CF3E" w14:textId="7DEEB92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486.503 </w:t>
            </w:r>
          </w:p>
        </w:tc>
        <w:tc>
          <w:tcPr>
            <w:tcW w:w="952" w:type="dxa"/>
            <w:tcBorders>
              <w:top w:val="nil"/>
              <w:left w:val="nil"/>
              <w:bottom w:val="single" w:sz="4" w:space="0" w:color="auto"/>
              <w:right w:val="single" w:sz="4" w:space="0" w:color="auto"/>
            </w:tcBorders>
            <w:shd w:val="clear" w:color="auto" w:fill="auto"/>
            <w:noWrap/>
          </w:tcPr>
          <w:p w14:paraId="468B44A1" w14:textId="4A42E87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311.644 </w:t>
            </w:r>
          </w:p>
        </w:tc>
        <w:tc>
          <w:tcPr>
            <w:tcW w:w="992" w:type="dxa"/>
            <w:tcBorders>
              <w:top w:val="nil"/>
              <w:left w:val="nil"/>
              <w:bottom w:val="single" w:sz="4" w:space="0" w:color="auto"/>
              <w:right w:val="single" w:sz="4" w:space="0" w:color="auto"/>
            </w:tcBorders>
            <w:shd w:val="clear" w:color="auto" w:fill="auto"/>
            <w:noWrap/>
          </w:tcPr>
          <w:p w14:paraId="67D4BCC9" w14:textId="03DCCD1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2.345.529 </w:t>
            </w:r>
          </w:p>
        </w:tc>
      </w:tr>
      <w:tr w:rsidR="0066388E" w:rsidRPr="00E715D6" w14:paraId="5320863C"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84745B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N_76</w:t>
            </w:r>
          </w:p>
        </w:tc>
        <w:tc>
          <w:tcPr>
            <w:tcW w:w="5060" w:type="dxa"/>
            <w:tcBorders>
              <w:top w:val="nil"/>
              <w:left w:val="nil"/>
              <w:bottom w:val="single" w:sz="4" w:space="0" w:color="auto"/>
              <w:right w:val="single" w:sz="4" w:space="0" w:color="auto"/>
            </w:tcBorders>
            <w:shd w:val="clear" w:color="auto" w:fill="auto"/>
            <w:noWrap/>
            <w:vAlign w:val="bottom"/>
            <w:hideMark/>
          </w:tcPr>
          <w:p w14:paraId="214ABA6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Los Vilos 220-&gt;Nogales 220</w:t>
            </w:r>
          </w:p>
        </w:tc>
        <w:tc>
          <w:tcPr>
            <w:tcW w:w="1035" w:type="dxa"/>
            <w:tcBorders>
              <w:top w:val="nil"/>
              <w:left w:val="nil"/>
              <w:bottom w:val="single" w:sz="4" w:space="0" w:color="auto"/>
              <w:right w:val="single" w:sz="4" w:space="0" w:color="auto"/>
            </w:tcBorders>
            <w:shd w:val="clear" w:color="auto" w:fill="auto"/>
            <w:noWrap/>
          </w:tcPr>
          <w:p w14:paraId="4ADCCB7E" w14:textId="48B587A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1.015.707 </w:t>
            </w:r>
          </w:p>
        </w:tc>
        <w:tc>
          <w:tcPr>
            <w:tcW w:w="891" w:type="dxa"/>
            <w:tcBorders>
              <w:top w:val="nil"/>
              <w:left w:val="nil"/>
              <w:bottom w:val="single" w:sz="4" w:space="0" w:color="auto"/>
              <w:right w:val="single" w:sz="4" w:space="0" w:color="auto"/>
            </w:tcBorders>
            <w:shd w:val="clear" w:color="auto" w:fill="auto"/>
            <w:noWrap/>
          </w:tcPr>
          <w:p w14:paraId="137779B7" w14:textId="7721313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375.950 </w:t>
            </w:r>
          </w:p>
        </w:tc>
        <w:tc>
          <w:tcPr>
            <w:tcW w:w="952" w:type="dxa"/>
            <w:tcBorders>
              <w:top w:val="nil"/>
              <w:left w:val="nil"/>
              <w:bottom w:val="single" w:sz="4" w:space="0" w:color="auto"/>
              <w:right w:val="single" w:sz="4" w:space="0" w:color="auto"/>
            </w:tcBorders>
            <w:shd w:val="clear" w:color="auto" w:fill="auto"/>
            <w:noWrap/>
          </w:tcPr>
          <w:p w14:paraId="69852C42" w14:textId="4F6AAD6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207.537 </w:t>
            </w:r>
          </w:p>
        </w:tc>
        <w:tc>
          <w:tcPr>
            <w:tcW w:w="992" w:type="dxa"/>
            <w:tcBorders>
              <w:top w:val="nil"/>
              <w:left w:val="nil"/>
              <w:bottom w:val="single" w:sz="4" w:space="0" w:color="auto"/>
              <w:right w:val="single" w:sz="4" w:space="0" w:color="auto"/>
            </w:tcBorders>
            <w:shd w:val="clear" w:color="auto" w:fill="auto"/>
            <w:noWrap/>
          </w:tcPr>
          <w:p w14:paraId="34FFC475" w14:textId="4A8B23C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1.599.194 </w:t>
            </w:r>
          </w:p>
        </w:tc>
      </w:tr>
      <w:tr w:rsidR="0066388E" w:rsidRPr="00E715D6" w14:paraId="7723C06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1CA7B7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N_77</w:t>
            </w:r>
          </w:p>
        </w:tc>
        <w:tc>
          <w:tcPr>
            <w:tcW w:w="5060" w:type="dxa"/>
            <w:tcBorders>
              <w:top w:val="nil"/>
              <w:left w:val="nil"/>
              <w:bottom w:val="single" w:sz="4" w:space="0" w:color="auto"/>
              <w:right w:val="single" w:sz="4" w:space="0" w:color="auto"/>
            </w:tcBorders>
            <w:shd w:val="clear" w:color="auto" w:fill="auto"/>
            <w:noWrap/>
            <w:vAlign w:val="bottom"/>
            <w:hideMark/>
          </w:tcPr>
          <w:p w14:paraId="6FEEA17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Los Vilos 220-&gt;Tap Doña Carmen 220</w:t>
            </w:r>
          </w:p>
        </w:tc>
        <w:tc>
          <w:tcPr>
            <w:tcW w:w="1035" w:type="dxa"/>
            <w:tcBorders>
              <w:top w:val="nil"/>
              <w:left w:val="nil"/>
              <w:bottom w:val="single" w:sz="4" w:space="0" w:color="auto"/>
              <w:right w:val="single" w:sz="4" w:space="0" w:color="auto"/>
            </w:tcBorders>
            <w:shd w:val="clear" w:color="auto" w:fill="auto"/>
            <w:noWrap/>
          </w:tcPr>
          <w:p w14:paraId="30B58FBA" w14:textId="56E78D1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679.665 </w:t>
            </w:r>
          </w:p>
        </w:tc>
        <w:tc>
          <w:tcPr>
            <w:tcW w:w="891" w:type="dxa"/>
            <w:tcBorders>
              <w:top w:val="nil"/>
              <w:left w:val="nil"/>
              <w:bottom w:val="single" w:sz="4" w:space="0" w:color="auto"/>
              <w:right w:val="single" w:sz="4" w:space="0" w:color="auto"/>
            </w:tcBorders>
            <w:shd w:val="clear" w:color="auto" w:fill="auto"/>
            <w:noWrap/>
          </w:tcPr>
          <w:p w14:paraId="40579448" w14:textId="0C1B728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260.664 </w:t>
            </w:r>
          </w:p>
        </w:tc>
        <w:tc>
          <w:tcPr>
            <w:tcW w:w="952" w:type="dxa"/>
            <w:tcBorders>
              <w:top w:val="nil"/>
              <w:left w:val="nil"/>
              <w:bottom w:val="single" w:sz="4" w:space="0" w:color="auto"/>
              <w:right w:val="single" w:sz="4" w:space="0" w:color="auto"/>
            </w:tcBorders>
            <w:shd w:val="clear" w:color="auto" w:fill="auto"/>
            <w:noWrap/>
          </w:tcPr>
          <w:p w14:paraId="7AE07375" w14:textId="1404BAF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134.150 </w:t>
            </w:r>
          </w:p>
        </w:tc>
        <w:tc>
          <w:tcPr>
            <w:tcW w:w="992" w:type="dxa"/>
            <w:tcBorders>
              <w:top w:val="nil"/>
              <w:left w:val="nil"/>
              <w:bottom w:val="single" w:sz="4" w:space="0" w:color="auto"/>
              <w:right w:val="single" w:sz="4" w:space="0" w:color="auto"/>
            </w:tcBorders>
            <w:shd w:val="clear" w:color="auto" w:fill="auto"/>
            <w:noWrap/>
          </w:tcPr>
          <w:p w14:paraId="0FBA3F86" w14:textId="1484A7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1.074.479 </w:t>
            </w:r>
          </w:p>
        </w:tc>
      </w:tr>
      <w:tr w:rsidR="0066388E" w:rsidRPr="00E715D6" w14:paraId="73DEEBA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9A4A7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N_78</w:t>
            </w:r>
          </w:p>
        </w:tc>
        <w:tc>
          <w:tcPr>
            <w:tcW w:w="5060" w:type="dxa"/>
            <w:tcBorders>
              <w:top w:val="nil"/>
              <w:left w:val="nil"/>
              <w:bottom w:val="single" w:sz="4" w:space="0" w:color="auto"/>
              <w:right w:val="single" w:sz="4" w:space="0" w:color="auto"/>
            </w:tcBorders>
            <w:shd w:val="clear" w:color="auto" w:fill="auto"/>
            <w:noWrap/>
            <w:vAlign w:val="bottom"/>
            <w:hideMark/>
          </w:tcPr>
          <w:p w14:paraId="0727F06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Maitencillo 220-&gt;Algarrobal 220</w:t>
            </w:r>
          </w:p>
        </w:tc>
        <w:tc>
          <w:tcPr>
            <w:tcW w:w="1035" w:type="dxa"/>
            <w:tcBorders>
              <w:top w:val="nil"/>
              <w:left w:val="nil"/>
              <w:bottom w:val="single" w:sz="4" w:space="0" w:color="auto"/>
              <w:right w:val="single" w:sz="4" w:space="0" w:color="auto"/>
            </w:tcBorders>
            <w:shd w:val="clear" w:color="auto" w:fill="auto"/>
            <w:noWrap/>
          </w:tcPr>
          <w:p w14:paraId="223D8CB6" w14:textId="402C5E3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2.035.421 </w:t>
            </w:r>
          </w:p>
        </w:tc>
        <w:tc>
          <w:tcPr>
            <w:tcW w:w="891" w:type="dxa"/>
            <w:tcBorders>
              <w:top w:val="nil"/>
              <w:left w:val="nil"/>
              <w:bottom w:val="single" w:sz="4" w:space="0" w:color="auto"/>
              <w:right w:val="single" w:sz="4" w:space="0" w:color="auto"/>
            </w:tcBorders>
            <w:shd w:val="clear" w:color="auto" w:fill="auto"/>
            <w:noWrap/>
          </w:tcPr>
          <w:p w14:paraId="2E4BE2EE" w14:textId="012803C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507.167 </w:t>
            </w:r>
          </w:p>
        </w:tc>
        <w:tc>
          <w:tcPr>
            <w:tcW w:w="952" w:type="dxa"/>
            <w:tcBorders>
              <w:top w:val="nil"/>
              <w:left w:val="nil"/>
              <w:bottom w:val="single" w:sz="4" w:space="0" w:color="auto"/>
              <w:right w:val="single" w:sz="4" w:space="0" w:color="auto"/>
            </w:tcBorders>
            <w:shd w:val="clear" w:color="auto" w:fill="auto"/>
            <w:noWrap/>
          </w:tcPr>
          <w:p w14:paraId="304DA2DF" w14:textId="7725DD4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451.975 </w:t>
            </w:r>
          </w:p>
        </w:tc>
        <w:tc>
          <w:tcPr>
            <w:tcW w:w="992" w:type="dxa"/>
            <w:tcBorders>
              <w:top w:val="nil"/>
              <w:left w:val="nil"/>
              <w:bottom w:val="single" w:sz="4" w:space="0" w:color="auto"/>
              <w:right w:val="single" w:sz="4" w:space="0" w:color="auto"/>
            </w:tcBorders>
            <w:shd w:val="clear" w:color="auto" w:fill="auto"/>
            <w:noWrap/>
          </w:tcPr>
          <w:p w14:paraId="2D6E19C2" w14:textId="02A6F3E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2.994.563 </w:t>
            </w:r>
          </w:p>
        </w:tc>
      </w:tr>
      <w:tr w:rsidR="0066388E" w:rsidRPr="00E715D6" w14:paraId="481DBE1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A03977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N_79</w:t>
            </w:r>
          </w:p>
        </w:tc>
        <w:tc>
          <w:tcPr>
            <w:tcW w:w="5060" w:type="dxa"/>
            <w:tcBorders>
              <w:top w:val="nil"/>
              <w:left w:val="nil"/>
              <w:bottom w:val="single" w:sz="4" w:space="0" w:color="auto"/>
              <w:right w:val="single" w:sz="4" w:space="0" w:color="auto"/>
            </w:tcBorders>
            <w:shd w:val="clear" w:color="auto" w:fill="auto"/>
            <w:noWrap/>
            <w:vAlign w:val="bottom"/>
            <w:hideMark/>
          </w:tcPr>
          <w:p w14:paraId="06D6D82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Maitencillo 220-&gt;Don Hector 220</w:t>
            </w:r>
          </w:p>
        </w:tc>
        <w:tc>
          <w:tcPr>
            <w:tcW w:w="1035" w:type="dxa"/>
            <w:tcBorders>
              <w:top w:val="nil"/>
              <w:left w:val="nil"/>
              <w:bottom w:val="single" w:sz="4" w:space="0" w:color="auto"/>
              <w:right w:val="single" w:sz="4" w:space="0" w:color="auto"/>
            </w:tcBorders>
            <w:shd w:val="clear" w:color="auto" w:fill="auto"/>
            <w:noWrap/>
          </w:tcPr>
          <w:p w14:paraId="7B2EDF73" w14:textId="59E7440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661.785 </w:t>
            </w:r>
          </w:p>
        </w:tc>
        <w:tc>
          <w:tcPr>
            <w:tcW w:w="891" w:type="dxa"/>
            <w:tcBorders>
              <w:top w:val="nil"/>
              <w:left w:val="nil"/>
              <w:bottom w:val="single" w:sz="4" w:space="0" w:color="auto"/>
              <w:right w:val="single" w:sz="4" w:space="0" w:color="auto"/>
            </w:tcBorders>
            <w:shd w:val="clear" w:color="auto" w:fill="auto"/>
            <w:noWrap/>
          </w:tcPr>
          <w:p w14:paraId="503F4114" w14:textId="18297DF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202.302 </w:t>
            </w:r>
          </w:p>
        </w:tc>
        <w:tc>
          <w:tcPr>
            <w:tcW w:w="952" w:type="dxa"/>
            <w:tcBorders>
              <w:top w:val="nil"/>
              <w:left w:val="nil"/>
              <w:bottom w:val="single" w:sz="4" w:space="0" w:color="auto"/>
              <w:right w:val="single" w:sz="4" w:space="0" w:color="auto"/>
            </w:tcBorders>
            <w:shd w:val="clear" w:color="auto" w:fill="auto"/>
            <w:noWrap/>
          </w:tcPr>
          <w:p w14:paraId="25B07150" w14:textId="0AD31B4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112.050 </w:t>
            </w:r>
          </w:p>
        </w:tc>
        <w:tc>
          <w:tcPr>
            <w:tcW w:w="992" w:type="dxa"/>
            <w:tcBorders>
              <w:top w:val="nil"/>
              <w:left w:val="nil"/>
              <w:bottom w:val="single" w:sz="4" w:space="0" w:color="auto"/>
              <w:right w:val="single" w:sz="4" w:space="0" w:color="auto"/>
            </w:tcBorders>
            <w:shd w:val="clear" w:color="auto" w:fill="auto"/>
            <w:noWrap/>
          </w:tcPr>
          <w:p w14:paraId="7CF7C3C1" w14:textId="5FCAD18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976.137 </w:t>
            </w:r>
          </w:p>
        </w:tc>
      </w:tr>
      <w:tr w:rsidR="0066388E" w:rsidRPr="00E715D6" w14:paraId="09F2A997"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811953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N_80</w:t>
            </w:r>
          </w:p>
        </w:tc>
        <w:tc>
          <w:tcPr>
            <w:tcW w:w="5060" w:type="dxa"/>
            <w:tcBorders>
              <w:top w:val="nil"/>
              <w:left w:val="nil"/>
              <w:bottom w:val="single" w:sz="4" w:space="0" w:color="auto"/>
              <w:right w:val="single" w:sz="4" w:space="0" w:color="auto"/>
            </w:tcBorders>
            <w:shd w:val="clear" w:color="auto" w:fill="auto"/>
            <w:noWrap/>
            <w:vAlign w:val="bottom"/>
            <w:hideMark/>
          </w:tcPr>
          <w:p w14:paraId="1596A00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Maitencillo 220-&gt;Tap El Romero 220</w:t>
            </w:r>
          </w:p>
        </w:tc>
        <w:tc>
          <w:tcPr>
            <w:tcW w:w="1035" w:type="dxa"/>
            <w:tcBorders>
              <w:top w:val="nil"/>
              <w:left w:val="nil"/>
              <w:bottom w:val="single" w:sz="4" w:space="0" w:color="auto"/>
              <w:right w:val="single" w:sz="4" w:space="0" w:color="auto"/>
            </w:tcBorders>
            <w:shd w:val="clear" w:color="auto" w:fill="auto"/>
            <w:noWrap/>
          </w:tcPr>
          <w:p w14:paraId="4E84CFE1" w14:textId="02D60F1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605.068 </w:t>
            </w:r>
          </w:p>
        </w:tc>
        <w:tc>
          <w:tcPr>
            <w:tcW w:w="891" w:type="dxa"/>
            <w:tcBorders>
              <w:top w:val="nil"/>
              <w:left w:val="nil"/>
              <w:bottom w:val="single" w:sz="4" w:space="0" w:color="auto"/>
              <w:right w:val="single" w:sz="4" w:space="0" w:color="auto"/>
            </w:tcBorders>
            <w:shd w:val="clear" w:color="auto" w:fill="auto"/>
            <w:noWrap/>
          </w:tcPr>
          <w:p w14:paraId="5827C733" w14:textId="690E1C1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173.631 </w:t>
            </w:r>
          </w:p>
        </w:tc>
        <w:tc>
          <w:tcPr>
            <w:tcW w:w="952" w:type="dxa"/>
            <w:tcBorders>
              <w:top w:val="nil"/>
              <w:left w:val="nil"/>
              <w:bottom w:val="single" w:sz="4" w:space="0" w:color="auto"/>
              <w:right w:val="single" w:sz="4" w:space="0" w:color="auto"/>
            </w:tcBorders>
            <w:shd w:val="clear" w:color="auto" w:fill="auto"/>
            <w:noWrap/>
          </w:tcPr>
          <w:p w14:paraId="0911CEEA" w14:textId="5D59127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104.673 </w:t>
            </w:r>
          </w:p>
        </w:tc>
        <w:tc>
          <w:tcPr>
            <w:tcW w:w="992" w:type="dxa"/>
            <w:tcBorders>
              <w:top w:val="nil"/>
              <w:left w:val="nil"/>
              <w:bottom w:val="single" w:sz="4" w:space="0" w:color="auto"/>
              <w:right w:val="single" w:sz="4" w:space="0" w:color="auto"/>
            </w:tcBorders>
            <w:shd w:val="clear" w:color="auto" w:fill="auto"/>
            <w:noWrap/>
          </w:tcPr>
          <w:p w14:paraId="0B3BA341" w14:textId="3D26948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883.372 </w:t>
            </w:r>
          </w:p>
        </w:tc>
      </w:tr>
      <w:tr w:rsidR="0066388E" w:rsidRPr="00E715D6" w14:paraId="12B6FCA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D60C97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N_81</w:t>
            </w:r>
          </w:p>
        </w:tc>
        <w:tc>
          <w:tcPr>
            <w:tcW w:w="5060" w:type="dxa"/>
            <w:tcBorders>
              <w:top w:val="nil"/>
              <w:left w:val="nil"/>
              <w:bottom w:val="single" w:sz="4" w:space="0" w:color="auto"/>
              <w:right w:val="single" w:sz="4" w:space="0" w:color="auto"/>
            </w:tcBorders>
            <w:shd w:val="clear" w:color="auto" w:fill="auto"/>
            <w:noWrap/>
            <w:vAlign w:val="bottom"/>
            <w:hideMark/>
          </w:tcPr>
          <w:p w14:paraId="451CC7B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Maria Elena 220-&gt;Kimal 220</w:t>
            </w:r>
          </w:p>
        </w:tc>
        <w:tc>
          <w:tcPr>
            <w:tcW w:w="1035" w:type="dxa"/>
            <w:tcBorders>
              <w:top w:val="nil"/>
              <w:left w:val="nil"/>
              <w:bottom w:val="single" w:sz="4" w:space="0" w:color="auto"/>
              <w:right w:val="single" w:sz="4" w:space="0" w:color="auto"/>
            </w:tcBorders>
            <w:shd w:val="clear" w:color="auto" w:fill="auto"/>
            <w:noWrap/>
          </w:tcPr>
          <w:p w14:paraId="7C27C01A" w14:textId="0C1DFB4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229.563 </w:t>
            </w:r>
          </w:p>
        </w:tc>
        <w:tc>
          <w:tcPr>
            <w:tcW w:w="891" w:type="dxa"/>
            <w:tcBorders>
              <w:top w:val="nil"/>
              <w:left w:val="nil"/>
              <w:bottom w:val="single" w:sz="4" w:space="0" w:color="auto"/>
              <w:right w:val="single" w:sz="4" w:space="0" w:color="auto"/>
            </w:tcBorders>
            <w:shd w:val="clear" w:color="auto" w:fill="auto"/>
            <w:noWrap/>
          </w:tcPr>
          <w:p w14:paraId="1C019DDC" w14:textId="753EB28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71.917 </w:t>
            </w:r>
          </w:p>
        </w:tc>
        <w:tc>
          <w:tcPr>
            <w:tcW w:w="952" w:type="dxa"/>
            <w:tcBorders>
              <w:top w:val="nil"/>
              <w:left w:val="nil"/>
              <w:bottom w:val="single" w:sz="4" w:space="0" w:color="auto"/>
              <w:right w:val="single" w:sz="4" w:space="0" w:color="auto"/>
            </w:tcBorders>
            <w:shd w:val="clear" w:color="auto" w:fill="auto"/>
            <w:noWrap/>
          </w:tcPr>
          <w:p w14:paraId="0511B081" w14:textId="0152F08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42.412 </w:t>
            </w:r>
          </w:p>
        </w:tc>
        <w:tc>
          <w:tcPr>
            <w:tcW w:w="992" w:type="dxa"/>
            <w:tcBorders>
              <w:top w:val="nil"/>
              <w:left w:val="nil"/>
              <w:bottom w:val="single" w:sz="4" w:space="0" w:color="auto"/>
              <w:right w:val="single" w:sz="4" w:space="0" w:color="auto"/>
            </w:tcBorders>
            <w:shd w:val="clear" w:color="auto" w:fill="auto"/>
            <w:noWrap/>
          </w:tcPr>
          <w:p w14:paraId="12AD0574" w14:textId="65E25A0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343.892 </w:t>
            </w:r>
          </w:p>
        </w:tc>
      </w:tr>
      <w:tr w:rsidR="0066388E" w:rsidRPr="00E715D6" w14:paraId="251C71C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107270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N_82</w:t>
            </w:r>
          </w:p>
        </w:tc>
        <w:tc>
          <w:tcPr>
            <w:tcW w:w="5060" w:type="dxa"/>
            <w:tcBorders>
              <w:top w:val="nil"/>
              <w:left w:val="nil"/>
              <w:bottom w:val="single" w:sz="4" w:space="0" w:color="auto"/>
              <w:right w:val="single" w:sz="4" w:space="0" w:color="auto"/>
            </w:tcBorders>
            <w:shd w:val="clear" w:color="auto" w:fill="auto"/>
            <w:noWrap/>
            <w:vAlign w:val="bottom"/>
            <w:hideMark/>
          </w:tcPr>
          <w:p w14:paraId="5A71E0C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Maria Elena 220-&gt;Quillagua 220</w:t>
            </w:r>
          </w:p>
        </w:tc>
        <w:tc>
          <w:tcPr>
            <w:tcW w:w="1035" w:type="dxa"/>
            <w:tcBorders>
              <w:top w:val="nil"/>
              <w:left w:val="nil"/>
              <w:bottom w:val="single" w:sz="4" w:space="0" w:color="auto"/>
              <w:right w:val="single" w:sz="4" w:space="0" w:color="auto"/>
            </w:tcBorders>
            <w:shd w:val="clear" w:color="auto" w:fill="auto"/>
            <w:noWrap/>
          </w:tcPr>
          <w:p w14:paraId="5DC9484C" w14:textId="37A3FF4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1.359.766 </w:t>
            </w:r>
          </w:p>
        </w:tc>
        <w:tc>
          <w:tcPr>
            <w:tcW w:w="891" w:type="dxa"/>
            <w:tcBorders>
              <w:top w:val="nil"/>
              <w:left w:val="nil"/>
              <w:bottom w:val="single" w:sz="4" w:space="0" w:color="auto"/>
              <w:right w:val="single" w:sz="4" w:space="0" w:color="auto"/>
            </w:tcBorders>
            <w:shd w:val="clear" w:color="auto" w:fill="auto"/>
            <w:noWrap/>
          </w:tcPr>
          <w:p w14:paraId="0DE77E2E" w14:textId="29862CF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425.009 </w:t>
            </w:r>
          </w:p>
        </w:tc>
        <w:tc>
          <w:tcPr>
            <w:tcW w:w="952" w:type="dxa"/>
            <w:tcBorders>
              <w:top w:val="nil"/>
              <w:left w:val="nil"/>
              <w:bottom w:val="single" w:sz="4" w:space="0" w:color="auto"/>
              <w:right w:val="single" w:sz="4" w:space="0" w:color="auto"/>
            </w:tcBorders>
            <w:shd w:val="clear" w:color="auto" w:fill="auto"/>
            <w:noWrap/>
          </w:tcPr>
          <w:p w14:paraId="04E053C7" w14:textId="1B77496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253.591 </w:t>
            </w:r>
          </w:p>
        </w:tc>
        <w:tc>
          <w:tcPr>
            <w:tcW w:w="992" w:type="dxa"/>
            <w:tcBorders>
              <w:top w:val="nil"/>
              <w:left w:val="nil"/>
              <w:bottom w:val="single" w:sz="4" w:space="0" w:color="auto"/>
              <w:right w:val="single" w:sz="4" w:space="0" w:color="auto"/>
            </w:tcBorders>
            <w:shd w:val="clear" w:color="auto" w:fill="auto"/>
            <w:noWrap/>
          </w:tcPr>
          <w:p w14:paraId="2CFA9B16" w14:textId="4A48008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2.038.366 </w:t>
            </w:r>
          </w:p>
        </w:tc>
      </w:tr>
      <w:tr w:rsidR="0066388E" w:rsidRPr="00E715D6" w14:paraId="2F50CC0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45065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N_83</w:t>
            </w:r>
          </w:p>
        </w:tc>
        <w:tc>
          <w:tcPr>
            <w:tcW w:w="5060" w:type="dxa"/>
            <w:tcBorders>
              <w:top w:val="nil"/>
              <w:left w:val="nil"/>
              <w:bottom w:val="single" w:sz="4" w:space="0" w:color="auto"/>
              <w:right w:val="single" w:sz="4" w:space="0" w:color="auto"/>
            </w:tcBorders>
            <w:shd w:val="clear" w:color="auto" w:fill="auto"/>
            <w:noWrap/>
            <w:vAlign w:val="bottom"/>
            <w:hideMark/>
          </w:tcPr>
          <w:p w14:paraId="2611939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Melipulli 220-&gt;Pargua 220</w:t>
            </w:r>
          </w:p>
        </w:tc>
        <w:tc>
          <w:tcPr>
            <w:tcW w:w="1035" w:type="dxa"/>
            <w:tcBorders>
              <w:top w:val="nil"/>
              <w:left w:val="nil"/>
              <w:bottom w:val="single" w:sz="4" w:space="0" w:color="auto"/>
              <w:right w:val="single" w:sz="4" w:space="0" w:color="auto"/>
            </w:tcBorders>
            <w:shd w:val="clear" w:color="auto" w:fill="auto"/>
            <w:noWrap/>
          </w:tcPr>
          <w:p w14:paraId="0B581373" w14:textId="474954D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1.202.947 </w:t>
            </w:r>
          </w:p>
        </w:tc>
        <w:tc>
          <w:tcPr>
            <w:tcW w:w="891" w:type="dxa"/>
            <w:tcBorders>
              <w:top w:val="nil"/>
              <w:left w:val="nil"/>
              <w:bottom w:val="single" w:sz="4" w:space="0" w:color="auto"/>
              <w:right w:val="single" w:sz="4" w:space="0" w:color="auto"/>
            </w:tcBorders>
            <w:shd w:val="clear" w:color="auto" w:fill="auto"/>
            <w:noWrap/>
          </w:tcPr>
          <w:p w14:paraId="4CEEE577" w14:textId="6349C55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291.279 </w:t>
            </w:r>
          </w:p>
        </w:tc>
        <w:tc>
          <w:tcPr>
            <w:tcW w:w="952" w:type="dxa"/>
            <w:tcBorders>
              <w:top w:val="nil"/>
              <w:left w:val="nil"/>
              <w:bottom w:val="single" w:sz="4" w:space="0" w:color="auto"/>
              <w:right w:val="single" w:sz="4" w:space="0" w:color="auto"/>
            </w:tcBorders>
            <w:shd w:val="clear" w:color="auto" w:fill="auto"/>
            <w:noWrap/>
          </w:tcPr>
          <w:p w14:paraId="03E5D309" w14:textId="20240AF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324.470 </w:t>
            </w:r>
          </w:p>
        </w:tc>
        <w:tc>
          <w:tcPr>
            <w:tcW w:w="992" w:type="dxa"/>
            <w:tcBorders>
              <w:top w:val="nil"/>
              <w:left w:val="nil"/>
              <w:bottom w:val="single" w:sz="4" w:space="0" w:color="auto"/>
              <w:right w:val="single" w:sz="4" w:space="0" w:color="auto"/>
            </w:tcBorders>
            <w:shd w:val="clear" w:color="auto" w:fill="auto"/>
            <w:noWrap/>
          </w:tcPr>
          <w:p w14:paraId="22DDBAB7" w14:textId="21C4C12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1.818.695 </w:t>
            </w:r>
          </w:p>
        </w:tc>
      </w:tr>
      <w:tr w:rsidR="0066388E" w:rsidRPr="00E715D6" w14:paraId="5191BC8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B028A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N_84</w:t>
            </w:r>
          </w:p>
        </w:tc>
        <w:tc>
          <w:tcPr>
            <w:tcW w:w="5060" w:type="dxa"/>
            <w:tcBorders>
              <w:top w:val="nil"/>
              <w:left w:val="nil"/>
              <w:bottom w:val="single" w:sz="4" w:space="0" w:color="auto"/>
              <w:right w:val="single" w:sz="4" w:space="0" w:color="auto"/>
            </w:tcBorders>
            <w:shd w:val="clear" w:color="auto" w:fill="auto"/>
            <w:noWrap/>
            <w:vAlign w:val="bottom"/>
            <w:hideMark/>
          </w:tcPr>
          <w:p w14:paraId="0615193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Melipulli 220-&gt;Puerto Montt 220</w:t>
            </w:r>
          </w:p>
        </w:tc>
        <w:tc>
          <w:tcPr>
            <w:tcW w:w="1035" w:type="dxa"/>
            <w:tcBorders>
              <w:top w:val="nil"/>
              <w:left w:val="nil"/>
              <w:bottom w:val="single" w:sz="4" w:space="0" w:color="auto"/>
              <w:right w:val="single" w:sz="4" w:space="0" w:color="auto"/>
            </w:tcBorders>
            <w:shd w:val="clear" w:color="auto" w:fill="auto"/>
            <w:noWrap/>
          </w:tcPr>
          <w:p w14:paraId="727423F2" w14:textId="1433BE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10.967 </w:t>
            </w:r>
          </w:p>
        </w:tc>
        <w:tc>
          <w:tcPr>
            <w:tcW w:w="891" w:type="dxa"/>
            <w:tcBorders>
              <w:top w:val="nil"/>
              <w:left w:val="nil"/>
              <w:bottom w:val="single" w:sz="4" w:space="0" w:color="auto"/>
              <w:right w:val="single" w:sz="4" w:space="0" w:color="auto"/>
            </w:tcBorders>
            <w:shd w:val="clear" w:color="auto" w:fill="auto"/>
            <w:noWrap/>
          </w:tcPr>
          <w:p w14:paraId="6C93EF20" w14:textId="201974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17.502 </w:t>
            </w:r>
          </w:p>
        </w:tc>
        <w:tc>
          <w:tcPr>
            <w:tcW w:w="952" w:type="dxa"/>
            <w:tcBorders>
              <w:top w:val="nil"/>
              <w:left w:val="nil"/>
              <w:bottom w:val="single" w:sz="4" w:space="0" w:color="auto"/>
              <w:right w:val="single" w:sz="4" w:space="0" w:color="auto"/>
            </w:tcBorders>
            <w:shd w:val="clear" w:color="auto" w:fill="auto"/>
            <w:noWrap/>
          </w:tcPr>
          <w:p w14:paraId="02499457" w14:textId="0B90B63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1.674 </w:t>
            </w:r>
          </w:p>
        </w:tc>
        <w:tc>
          <w:tcPr>
            <w:tcW w:w="992" w:type="dxa"/>
            <w:tcBorders>
              <w:top w:val="nil"/>
              <w:left w:val="nil"/>
              <w:bottom w:val="single" w:sz="4" w:space="0" w:color="auto"/>
              <w:right w:val="single" w:sz="4" w:space="0" w:color="auto"/>
            </w:tcBorders>
            <w:shd w:val="clear" w:color="auto" w:fill="auto"/>
            <w:noWrap/>
          </w:tcPr>
          <w:p w14:paraId="5BCC8EDE" w14:textId="49AB7E4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30.143 </w:t>
            </w:r>
          </w:p>
        </w:tc>
      </w:tr>
      <w:tr w:rsidR="0066388E" w:rsidRPr="00E715D6" w14:paraId="403F810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EF99A3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N_85</w:t>
            </w:r>
          </w:p>
        </w:tc>
        <w:tc>
          <w:tcPr>
            <w:tcW w:w="5060" w:type="dxa"/>
            <w:tcBorders>
              <w:top w:val="nil"/>
              <w:left w:val="nil"/>
              <w:bottom w:val="single" w:sz="4" w:space="0" w:color="auto"/>
              <w:right w:val="single" w:sz="4" w:space="0" w:color="auto"/>
            </w:tcBorders>
            <w:shd w:val="clear" w:color="auto" w:fill="auto"/>
            <w:noWrap/>
            <w:vAlign w:val="bottom"/>
            <w:hideMark/>
          </w:tcPr>
          <w:p w14:paraId="289F469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Miraje 220-&gt;Atacama 220</w:t>
            </w:r>
          </w:p>
        </w:tc>
        <w:tc>
          <w:tcPr>
            <w:tcW w:w="1035" w:type="dxa"/>
            <w:tcBorders>
              <w:top w:val="nil"/>
              <w:left w:val="nil"/>
              <w:bottom w:val="single" w:sz="4" w:space="0" w:color="auto"/>
              <w:right w:val="single" w:sz="4" w:space="0" w:color="auto"/>
            </w:tcBorders>
            <w:shd w:val="clear" w:color="auto" w:fill="auto"/>
            <w:noWrap/>
          </w:tcPr>
          <w:p w14:paraId="0164EC2D" w14:textId="53182DE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2.424.264 </w:t>
            </w:r>
          </w:p>
        </w:tc>
        <w:tc>
          <w:tcPr>
            <w:tcW w:w="891" w:type="dxa"/>
            <w:tcBorders>
              <w:top w:val="nil"/>
              <w:left w:val="nil"/>
              <w:bottom w:val="single" w:sz="4" w:space="0" w:color="auto"/>
              <w:right w:val="single" w:sz="4" w:space="0" w:color="auto"/>
            </w:tcBorders>
            <w:shd w:val="clear" w:color="auto" w:fill="auto"/>
            <w:noWrap/>
          </w:tcPr>
          <w:p w14:paraId="17C5267C" w14:textId="61A5D50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519.926 </w:t>
            </w:r>
          </w:p>
        </w:tc>
        <w:tc>
          <w:tcPr>
            <w:tcW w:w="952" w:type="dxa"/>
            <w:tcBorders>
              <w:top w:val="nil"/>
              <w:left w:val="nil"/>
              <w:bottom w:val="single" w:sz="4" w:space="0" w:color="auto"/>
              <w:right w:val="single" w:sz="4" w:space="0" w:color="auto"/>
            </w:tcBorders>
            <w:shd w:val="clear" w:color="auto" w:fill="auto"/>
            <w:noWrap/>
          </w:tcPr>
          <w:p w14:paraId="01621601" w14:textId="31EA4CC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419.787 </w:t>
            </w:r>
          </w:p>
        </w:tc>
        <w:tc>
          <w:tcPr>
            <w:tcW w:w="992" w:type="dxa"/>
            <w:tcBorders>
              <w:top w:val="nil"/>
              <w:left w:val="nil"/>
              <w:bottom w:val="single" w:sz="4" w:space="0" w:color="auto"/>
              <w:right w:val="single" w:sz="4" w:space="0" w:color="auto"/>
            </w:tcBorders>
            <w:shd w:val="clear" w:color="auto" w:fill="auto"/>
            <w:noWrap/>
          </w:tcPr>
          <w:p w14:paraId="2AF2D0C3" w14:textId="049042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3.363.977 </w:t>
            </w:r>
          </w:p>
        </w:tc>
      </w:tr>
      <w:tr w:rsidR="0066388E" w:rsidRPr="00E715D6" w14:paraId="38474E7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F44B48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N_86</w:t>
            </w:r>
          </w:p>
        </w:tc>
        <w:tc>
          <w:tcPr>
            <w:tcW w:w="5060" w:type="dxa"/>
            <w:tcBorders>
              <w:top w:val="nil"/>
              <w:left w:val="nil"/>
              <w:bottom w:val="single" w:sz="4" w:space="0" w:color="auto"/>
              <w:right w:val="single" w:sz="4" w:space="0" w:color="auto"/>
            </w:tcBorders>
            <w:shd w:val="clear" w:color="auto" w:fill="auto"/>
            <w:noWrap/>
            <w:vAlign w:val="bottom"/>
            <w:hideMark/>
          </w:tcPr>
          <w:p w14:paraId="69CE0BC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Miraje 220-&gt;Tap Enlace 220</w:t>
            </w:r>
          </w:p>
        </w:tc>
        <w:tc>
          <w:tcPr>
            <w:tcW w:w="1035" w:type="dxa"/>
            <w:tcBorders>
              <w:top w:val="nil"/>
              <w:left w:val="nil"/>
              <w:bottom w:val="single" w:sz="4" w:space="0" w:color="auto"/>
              <w:right w:val="single" w:sz="4" w:space="0" w:color="auto"/>
            </w:tcBorders>
            <w:shd w:val="clear" w:color="auto" w:fill="auto"/>
            <w:noWrap/>
          </w:tcPr>
          <w:p w14:paraId="20A70413" w14:textId="2D65BAF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688.551 </w:t>
            </w:r>
          </w:p>
        </w:tc>
        <w:tc>
          <w:tcPr>
            <w:tcW w:w="891" w:type="dxa"/>
            <w:tcBorders>
              <w:top w:val="nil"/>
              <w:left w:val="nil"/>
              <w:bottom w:val="single" w:sz="4" w:space="0" w:color="auto"/>
              <w:right w:val="single" w:sz="4" w:space="0" w:color="auto"/>
            </w:tcBorders>
            <w:shd w:val="clear" w:color="auto" w:fill="auto"/>
            <w:noWrap/>
          </w:tcPr>
          <w:p w14:paraId="42540F84" w14:textId="32C1BF1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140.962 </w:t>
            </w:r>
          </w:p>
        </w:tc>
        <w:tc>
          <w:tcPr>
            <w:tcW w:w="952" w:type="dxa"/>
            <w:tcBorders>
              <w:top w:val="nil"/>
              <w:left w:val="nil"/>
              <w:bottom w:val="single" w:sz="4" w:space="0" w:color="auto"/>
              <w:right w:val="single" w:sz="4" w:space="0" w:color="auto"/>
            </w:tcBorders>
            <w:shd w:val="clear" w:color="auto" w:fill="auto"/>
            <w:noWrap/>
          </w:tcPr>
          <w:p w14:paraId="2DE400CA" w14:textId="4DCD964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121.619 </w:t>
            </w:r>
          </w:p>
        </w:tc>
        <w:tc>
          <w:tcPr>
            <w:tcW w:w="992" w:type="dxa"/>
            <w:tcBorders>
              <w:top w:val="nil"/>
              <w:left w:val="nil"/>
              <w:bottom w:val="single" w:sz="4" w:space="0" w:color="auto"/>
              <w:right w:val="single" w:sz="4" w:space="0" w:color="auto"/>
            </w:tcBorders>
            <w:shd w:val="clear" w:color="auto" w:fill="auto"/>
            <w:noWrap/>
          </w:tcPr>
          <w:p w14:paraId="1EFF03F3" w14:textId="630AD3F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951.131 </w:t>
            </w:r>
          </w:p>
        </w:tc>
      </w:tr>
      <w:tr w:rsidR="0066388E" w:rsidRPr="00E715D6" w14:paraId="534E895C"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99956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N_87</w:t>
            </w:r>
          </w:p>
        </w:tc>
        <w:tc>
          <w:tcPr>
            <w:tcW w:w="5060" w:type="dxa"/>
            <w:tcBorders>
              <w:top w:val="nil"/>
              <w:left w:val="nil"/>
              <w:bottom w:val="single" w:sz="4" w:space="0" w:color="auto"/>
              <w:right w:val="single" w:sz="4" w:space="0" w:color="auto"/>
            </w:tcBorders>
            <w:shd w:val="clear" w:color="auto" w:fill="auto"/>
            <w:noWrap/>
            <w:vAlign w:val="bottom"/>
            <w:hideMark/>
          </w:tcPr>
          <w:p w14:paraId="790655E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Mulchen 220-&gt;Rio Malleco 220</w:t>
            </w:r>
          </w:p>
        </w:tc>
        <w:tc>
          <w:tcPr>
            <w:tcW w:w="1035" w:type="dxa"/>
            <w:tcBorders>
              <w:top w:val="nil"/>
              <w:left w:val="nil"/>
              <w:bottom w:val="single" w:sz="4" w:space="0" w:color="auto"/>
              <w:right w:val="single" w:sz="4" w:space="0" w:color="auto"/>
            </w:tcBorders>
            <w:shd w:val="clear" w:color="auto" w:fill="auto"/>
            <w:noWrap/>
          </w:tcPr>
          <w:p w14:paraId="031A80EC" w14:textId="3173ABF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57.247 </w:t>
            </w:r>
          </w:p>
        </w:tc>
        <w:tc>
          <w:tcPr>
            <w:tcW w:w="891" w:type="dxa"/>
            <w:tcBorders>
              <w:top w:val="nil"/>
              <w:left w:val="nil"/>
              <w:bottom w:val="single" w:sz="4" w:space="0" w:color="auto"/>
              <w:right w:val="single" w:sz="4" w:space="0" w:color="auto"/>
            </w:tcBorders>
            <w:shd w:val="clear" w:color="auto" w:fill="auto"/>
            <w:noWrap/>
          </w:tcPr>
          <w:p w14:paraId="2AD096E8" w14:textId="3D97E8E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117.836 </w:t>
            </w:r>
          </w:p>
        </w:tc>
        <w:tc>
          <w:tcPr>
            <w:tcW w:w="952" w:type="dxa"/>
            <w:tcBorders>
              <w:top w:val="nil"/>
              <w:left w:val="nil"/>
              <w:bottom w:val="single" w:sz="4" w:space="0" w:color="auto"/>
              <w:right w:val="single" w:sz="4" w:space="0" w:color="auto"/>
            </w:tcBorders>
            <w:shd w:val="clear" w:color="auto" w:fill="auto"/>
            <w:noWrap/>
          </w:tcPr>
          <w:p w14:paraId="1F3A0C77" w14:textId="07CEFA8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7.025 </w:t>
            </w:r>
          </w:p>
        </w:tc>
        <w:tc>
          <w:tcPr>
            <w:tcW w:w="992" w:type="dxa"/>
            <w:tcBorders>
              <w:top w:val="nil"/>
              <w:left w:val="nil"/>
              <w:bottom w:val="single" w:sz="4" w:space="0" w:color="auto"/>
              <w:right w:val="single" w:sz="4" w:space="0" w:color="auto"/>
            </w:tcBorders>
            <w:shd w:val="clear" w:color="auto" w:fill="auto"/>
            <w:noWrap/>
          </w:tcPr>
          <w:p w14:paraId="10FCF4F8" w14:textId="2A6CE1C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182.108 </w:t>
            </w:r>
          </w:p>
        </w:tc>
      </w:tr>
      <w:tr w:rsidR="0066388E" w:rsidRPr="00E715D6" w14:paraId="12BB1C6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6F8824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N_88</w:t>
            </w:r>
          </w:p>
        </w:tc>
        <w:tc>
          <w:tcPr>
            <w:tcW w:w="5060" w:type="dxa"/>
            <w:tcBorders>
              <w:top w:val="nil"/>
              <w:left w:val="nil"/>
              <w:bottom w:val="single" w:sz="4" w:space="0" w:color="auto"/>
              <w:right w:val="single" w:sz="4" w:space="0" w:color="auto"/>
            </w:tcBorders>
            <w:shd w:val="clear" w:color="auto" w:fill="auto"/>
            <w:noWrap/>
            <w:vAlign w:val="bottom"/>
            <w:hideMark/>
          </w:tcPr>
          <w:p w14:paraId="06AA172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Nogales 220-&gt;Quillota 220</w:t>
            </w:r>
          </w:p>
        </w:tc>
        <w:tc>
          <w:tcPr>
            <w:tcW w:w="1035" w:type="dxa"/>
            <w:tcBorders>
              <w:top w:val="nil"/>
              <w:left w:val="nil"/>
              <w:bottom w:val="single" w:sz="4" w:space="0" w:color="auto"/>
              <w:right w:val="single" w:sz="4" w:space="0" w:color="auto"/>
            </w:tcBorders>
            <w:shd w:val="clear" w:color="auto" w:fill="auto"/>
            <w:noWrap/>
          </w:tcPr>
          <w:p w14:paraId="4646688A" w14:textId="2E1DA07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697.789 </w:t>
            </w:r>
          </w:p>
        </w:tc>
        <w:tc>
          <w:tcPr>
            <w:tcW w:w="891" w:type="dxa"/>
            <w:tcBorders>
              <w:top w:val="nil"/>
              <w:left w:val="nil"/>
              <w:bottom w:val="single" w:sz="4" w:space="0" w:color="auto"/>
              <w:right w:val="single" w:sz="4" w:space="0" w:color="auto"/>
            </w:tcBorders>
            <w:shd w:val="clear" w:color="auto" w:fill="auto"/>
            <w:noWrap/>
          </w:tcPr>
          <w:p w14:paraId="16255346" w14:textId="41A2295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146.500 </w:t>
            </w:r>
          </w:p>
        </w:tc>
        <w:tc>
          <w:tcPr>
            <w:tcW w:w="952" w:type="dxa"/>
            <w:tcBorders>
              <w:top w:val="nil"/>
              <w:left w:val="nil"/>
              <w:bottom w:val="single" w:sz="4" w:space="0" w:color="auto"/>
              <w:right w:val="single" w:sz="4" w:space="0" w:color="auto"/>
            </w:tcBorders>
            <w:shd w:val="clear" w:color="auto" w:fill="auto"/>
            <w:noWrap/>
          </w:tcPr>
          <w:p w14:paraId="30F84F71" w14:textId="05197B6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135.357 </w:t>
            </w:r>
          </w:p>
        </w:tc>
        <w:tc>
          <w:tcPr>
            <w:tcW w:w="992" w:type="dxa"/>
            <w:tcBorders>
              <w:top w:val="nil"/>
              <w:left w:val="nil"/>
              <w:bottom w:val="single" w:sz="4" w:space="0" w:color="auto"/>
              <w:right w:val="single" w:sz="4" w:space="0" w:color="auto"/>
            </w:tcBorders>
            <w:shd w:val="clear" w:color="auto" w:fill="auto"/>
            <w:noWrap/>
          </w:tcPr>
          <w:p w14:paraId="410C5F91" w14:textId="3D9EDA4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979.645 </w:t>
            </w:r>
          </w:p>
        </w:tc>
      </w:tr>
      <w:tr w:rsidR="0066388E" w:rsidRPr="00E715D6" w14:paraId="14889F2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F3CCC3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N_89</w:t>
            </w:r>
          </w:p>
        </w:tc>
        <w:tc>
          <w:tcPr>
            <w:tcW w:w="5060" w:type="dxa"/>
            <w:tcBorders>
              <w:top w:val="nil"/>
              <w:left w:val="nil"/>
              <w:bottom w:val="single" w:sz="4" w:space="0" w:color="auto"/>
              <w:right w:val="single" w:sz="4" w:space="0" w:color="auto"/>
            </w:tcBorders>
            <w:shd w:val="clear" w:color="auto" w:fill="auto"/>
            <w:noWrap/>
            <w:vAlign w:val="bottom"/>
            <w:hideMark/>
          </w:tcPr>
          <w:p w14:paraId="4A735A6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Nogales 220-&gt;Rio Aconcagua 220</w:t>
            </w:r>
          </w:p>
        </w:tc>
        <w:tc>
          <w:tcPr>
            <w:tcW w:w="1035" w:type="dxa"/>
            <w:tcBorders>
              <w:top w:val="nil"/>
              <w:left w:val="nil"/>
              <w:bottom w:val="single" w:sz="4" w:space="0" w:color="auto"/>
              <w:right w:val="single" w:sz="4" w:space="0" w:color="auto"/>
            </w:tcBorders>
            <w:shd w:val="clear" w:color="auto" w:fill="auto"/>
            <w:noWrap/>
          </w:tcPr>
          <w:p w14:paraId="46602E5C" w14:textId="1227DB4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72DF4C72" w14:textId="1E145A0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7B84A720" w14:textId="0DCECEE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2B0C5E41" w14:textId="51E55B2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032808E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84F910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N_90</w:t>
            </w:r>
          </w:p>
        </w:tc>
        <w:tc>
          <w:tcPr>
            <w:tcW w:w="5060" w:type="dxa"/>
            <w:tcBorders>
              <w:top w:val="nil"/>
              <w:left w:val="nil"/>
              <w:bottom w:val="single" w:sz="4" w:space="0" w:color="auto"/>
              <w:right w:val="single" w:sz="4" w:space="0" w:color="auto"/>
            </w:tcBorders>
            <w:shd w:val="clear" w:color="auto" w:fill="auto"/>
            <w:noWrap/>
            <w:vAlign w:val="bottom"/>
            <w:hideMark/>
          </w:tcPr>
          <w:p w14:paraId="7F7CD51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Nogales 220-&gt;Tap Doña Carmen 220</w:t>
            </w:r>
          </w:p>
        </w:tc>
        <w:tc>
          <w:tcPr>
            <w:tcW w:w="1035" w:type="dxa"/>
            <w:tcBorders>
              <w:top w:val="nil"/>
              <w:left w:val="nil"/>
              <w:bottom w:val="single" w:sz="4" w:space="0" w:color="auto"/>
              <w:right w:val="single" w:sz="4" w:space="0" w:color="auto"/>
            </w:tcBorders>
            <w:shd w:val="clear" w:color="auto" w:fill="auto"/>
            <w:noWrap/>
          </w:tcPr>
          <w:p w14:paraId="7308FCF2" w14:textId="66E5AC3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344.823 </w:t>
            </w:r>
          </w:p>
        </w:tc>
        <w:tc>
          <w:tcPr>
            <w:tcW w:w="891" w:type="dxa"/>
            <w:tcBorders>
              <w:top w:val="nil"/>
              <w:left w:val="nil"/>
              <w:bottom w:val="single" w:sz="4" w:space="0" w:color="auto"/>
              <w:right w:val="single" w:sz="4" w:space="0" w:color="auto"/>
            </w:tcBorders>
            <w:shd w:val="clear" w:color="auto" w:fill="auto"/>
            <w:noWrap/>
          </w:tcPr>
          <w:p w14:paraId="3ADCC554" w14:textId="140CD92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100.733 </w:t>
            </w:r>
          </w:p>
        </w:tc>
        <w:tc>
          <w:tcPr>
            <w:tcW w:w="952" w:type="dxa"/>
            <w:tcBorders>
              <w:top w:val="nil"/>
              <w:left w:val="nil"/>
              <w:bottom w:val="single" w:sz="4" w:space="0" w:color="auto"/>
              <w:right w:val="single" w:sz="4" w:space="0" w:color="auto"/>
            </w:tcBorders>
            <w:shd w:val="clear" w:color="auto" w:fill="auto"/>
            <w:noWrap/>
          </w:tcPr>
          <w:p w14:paraId="428AF345" w14:textId="4BF2995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74.450 </w:t>
            </w:r>
          </w:p>
        </w:tc>
        <w:tc>
          <w:tcPr>
            <w:tcW w:w="992" w:type="dxa"/>
            <w:tcBorders>
              <w:top w:val="nil"/>
              <w:left w:val="nil"/>
              <w:bottom w:val="single" w:sz="4" w:space="0" w:color="auto"/>
              <w:right w:val="single" w:sz="4" w:space="0" w:color="auto"/>
            </w:tcBorders>
            <w:shd w:val="clear" w:color="auto" w:fill="auto"/>
            <w:noWrap/>
          </w:tcPr>
          <w:p w14:paraId="67A36A0B" w14:textId="34F1439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520.006 </w:t>
            </w:r>
          </w:p>
        </w:tc>
      </w:tr>
      <w:tr w:rsidR="0066388E" w:rsidRPr="00E715D6" w14:paraId="287002E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E9744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N_91</w:t>
            </w:r>
          </w:p>
        </w:tc>
        <w:tc>
          <w:tcPr>
            <w:tcW w:w="5060" w:type="dxa"/>
            <w:tcBorders>
              <w:top w:val="nil"/>
              <w:left w:val="nil"/>
              <w:bottom w:val="single" w:sz="4" w:space="0" w:color="auto"/>
              <w:right w:val="single" w:sz="4" w:space="0" w:color="auto"/>
            </w:tcBorders>
            <w:shd w:val="clear" w:color="auto" w:fill="auto"/>
            <w:noWrap/>
            <w:vAlign w:val="bottom"/>
            <w:hideMark/>
          </w:tcPr>
          <w:p w14:paraId="641DDD9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Alto Melipilla 220-&gt;Alto Melipilla 220</w:t>
            </w:r>
          </w:p>
        </w:tc>
        <w:tc>
          <w:tcPr>
            <w:tcW w:w="1035" w:type="dxa"/>
            <w:tcBorders>
              <w:top w:val="nil"/>
              <w:left w:val="nil"/>
              <w:bottom w:val="single" w:sz="4" w:space="0" w:color="auto"/>
              <w:right w:val="single" w:sz="4" w:space="0" w:color="auto"/>
            </w:tcBorders>
            <w:shd w:val="clear" w:color="auto" w:fill="auto"/>
            <w:noWrap/>
          </w:tcPr>
          <w:p w14:paraId="68CBFED7" w14:textId="26BBFA4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84.853 </w:t>
            </w:r>
          </w:p>
        </w:tc>
        <w:tc>
          <w:tcPr>
            <w:tcW w:w="891" w:type="dxa"/>
            <w:tcBorders>
              <w:top w:val="nil"/>
              <w:left w:val="nil"/>
              <w:bottom w:val="single" w:sz="4" w:space="0" w:color="auto"/>
              <w:right w:val="single" w:sz="4" w:space="0" w:color="auto"/>
            </w:tcBorders>
            <w:shd w:val="clear" w:color="auto" w:fill="auto"/>
            <w:noWrap/>
          </w:tcPr>
          <w:p w14:paraId="74FC7563" w14:textId="147CAB7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8.895 </w:t>
            </w:r>
          </w:p>
        </w:tc>
        <w:tc>
          <w:tcPr>
            <w:tcW w:w="952" w:type="dxa"/>
            <w:tcBorders>
              <w:top w:val="nil"/>
              <w:left w:val="nil"/>
              <w:bottom w:val="single" w:sz="4" w:space="0" w:color="auto"/>
              <w:right w:val="single" w:sz="4" w:space="0" w:color="auto"/>
            </w:tcBorders>
            <w:shd w:val="clear" w:color="auto" w:fill="auto"/>
            <w:noWrap/>
          </w:tcPr>
          <w:p w14:paraId="14305DC4" w14:textId="0DCAC6E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13.474 </w:t>
            </w:r>
          </w:p>
        </w:tc>
        <w:tc>
          <w:tcPr>
            <w:tcW w:w="992" w:type="dxa"/>
            <w:tcBorders>
              <w:top w:val="nil"/>
              <w:left w:val="nil"/>
              <w:bottom w:val="single" w:sz="4" w:space="0" w:color="auto"/>
              <w:right w:val="single" w:sz="4" w:space="0" w:color="auto"/>
            </w:tcBorders>
            <w:shd w:val="clear" w:color="auto" w:fill="auto"/>
            <w:noWrap/>
          </w:tcPr>
          <w:p w14:paraId="1E89D2FD" w14:textId="373C66A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107.222 </w:t>
            </w:r>
          </w:p>
        </w:tc>
      </w:tr>
      <w:tr w:rsidR="0066388E" w:rsidRPr="00E715D6" w14:paraId="5B7E9C4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2B832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N_92</w:t>
            </w:r>
          </w:p>
        </w:tc>
        <w:tc>
          <w:tcPr>
            <w:tcW w:w="5060" w:type="dxa"/>
            <w:tcBorders>
              <w:top w:val="nil"/>
              <w:left w:val="nil"/>
              <w:bottom w:val="single" w:sz="4" w:space="0" w:color="auto"/>
              <w:right w:val="single" w:sz="4" w:space="0" w:color="auto"/>
            </w:tcBorders>
            <w:shd w:val="clear" w:color="auto" w:fill="auto"/>
            <w:noWrap/>
            <w:vAlign w:val="bottom"/>
            <w:hideMark/>
          </w:tcPr>
          <w:p w14:paraId="5C541E7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Alto Melipilla 220-&gt;Rapel 220</w:t>
            </w:r>
          </w:p>
        </w:tc>
        <w:tc>
          <w:tcPr>
            <w:tcW w:w="1035" w:type="dxa"/>
            <w:tcBorders>
              <w:top w:val="nil"/>
              <w:left w:val="nil"/>
              <w:bottom w:val="single" w:sz="4" w:space="0" w:color="auto"/>
              <w:right w:val="single" w:sz="4" w:space="0" w:color="auto"/>
            </w:tcBorders>
            <w:shd w:val="clear" w:color="auto" w:fill="auto"/>
            <w:noWrap/>
          </w:tcPr>
          <w:p w14:paraId="222212F3" w14:textId="2339ED8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1.154.556 </w:t>
            </w:r>
          </w:p>
        </w:tc>
        <w:tc>
          <w:tcPr>
            <w:tcW w:w="891" w:type="dxa"/>
            <w:tcBorders>
              <w:top w:val="nil"/>
              <w:left w:val="nil"/>
              <w:bottom w:val="single" w:sz="4" w:space="0" w:color="auto"/>
              <w:right w:val="single" w:sz="4" w:space="0" w:color="auto"/>
            </w:tcBorders>
            <w:shd w:val="clear" w:color="auto" w:fill="auto"/>
            <w:noWrap/>
          </w:tcPr>
          <w:p w14:paraId="103DCBF2" w14:textId="00593E7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346.856 </w:t>
            </w:r>
          </w:p>
        </w:tc>
        <w:tc>
          <w:tcPr>
            <w:tcW w:w="952" w:type="dxa"/>
            <w:tcBorders>
              <w:top w:val="nil"/>
              <w:left w:val="nil"/>
              <w:bottom w:val="single" w:sz="4" w:space="0" w:color="auto"/>
              <w:right w:val="single" w:sz="4" w:space="0" w:color="auto"/>
            </w:tcBorders>
            <w:shd w:val="clear" w:color="auto" w:fill="auto"/>
            <w:noWrap/>
          </w:tcPr>
          <w:p w14:paraId="2DC5CA52" w14:textId="7ABF05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267.176 </w:t>
            </w:r>
          </w:p>
        </w:tc>
        <w:tc>
          <w:tcPr>
            <w:tcW w:w="992" w:type="dxa"/>
            <w:tcBorders>
              <w:top w:val="nil"/>
              <w:left w:val="nil"/>
              <w:bottom w:val="single" w:sz="4" w:space="0" w:color="auto"/>
              <w:right w:val="single" w:sz="4" w:space="0" w:color="auto"/>
            </w:tcBorders>
            <w:shd w:val="clear" w:color="auto" w:fill="auto"/>
            <w:noWrap/>
          </w:tcPr>
          <w:p w14:paraId="17EF899A" w14:textId="0D54DCA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1.768.589 </w:t>
            </w:r>
          </w:p>
        </w:tc>
      </w:tr>
      <w:tr w:rsidR="0066388E" w:rsidRPr="00E715D6" w14:paraId="13A239F7"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33F417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N_93</w:t>
            </w:r>
          </w:p>
        </w:tc>
        <w:tc>
          <w:tcPr>
            <w:tcW w:w="5060" w:type="dxa"/>
            <w:tcBorders>
              <w:top w:val="nil"/>
              <w:left w:val="nil"/>
              <w:bottom w:val="single" w:sz="4" w:space="0" w:color="auto"/>
              <w:right w:val="single" w:sz="4" w:space="0" w:color="auto"/>
            </w:tcBorders>
            <w:shd w:val="clear" w:color="auto" w:fill="auto"/>
            <w:noWrap/>
            <w:vAlign w:val="bottom"/>
            <w:hideMark/>
          </w:tcPr>
          <w:p w14:paraId="4CC03A7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Cardones 220-&gt;Nueva Cardones 500</w:t>
            </w:r>
          </w:p>
        </w:tc>
        <w:tc>
          <w:tcPr>
            <w:tcW w:w="1035" w:type="dxa"/>
            <w:tcBorders>
              <w:top w:val="nil"/>
              <w:left w:val="nil"/>
              <w:bottom w:val="single" w:sz="4" w:space="0" w:color="auto"/>
              <w:right w:val="single" w:sz="4" w:space="0" w:color="auto"/>
            </w:tcBorders>
            <w:shd w:val="clear" w:color="auto" w:fill="auto"/>
            <w:noWrap/>
          </w:tcPr>
          <w:p w14:paraId="0590C4B3" w14:textId="0BA1C79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1DD6C119" w14:textId="5871B16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52BAAD27" w14:textId="1CB0CC2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5E919F89" w14:textId="45951CC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59FCD54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196817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N_94</w:t>
            </w:r>
          </w:p>
        </w:tc>
        <w:tc>
          <w:tcPr>
            <w:tcW w:w="5060" w:type="dxa"/>
            <w:tcBorders>
              <w:top w:val="nil"/>
              <w:left w:val="nil"/>
              <w:bottom w:val="single" w:sz="4" w:space="0" w:color="auto"/>
              <w:right w:val="single" w:sz="4" w:space="0" w:color="auto"/>
            </w:tcBorders>
            <w:shd w:val="clear" w:color="auto" w:fill="auto"/>
            <w:noWrap/>
            <w:vAlign w:val="bottom"/>
            <w:hideMark/>
          </w:tcPr>
          <w:p w14:paraId="15F25A3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Diego de Almagro 220-&gt;Diego de Almagro 220</w:t>
            </w:r>
          </w:p>
        </w:tc>
        <w:tc>
          <w:tcPr>
            <w:tcW w:w="1035" w:type="dxa"/>
            <w:tcBorders>
              <w:top w:val="nil"/>
              <w:left w:val="nil"/>
              <w:bottom w:val="single" w:sz="4" w:space="0" w:color="auto"/>
              <w:right w:val="single" w:sz="4" w:space="0" w:color="auto"/>
            </w:tcBorders>
            <w:shd w:val="clear" w:color="auto" w:fill="auto"/>
            <w:noWrap/>
          </w:tcPr>
          <w:p w14:paraId="0D7B1C70" w14:textId="047D0C7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509.003 </w:t>
            </w:r>
          </w:p>
        </w:tc>
        <w:tc>
          <w:tcPr>
            <w:tcW w:w="891" w:type="dxa"/>
            <w:tcBorders>
              <w:top w:val="nil"/>
              <w:left w:val="nil"/>
              <w:bottom w:val="single" w:sz="4" w:space="0" w:color="auto"/>
              <w:right w:val="single" w:sz="4" w:space="0" w:color="auto"/>
            </w:tcBorders>
            <w:shd w:val="clear" w:color="auto" w:fill="auto"/>
            <w:noWrap/>
          </w:tcPr>
          <w:p w14:paraId="46FEBA39" w14:textId="4C54818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185.208 </w:t>
            </w:r>
          </w:p>
        </w:tc>
        <w:tc>
          <w:tcPr>
            <w:tcW w:w="952" w:type="dxa"/>
            <w:tcBorders>
              <w:top w:val="nil"/>
              <w:left w:val="nil"/>
              <w:bottom w:val="single" w:sz="4" w:space="0" w:color="auto"/>
              <w:right w:val="single" w:sz="4" w:space="0" w:color="auto"/>
            </w:tcBorders>
            <w:shd w:val="clear" w:color="auto" w:fill="auto"/>
            <w:noWrap/>
          </w:tcPr>
          <w:p w14:paraId="353AE5C3" w14:textId="60FA16B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94.630 </w:t>
            </w:r>
          </w:p>
        </w:tc>
        <w:tc>
          <w:tcPr>
            <w:tcW w:w="992" w:type="dxa"/>
            <w:tcBorders>
              <w:top w:val="nil"/>
              <w:left w:val="nil"/>
              <w:bottom w:val="single" w:sz="4" w:space="0" w:color="auto"/>
              <w:right w:val="single" w:sz="4" w:space="0" w:color="auto"/>
            </w:tcBorders>
            <w:shd w:val="clear" w:color="auto" w:fill="auto"/>
            <w:noWrap/>
          </w:tcPr>
          <w:p w14:paraId="2F8D4780" w14:textId="75477D2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788.841 </w:t>
            </w:r>
          </w:p>
        </w:tc>
      </w:tr>
      <w:tr w:rsidR="0066388E" w:rsidRPr="00E715D6" w14:paraId="7AFCEC9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38F3EE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N_95</w:t>
            </w:r>
          </w:p>
        </w:tc>
        <w:tc>
          <w:tcPr>
            <w:tcW w:w="5060" w:type="dxa"/>
            <w:tcBorders>
              <w:top w:val="nil"/>
              <w:left w:val="nil"/>
              <w:bottom w:val="single" w:sz="4" w:space="0" w:color="auto"/>
              <w:right w:val="single" w:sz="4" w:space="0" w:color="auto"/>
            </w:tcBorders>
            <w:shd w:val="clear" w:color="auto" w:fill="auto"/>
            <w:noWrap/>
            <w:vAlign w:val="bottom"/>
            <w:hideMark/>
          </w:tcPr>
          <w:p w14:paraId="396D785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Lampa 220-&gt;Cerro Navia Desf 220</w:t>
            </w:r>
          </w:p>
        </w:tc>
        <w:tc>
          <w:tcPr>
            <w:tcW w:w="1035" w:type="dxa"/>
            <w:tcBorders>
              <w:top w:val="nil"/>
              <w:left w:val="nil"/>
              <w:bottom w:val="single" w:sz="4" w:space="0" w:color="auto"/>
              <w:right w:val="single" w:sz="4" w:space="0" w:color="auto"/>
            </w:tcBorders>
            <w:shd w:val="clear" w:color="auto" w:fill="auto"/>
            <w:noWrap/>
          </w:tcPr>
          <w:p w14:paraId="37AE7992" w14:textId="5298D38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356.891 </w:t>
            </w:r>
          </w:p>
        </w:tc>
        <w:tc>
          <w:tcPr>
            <w:tcW w:w="891" w:type="dxa"/>
            <w:tcBorders>
              <w:top w:val="nil"/>
              <w:left w:val="nil"/>
              <w:bottom w:val="single" w:sz="4" w:space="0" w:color="auto"/>
              <w:right w:val="single" w:sz="4" w:space="0" w:color="auto"/>
            </w:tcBorders>
            <w:shd w:val="clear" w:color="auto" w:fill="auto"/>
            <w:noWrap/>
          </w:tcPr>
          <w:p w14:paraId="3B7AB952" w14:textId="4BF7A8D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101.786 </w:t>
            </w:r>
          </w:p>
        </w:tc>
        <w:tc>
          <w:tcPr>
            <w:tcW w:w="952" w:type="dxa"/>
            <w:tcBorders>
              <w:top w:val="nil"/>
              <w:left w:val="nil"/>
              <w:bottom w:val="single" w:sz="4" w:space="0" w:color="auto"/>
              <w:right w:val="single" w:sz="4" w:space="0" w:color="auto"/>
            </w:tcBorders>
            <w:shd w:val="clear" w:color="auto" w:fill="auto"/>
            <w:noWrap/>
          </w:tcPr>
          <w:p w14:paraId="6E244C1D" w14:textId="77157F9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75.118 </w:t>
            </w:r>
          </w:p>
        </w:tc>
        <w:tc>
          <w:tcPr>
            <w:tcW w:w="992" w:type="dxa"/>
            <w:tcBorders>
              <w:top w:val="nil"/>
              <w:left w:val="nil"/>
              <w:bottom w:val="single" w:sz="4" w:space="0" w:color="auto"/>
              <w:right w:val="single" w:sz="4" w:space="0" w:color="auto"/>
            </w:tcBorders>
            <w:shd w:val="clear" w:color="auto" w:fill="auto"/>
            <w:noWrap/>
          </w:tcPr>
          <w:p w14:paraId="0188DFC3" w14:textId="0ECDDB1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533.795 </w:t>
            </w:r>
          </w:p>
        </w:tc>
      </w:tr>
      <w:tr w:rsidR="0066388E" w:rsidRPr="00E715D6" w14:paraId="0DA0264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40E4CC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N_96</w:t>
            </w:r>
          </w:p>
        </w:tc>
        <w:tc>
          <w:tcPr>
            <w:tcW w:w="5060" w:type="dxa"/>
            <w:tcBorders>
              <w:top w:val="nil"/>
              <w:left w:val="nil"/>
              <w:bottom w:val="single" w:sz="4" w:space="0" w:color="auto"/>
              <w:right w:val="single" w:sz="4" w:space="0" w:color="auto"/>
            </w:tcBorders>
            <w:shd w:val="clear" w:color="auto" w:fill="auto"/>
            <w:noWrap/>
            <w:vAlign w:val="bottom"/>
            <w:hideMark/>
          </w:tcPr>
          <w:p w14:paraId="43A367F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Lampa 220-&gt;Polpaico 220</w:t>
            </w:r>
          </w:p>
        </w:tc>
        <w:tc>
          <w:tcPr>
            <w:tcW w:w="1035" w:type="dxa"/>
            <w:tcBorders>
              <w:top w:val="nil"/>
              <w:left w:val="nil"/>
              <w:bottom w:val="single" w:sz="4" w:space="0" w:color="auto"/>
              <w:right w:val="single" w:sz="4" w:space="0" w:color="auto"/>
            </w:tcBorders>
            <w:shd w:val="clear" w:color="auto" w:fill="auto"/>
            <w:noWrap/>
          </w:tcPr>
          <w:p w14:paraId="6ED794F7" w14:textId="0A5AE39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440.532 </w:t>
            </w:r>
          </w:p>
        </w:tc>
        <w:tc>
          <w:tcPr>
            <w:tcW w:w="891" w:type="dxa"/>
            <w:tcBorders>
              <w:top w:val="nil"/>
              <w:left w:val="nil"/>
              <w:bottom w:val="single" w:sz="4" w:space="0" w:color="auto"/>
              <w:right w:val="single" w:sz="4" w:space="0" w:color="auto"/>
            </w:tcBorders>
            <w:shd w:val="clear" w:color="auto" w:fill="auto"/>
            <w:noWrap/>
          </w:tcPr>
          <w:p w14:paraId="5F7AB0B4" w14:textId="5BD9D05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255.547 </w:t>
            </w:r>
          </w:p>
        </w:tc>
        <w:tc>
          <w:tcPr>
            <w:tcW w:w="952" w:type="dxa"/>
            <w:tcBorders>
              <w:top w:val="nil"/>
              <w:left w:val="nil"/>
              <w:bottom w:val="single" w:sz="4" w:space="0" w:color="auto"/>
              <w:right w:val="single" w:sz="4" w:space="0" w:color="auto"/>
            </w:tcBorders>
            <w:shd w:val="clear" w:color="auto" w:fill="auto"/>
            <w:noWrap/>
          </w:tcPr>
          <w:p w14:paraId="00D9D5AB" w14:textId="4E1AE4E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88.401 </w:t>
            </w:r>
          </w:p>
        </w:tc>
        <w:tc>
          <w:tcPr>
            <w:tcW w:w="992" w:type="dxa"/>
            <w:tcBorders>
              <w:top w:val="nil"/>
              <w:left w:val="nil"/>
              <w:bottom w:val="single" w:sz="4" w:space="0" w:color="auto"/>
              <w:right w:val="single" w:sz="4" w:space="0" w:color="auto"/>
            </w:tcBorders>
            <w:shd w:val="clear" w:color="auto" w:fill="auto"/>
            <w:noWrap/>
          </w:tcPr>
          <w:p w14:paraId="3FE6A04B" w14:textId="78CBAA4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784.479 </w:t>
            </w:r>
          </w:p>
        </w:tc>
      </w:tr>
      <w:tr w:rsidR="0066388E" w:rsidRPr="00E715D6" w14:paraId="5BC4051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3EA411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N_97</w:t>
            </w:r>
          </w:p>
        </w:tc>
        <w:tc>
          <w:tcPr>
            <w:tcW w:w="5060" w:type="dxa"/>
            <w:tcBorders>
              <w:top w:val="nil"/>
              <w:left w:val="nil"/>
              <w:bottom w:val="single" w:sz="4" w:space="0" w:color="auto"/>
              <w:right w:val="single" w:sz="4" w:space="0" w:color="auto"/>
            </w:tcBorders>
            <w:shd w:val="clear" w:color="auto" w:fill="auto"/>
            <w:noWrap/>
            <w:vAlign w:val="bottom"/>
            <w:hideMark/>
          </w:tcPr>
          <w:p w14:paraId="5CD02FDA"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Pan de Azucar 500-&gt;Polpaico 500</w:t>
            </w:r>
          </w:p>
        </w:tc>
        <w:tc>
          <w:tcPr>
            <w:tcW w:w="1035" w:type="dxa"/>
            <w:tcBorders>
              <w:top w:val="nil"/>
              <w:left w:val="nil"/>
              <w:bottom w:val="single" w:sz="4" w:space="0" w:color="auto"/>
              <w:right w:val="single" w:sz="4" w:space="0" w:color="auto"/>
            </w:tcBorders>
            <w:shd w:val="clear" w:color="auto" w:fill="auto"/>
            <w:noWrap/>
          </w:tcPr>
          <w:p w14:paraId="39C89AE2" w14:textId="385099D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5FEA9E06" w14:textId="072ADFE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46BD48C9" w14:textId="12DC014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669E237B" w14:textId="1D2AA7C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486679B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A033FC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N_98</w:t>
            </w:r>
          </w:p>
        </w:tc>
        <w:tc>
          <w:tcPr>
            <w:tcW w:w="5060" w:type="dxa"/>
            <w:tcBorders>
              <w:top w:val="nil"/>
              <w:left w:val="nil"/>
              <w:bottom w:val="single" w:sz="4" w:space="0" w:color="auto"/>
              <w:right w:val="single" w:sz="4" w:space="0" w:color="auto"/>
            </w:tcBorders>
            <w:shd w:val="clear" w:color="auto" w:fill="auto"/>
            <w:noWrap/>
            <w:vAlign w:val="bottom"/>
            <w:hideMark/>
          </w:tcPr>
          <w:p w14:paraId="39B2B6F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Pichirropulli 220-&gt;Nueva Valdivia 220</w:t>
            </w:r>
          </w:p>
        </w:tc>
        <w:tc>
          <w:tcPr>
            <w:tcW w:w="1035" w:type="dxa"/>
            <w:tcBorders>
              <w:top w:val="nil"/>
              <w:left w:val="nil"/>
              <w:bottom w:val="single" w:sz="4" w:space="0" w:color="auto"/>
              <w:right w:val="single" w:sz="4" w:space="0" w:color="auto"/>
            </w:tcBorders>
            <w:shd w:val="clear" w:color="auto" w:fill="auto"/>
            <w:noWrap/>
          </w:tcPr>
          <w:p w14:paraId="1823183A" w14:textId="0873A86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972.233 </w:t>
            </w:r>
          </w:p>
        </w:tc>
        <w:tc>
          <w:tcPr>
            <w:tcW w:w="891" w:type="dxa"/>
            <w:tcBorders>
              <w:top w:val="nil"/>
              <w:left w:val="nil"/>
              <w:bottom w:val="single" w:sz="4" w:space="0" w:color="auto"/>
              <w:right w:val="single" w:sz="4" w:space="0" w:color="auto"/>
            </w:tcBorders>
            <w:shd w:val="clear" w:color="auto" w:fill="auto"/>
            <w:noWrap/>
          </w:tcPr>
          <w:p w14:paraId="15651668" w14:textId="581158B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250.223 </w:t>
            </w:r>
          </w:p>
        </w:tc>
        <w:tc>
          <w:tcPr>
            <w:tcW w:w="952" w:type="dxa"/>
            <w:tcBorders>
              <w:top w:val="nil"/>
              <w:left w:val="nil"/>
              <w:bottom w:val="single" w:sz="4" w:space="0" w:color="auto"/>
              <w:right w:val="single" w:sz="4" w:space="0" w:color="auto"/>
            </w:tcBorders>
            <w:shd w:val="clear" w:color="auto" w:fill="auto"/>
            <w:noWrap/>
          </w:tcPr>
          <w:p w14:paraId="62194322" w14:textId="2C84DBF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185.624 </w:t>
            </w:r>
          </w:p>
        </w:tc>
        <w:tc>
          <w:tcPr>
            <w:tcW w:w="992" w:type="dxa"/>
            <w:tcBorders>
              <w:top w:val="nil"/>
              <w:left w:val="nil"/>
              <w:bottom w:val="single" w:sz="4" w:space="0" w:color="auto"/>
              <w:right w:val="single" w:sz="4" w:space="0" w:color="auto"/>
            </w:tcBorders>
            <w:shd w:val="clear" w:color="auto" w:fill="auto"/>
            <w:noWrap/>
          </w:tcPr>
          <w:p w14:paraId="7E3167C2" w14:textId="7FF66B4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1.408.079 </w:t>
            </w:r>
          </w:p>
        </w:tc>
      </w:tr>
      <w:tr w:rsidR="0066388E" w:rsidRPr="00E715D6" w14:paraId="0C0EC1F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E57F4E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N_99</w:t>
            </w:r>
          </w:p>
        </w:tc>
        <w:tc>
          <w:tcPr>
            <w:tcW w:w="5060" w:type="dxa"/>
            <w:tcBorders>
              <w:top w:val="nil"/>
              <w:left w:val="nil"/>
              <w:bottom w:val="single" w:sz="4" w:space="0" w:color="auto"/>
              <w:right w:val="single" w:sz="4" w:space="0" w:color="auto"/>
            </w:tcBorders>
            <w:shd w:val="clear" w:color="auto" w:fill="auto"/>
            <w:noWrap/>
            <w:vAlign w:val="bottom"/>
            <w:hideMark/>
          </w:tcPr>
          <w:p w14:paraId="2F5A840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Puerto Montt 220-&gt;Frutillar Norte 220</w:t>
            </w:r>
          </w:p>
        </w:tc>
        <w:tc>
          <w:tcPr>
            <w:tcW w:w="1035" w:type="dxa"/>
            <w:tcBorders>
              <w:top w:val="nil"/>
              <w:left w:val="nil"/>
              <w:bottom w:val="single" w:sz="4" w:space="0" w:color="auto"/>
              <w:right w:val="single" w:sz="4" w:space="0" w:color="auto"/>
            </w:tcBorders>
            <w:shd w:val="clear" w:color="auto" w:fill="auto"/>
            <w:noWrap/>
          </w:tcPr>
          <w:p w14:paraId="3E87D909" w14:textId="2B7DEAD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432.393 </w:t>
            </w:r>
          </w:p>
        </w:tc>
        <w:tc>
          <w:tcPr>
            <w:tcW w:w="891" w:type="dxa"/>
            <w:tcBorders>
              <w:top w:val="nil"/>
              <w:left w:val="nil"/>
              <w:bottom w:val="single" w:sz="4" w:space="0" w:color="auto"/>
              <w:right w:val="single" w:sz="4" w:space="0" w:color="auto"/>
            </w:tcBorders>
            <w:shd w:val="clear" w:color="auto" w:fill="auto"/>
            <w:noWrap/>
          </w:tcPr>
          <w:p w14:paraId="7C9DF599" w14:textId="18A628F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131.107 </w:t>
            </w:r>
          </w:p>
        </w:tc>
        <w:tc>
          <w:tcPr>
            <w:tcW w:w="952" w:type="dxa"/>
            <w:tcBorders>
              <w:top w:val="nil"/>
              <w:left w:val="nil"/>
              <w:bottom w:val="single" w:sz="4" w:space="0" w:color="auto"/>
              <w:right w:val="single" w:sz="4" w:space="0" w:color="auto"/>
            </w:tcBorders>
            <w:shd w:val="clear" w:color="auto" w:fill="auto"/>
            <w:noWrap/>
          </w:tcPr>
          <w:p w14:paraId="52E3EBC9" w14:textId="397E922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73.005 </w:t>
            </w:r>
          </w:p>
        </w:tc>
        <w:tc>
          <w:tcPr>
            <w:tcW w:w="992" w:type="dxa"/>
            <w:tcBorders>
              <w:top w:val="nil"/>
              <w:left w:val="nil"/>
              <w:bottom w:val="single" w:sz="4" w:space="0" w:color="auto"/>
              <w:right w:val="single" w:sz="4" w:space="0" w:color="auto"/>
            </w:tcBorders>
            <w:shd w:val="clear" w:color="auto" w:fill="auto"/>
            <w:noWrap/>
          </w:tcPr>
          <w:p w14:paraId="0CD96BF1" w14:textId="47B9B6C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636.505 </w:t>
            </w:r>
          </w:p>
        </w:tc>
      </w:tr>
      <w:tr w:rsidR="0066388E" w:rsidRPr="00E715D6" w14:paraId="1599379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D32CF4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N_100</w:t>
            </w:r>
          </w:p>
        </w:tc>
        <w:tc>
          <w:tcPr>
            <w:tcW w:w="5060" w:type="dxa"/>
            <w:tcBorders>
              <w:top w:val="nil"/>
              <w:left w:val="nil"/>
              <w:bottom w:val="single" w:sz="4" w:space="0" w:color="auto"/>
              <w:right w:val="single" w:sz="4" w:space="0" w:color="auto"/>
            </w:tcBorders>
            <w:shd w:val="clear" w:color="auto" w:fill="auto"/>
            <w:noWrap/>
            <w:vAlign w:val="bottom"/>
            <w:hideMark/>
          </w:tcPr>
          <w:p w14:paraId="1147C93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Puerto Montt 220-&gt;Llanquihue 220</w:t>
            </w:r>
          </w:p>
        </w:tc>
        <w:tc>
          <w:tcPr>
            <w:tcW w:w="1035" w:type="dxa"/>
            <w:tcBorders>
              <w:top w:val="nil"/>
              <w:left w:val="nil"/>
              <w:bottom w:val="single" w:sz="4" w:space="0" w:color="auto"/>
              <w:right w:val="single" w:sz="4" w:space="0" w:color="auto"/>
            </w:tcBorders>
            <w:shd w:val="clear" w:color="auto" w:fill="auto"/>
            <w:noWrap/>
          </w:tcPr>
          <w:p w14:paraId="0A000434" w14:textId="3AA5337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4.024 </w:t>
            </w:r>
          </w:p>
        </w:tc>
        <w:tc>
          <w:tcPr>
            <w:tcW w:w="891" w:type="dxa"/>
            <w:tcBorders>
              <w:top w:val="nil"/>
              <w:left w:val="nil"/>
              <w:bottom w:val="single" w:sz="4" w:space="0" w:color="auto"/>
              <w:right w:val="single" w:sz="4" w:space="0" w:color="auto"/>
            </w:tcBorders>
            <w:shd w:val="clear" w:color="auto" w:fill="auto"/>
            <w:noWrap/>
          </w:tcPr>
          <w:p w14:paraId="3DADE69A" w14:textId="6EB3B01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14.077 </w:t>
            </w:r>
          </w:p>
        </w:tc>
        <w:tc>
          <w:tcPr>
            <w:tcW w:w="952" w:type="dxa"/>
            <w:tcBorders>
              <w:top w:val="nil"/>
              <w:left w:val="nil"/>
              <w:bottom w:val="single" w:sz="4" w:space="0" w:color="auto"/>
              <w:right w:val="single" w:sz="4" w:space="0" w:color="auto"/>
            </w:tcBorders>
            <w:shd w:val="clear" w:color="auto" w:fill="auto"/>
            <w:noWrap/>
          </w:tcPr>
          <w:p w14:paraId="53748620" w14:textId="7E77897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678 </w:t>
            </w:r>
          </w:p>
        </w:tc>
        <w:tc>
          <w:tcPr>
            <w:tcW w:w="992" w:type="dxa"/>
            <w:tcBorders>
              <w:top w:val="nil"/>
              <w:left w:val="nil"/>
              <w:bottom w:val="single" w:sz="4" w:space="0" w:color="auto"/>
              <w:right w:val="single" w:sz="4" w:space="0" w:color="auto"/>
            </w:tcBorders>
            <w:shd w:val="clear" w:color="auto" w:fill="auto"/>
            <w:noWrap/>
          </w:tcPr>
          <w:p w14:paraId="384A4DD8" w14:textId="4AE0B6A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18.778 </w:t>
            </w:r>
          </w:p>
        </w:tc>
      </w:tr>
      <w:tr w:rsidR="0066388E" w:rsidRPr="00E715D6" w14:paraId="555D576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F6EA8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N_101</w:t>
            </w:r>
          </w:p>
        </w:tc>
        <w:tc>
          <w:tcPr>
            <w:tcW w:w="5060" w:type="dxa"/>
            <w:tcBorders>
              <w:top w:val="nil"/>
              <w:left w:val="nil"/>
              <w:bottom w:val="single" w:sz="4" w:space="0" w:color="auto"/>
              <w:right w:val="single" w:sz="4" w:space="0" w:color="auto"/>
            </w:tcBorders>
            <w:shd w:val="clear" w:color="auto" w:fill="auto"/>
            <w:noWrap/>
            <w:vAlign w:val="bottom"/>
            <w:hideMark/>
          </w:tcPr>
          <w:p w14:paraId="688F55B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Nueva Puerto Montt 220-&gt;Puerto Montt 220</w:t>
            </w:r>
          </w:p>
        </w:tc>
        <w:tc>
          <w:tcPr>
            <w:tcW w:w="1035" w:type="dxa"/>
            <w:tcBorders>
              <w:top w:val="nil"/>
              <w:left w:val="nil"/>
              <w:bottom w:val="single" w:sz="4" w:space="0" w:color="auto"/>
              <w:right w:val="single" w:sz="4" w:space="0" w:color="auto"/>
            </w:tcBorders>
            <w:shd w:val="clear" w:color="auto" w:fill="auto"/>
            <w:noWrap/>
          </w:tcPr>
          <w:p w14:paraId="5DD83B2D" w14:textId="29CBEF3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355.439 </w:t>
            </w:r>
          </w:p>
        </w:tc>
        <w:tc>
          <w:tcPr>
            <w:tcW w:w="891" w:type="dxa"/>
            <w:tcBorders>
              <w:top w:val="nil"/>
              <w:left w:val="nil"/>
              <w:bottom w:val="single" w:sz="4" w:space="0" w:color="auto"/>
              <w:right w:val="single" w:sz="4" w:space="0" w:color="auto"/>
            </w:tcBorders>
            <w:shd w:val="clear" w:color="auto" w:fill="auto"/>
            <w:noWrap/>
          </w:tcPr>
          <w:p w14:paraId="4B630430" w14:textId="0FA52D4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124.506 </w:t>
            </w:r>
          </w:p>
        </w:tc>
        <w:tc>
          <w:tcPr>
            <w:tcW w:w="952" w:type="dxa"/>
            <w:tcBorders>
              <w:top w:val="nil"/>
              <w:left w:val="nil"/>
              <w:bottom w:val="single" w:sz="4" w:space="0" w:color="auto"/>
              <w:right w:val="single" w:sz="4" w:space="0" w:color="auto"/>
            </w:tcBorders>
            <w:shd w:val="clear" w:color="auto" w:fill="auto"/>
            <w:noWrap/>
          </w:tcPr>
          <w:p w14:paraId="30A49349" w14:textId="4EC6F94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55.332 </w:t>
            </w:r>
          </w:p>
        </w:tc>
        <w:tc>
          <w:tcPr>
            <w:tcW w:w="992" w:type="dxa"/>
            <w:tcBorders>
              <w:top w:val="nil"/>
              <w:left w:val="nil"/>
              <w:bottom w:val="single" w:sz="4" w:space="0" w:color="auto"/>
              <w:right w:val="single" w:sz="4" w:space="0" w:color="auto"/>
            </w:tcBorders>
            <w:shd w:val="clear" w:color="auto" w:fill="auto"/>
            <w:noWrap/>
          </w:tcPr>
          <w:p w14:paraId="34B315F0" w14:textId="4254DAC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535.277 </w:t>
            </w:r>
          </w:p>
        </w:tc>
      </w:tr>
      <w:tr w:rsidR="0066388E" w:rsidRPr="00E715D6" w14:paraId="49CF940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EFD61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N_102</w:t>
            </w:r>
          </w:p>
        </w:tc>
        <w:tc>
          <w:tcPr>
            <w:tcW w:w="5060" w:type="dxa"/>
            <w:tcBorders>
              <w:top w:val="nil"/>
              <w:left w:val="nil"/>
              <w:bottom w:val="single" w:sz="4" w:space="0" w:color="auto"/>
              <w:right w:val="single" w:sz="4" w:space="0" w:color="auto"/>
            </w:tcBorders>
            <w:shd w:val="clear" w:color="auto" w:fill="auto"/>
            <w:noWrap/>
            <w:vAlign w:val="bottom"/>
            <w:hideMark/>
          </w:tcPr>
          <w:p w14:paraId="23F6683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O Higgins 220-&gt;Atacama 220</w:t>
            </w:r>
          </w:p>
        </w:tc>
        <w:tc>
          <w:tcPr>
            <w:tcW w:w="1035" w:type="dxa"/>
            <w:tcBorders>
              <w:top w:val="nil"/>
              <w:left w:val="nil"/>
              <w:bottom w:val="single" w:sz="4" w:space="0" w:color="auto"/>
              <w:right w:val="single" w:sz="4" w:space="0" w:color="auto"/>
            </w:tcBorders>
            <w:shd w:val="clear" w:color="auto" w:fill="auto"/>
            <w:noWrap/>
          </w:tcPr>
          <w:p w14:paraId="3F07B5E8" w14:textId="4C59C58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1.493.618 </w:t>
            </w:r>
          </w:p>
        </w:tc>
        <w:tc>
          <w:tcPr>
            <w:tcW w:w="891" w:type="dxa"/>
            <w:tcBorders>
              <w:top w:val="nil"/>
              <w:left w:val="nil"/>
              <w:bottom w:val="single" w:sz="4" w:space="0" w:color="auto"/>
              <w:right w:val="single" w:sz="4" w:space="0" w:color="auto"/>
            </w:tcBorders>
            <w:shd w:val="clear" w:color="auto" w:fill="auto"/>
            <w:noWrap/>
          </w:tcPr>
          <w:p w14:paraId="25DA4F2A" w14:textId="2AFCBA7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679.161 </w:t>
            </w:r>
          </w:p>
        </w:tc>
        <w:tc>
          <w:tcPr>
            <w:tcW w:w="952" w:type="dxa"/>
            <w:tcBorders>
              <w:top w:val="nil"/>
              <w:left w:val="nil"/>
              <w:bottom w:val="single" w:sz="4" w:space="0" w:color="auto"/>
              <w:right w:val="single" w:sz="4" w:space="0" w:color="auto"/>
            </w:tcBorders>
            <w:shd w:val="clear" w:color="auto" w:fill="auto"/>
            <w:noWrap/>
          </w:tcPr>
          <w:p w14:paraId="431BB57B" w14:textId="3C89636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298.489 </w:t>
            </w:r>
          </w:p>
        </w:tc>
        <w:tc>
          <w:tcPr>
            <w:tcW w:w="992" w:type="dxa"/>
            <w:tcBorders>
              <w:top w:val="nil"/>
              <w:left w:val="nil"/>
              <w:bottom w:val="single" w:sz="4" w:space="0" w:color="auto"/>
              <w:right w:val="single" w:sz="4" w:space="0" w:color="auto"/>
            </w:tcBorders>
            <w:shd w:val="clear" w:color="auto" w:fill="auto"/>
            <w:noWrap/>
          </w:tcPr>
          <w:p w14:paraId="190E0481" w14:textId="7DB85FC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2.471.268 </w:t>
            </w:r>
          </w:p>
        </w:tc>
      </w:tr>
      <w:tr w:rsidR="0066388E" w:rsidRPr="00E715D6" w14:paraId="34A0258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B6E3E6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N_103</w:t>
            </w:r>
          </w:p>
        </w:tc>
        <w:tc>
          <w:tcPr>
            <w:tcW w:w="5060" w:type="dxa"/>
            <w:tcBorders>
              <w:top w:val="nil"/>
              <w:left w:val="nil"/>
              <w:bottom w:val="single" w:sz="4" w:space="0" w:color="auto"/>
              <w:right w:val="single" w:sz="4" w:space="0" w:color="auto"/>
            </w:tcBorders>
            <w:shd w:val="clear" w:color="auto" w:fill="auto"/>
            <w:noWrap/>
            <w:vAlign w:val="bottom"/>
            <w:hideMark/>
          </w:tcPr>
          <w:p w14:paraId="0F5D1DA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O Higgins 220-&gt;Kapatur 220</w:t>
            </w:r>
          </w:p>
        </w:tc>
        <w:tc>
          <w:tcPr>
            <w:tcW w:w="1035" w:type="dxa"/>
            <w:tcBorders>
              <w:top w:val="nil"/>
              <w:left w:val="nil"/>
              <w:bottom w:val="single" w:sz="4" w:space="0" w:color="auto"/>
              <w:right w:val="single" w:sz="4" w:space="0" w:color="auto"/>
            </w:tcBorders>
            <w:shd w:val="clear" w:color="auto" w:fill="auto"/>
            <w:noWrap/>
          </w:tcPr>
          <w:p w14:paraId="0246A161" w14:textId="253E656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2.520.310 </w:t>
            </w:r>
          </w:p>
        </w:tc>
        <w:tc>
          <w:tcPr>
            <w:tcW w:w="891" w:type="dxa"/>
            <w:tcBorders>
              <w:top w:val="nil"/>
              <w:left w:val="nil"/>
              <w:bottom w:val="single" w:sz="4" w:space="0" w:color="auto"/>
              <w:right w:val="single" w:sz="4" w:space="0" w:color="auto"/>
            </w:tcBorders>
            <w:shd w:val="clear" w:color="auto" w:fill="auto"/>
            <w:noWrap/>
          </w:tcPr>
          <w:p w14:paraId="6AA9AB53" w14:textId="65C5D93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454.646 </w:t>
            </w:r>
          </w:p>
        </w:tc>
        <w:tc>
          <w:tcPr>
            <w:tcW w:w="952" w:type="dxa"/>
            <w:tcBorders>
              <w:top w:val="nil"/>
              <w:left w:val="nil"/>
              <w:bottom w:val="single" w:sz="4" w:space="0" w:color="auto"/>
              <w:right w:val="single" w:sz="4" w:space="0" w:color="auto"/>
            </w:tcBorders>
            <w:shd w:val="clear" w:color="auto" w:fill="auto"/>
            <w:noWrap/>
          </w:tcPr>
          <w:p w14:paraId="0A1E8BFD" w14:textId="722C06C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425.368 </w:t>
            </w:r>
          </w:p>
        </w:tc>
        <w:tc>
          <w:tcPr>
            <w:tcW w:w="992" w:type="dxa"/>
            <w:tcBorders>
              <w:top w:val="nil"/>
              <w:left w:val="nil"/>
              <w:bottom w:val="single" w:sz="4" w:space="0" w:color="auto"/>
              <w:right w:val="single" w:sz="4" w:space="0" w:color="auto"/>
            </w:tcBorders>
            <w:shd w:val="clear" w:color="auto" w:fill="auto"/>
            <w:noWrap/>
          </w:tcPr>
          <w:p w14:paraId="50ED248D" w14:textId="1E0CBF4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3.400.324 </w:t>
            </w:r>
          </w:p>
        </w:tc>
      </w:tr>
      <w:tr w:rsidR="0066388E" w:rsidRPr="00E715D6" w14:paraId="24B6D60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ECD03A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N_104</w:t>
            </w:r>
          </w:p>
        </w:tc>
        <w:tc>
          <w:tcPr>
            <w:tcW w:w="5060" w:type="dxa"/>
            <w:tcBorders>
              <w:top w:val="nil"/>
              <w:left w:val="nil"/>
              <w:bottom w:val="single" w:sz="4" w:space="0" w:color="auto"/>
              <w:right w:val="single" w:sz="4" w:space="0" w:color="auto"/>
            </w:tcBorders>
            <w:shd w:val="clear" w:color="auto" w:fill="auto"/>
            <w:noWrap/>
            <w:vAlign w:val="bottom"/>
            <w:hideMark/>
          </w:tcPr>
          <w:p w14:paraId="1A1347A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Pan de Azucar 220-&gt;Don Goyo 220</w:t>
            </w:r>
          </w:p>
        </w:tc>
        <w:tc>
          <w:tcPr>
            <w:tcW w:w="1035" w:type="dxa"/>
            <w:tcBorders>
              <w:top w:val="nil"/>
              <w:left w:val="nil"/>
              <w:bottom w:val="single" w:sz="4" w:space="0" w:color="auto"/>
              <w:right w:val="single" w:sz="4" w:space="0" w:color="auto"/>
            </w:tcBorders>
            <w:shd w:val="clear" w:color="auto" w:fill="auto"/>
            <w:noWrap/>
          </w:tcPr>
          <w:p w14:paraId="70B003D1" w14:textId="6A140A6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1.412.173 </w:t>
            </w:r>
          </w:p>
        </w:tc>
        <w:tc>
          <w:tcPr>
            <w:tcW w:w="891" w:type="dxa"/>
            <w:tcBorders>
              <w:top w:val="nil"/>
              <w:left w:val="nil"/>
              <w:bottom w:val="single" w:sz="4" w:space="0" w:color="auto"/>
              <w:right w:val="single" w:sz="4" w:space="0" w:color="auto"/>
            </w:tcBorders>
            <w:shd w:val="clear" w:color="auto" w:fill="auto"/>
            <w:noWrap/>
          </w:tcPr>
          <w:p w14:paraId="2B8F4D55" w14:textId="1DDFB69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401.603 </w:t>
            </w:r>
          </w:p>
        </w:tc>
        <w:tc>
          <w:tcPr>
            <w:tcW w:w="952" w:type="dxa"/>
            <w:tcBorders>
              <w:top w:val="nil"/>
              <w:left w:val="nil"/>
              <w:bottom w:val="single" w:sz="4" w:space="0" w:color="auto"/>
              <w:right w:val="single" w:sz="4" w:space="0" w:color="auto"/>
            </w:tcBorders>
            <w:shd w:val="clear" w:color="auto" w:fill="auto"/>
            <w:noWrap/>
          </w:tcPr>
          <w:p w14:paraId="339678A4" w14:textId="2A6C4F9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284.391 </w:t>
            </w:r>
          </w:p>
        </w:tc>
        <w:tc>
          <w:tcPr>
            <w:tcW w:w="992" w:type="dxa"/>
            <w:tcBorders>
              <w:top w:val="nil"/>
              <w:left w:val="nil"/>
              <w:bottom w:val="single" w:sz="4" w:space="0" w:color="auto"/>
              <w:right w:val="single" w:sz="4" w:space="0" w:color="auto"/>
            </w:tcBorders>
            <w:shd w:val="clear" w:color="auto" w:fill="auto"/>
            <w:noWrap/>
          </w:tcPr>
          <w:p w14:paraId="2E9EFF59" w14:textId="1835349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2.098.167 </w:t>
            </w:r>
          </w:p>
        </w:tc>
      </w:tr>
      <w:tr w:rsidR="0066388E" w:rsidRPr="00E715D6" w14:paraId="034CC96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53D4BB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N_105</w:t>
            </w:r>
          </w:p>
        </w:tc>
        <w:tc>
          <w:tcPr>
            <w:tcW w:w="5060" w:type="dxa"/>
            <w:tcBorders>
              <w:top w:val="nil"/>
              <w:left w:val="nil"/>
              <w:bottom w:val="single" w:sz="4" w:space="0" w:color="auto"/>
              <w:right w:val="single" w:sz="4" w:space="0" w:color="auto"/>
            </w:tcBorders>
            <w:shd w:val="clear" w:color="auto" w:fill="auto"/>
            <w:noWrap/>
            <w:vAlign w:val="bottom"/>
            <w:hideMark/>
          </w:tcPr>
          <w:p w14:paraId="6B8F8E4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Pan de Azucar 220-&gt;Punta Colorada 220</w:t>
            </w:r>
          </w:p>
        </w:tc>
        <w:tc>
          <w:tcPr>
            <w:tcW w:w="1035" w:type="dxa"/>
            <w:tcBorders>
              <w:top w:val="nil"/>
              <w:left w:val="nil"/>
              <w:bottom w:val="single" w:sz="4" w:space="0" w:color="auto"/>
              <w:right w:val="single" w:sz="4" w:space="0" w:color="auto"/>
            </w:tcBorders>
            <w:shd w:val="clear" w:color="auto" w:fill="auto"/>
            <w:noWrap/>
          </w:tcPr>
          <w:p w14:paraId="7D51A329" w14:textId="4C2E255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1.916.467 </w:t>
            </w:r>
          </w:p>
        </w:tc>
        <w:tc>
          <w:tcPr>
            <w:tcW w:w="891" w:type="dxa"/>
            <w:tcBorders>
              <w:top w:val="nil"/>
              <w:left w:val="nil"/>
              <w:bottom w:val="single" w:sz="4" w:space="0" w:color="auto"/>
              <w:right w:val="single" w:sz="4" w:space="0" w:color="auto"/>
            </w:tcBorders>
            <w:shd w:val="clear" w:color="auto" w:fill="auto"/>
            <w:noWrap/>
          </w:tcPr>
          <w:p w14:paraId="3FED61CB" w14:textId="215B812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568.850 </w:t>
            </w:r>
          </w:p>
        </w:tc>
        <w:tc>
          <w:tcPr>
            <w:tcW w:w="952" w:type="dxa"/>
            <w:tcBorders>
              <w:top w:val="nil"/>
              <w:left w:val="nil"/>
              <w:bottom w:val="single" w:sz="4" w:space="0" w:color="auto"/>
              <w:right w:val="single" w:sz="4" w:space="0" w:color="auto"/>
            </w:tcBorders>
            <w:shd w:val="clear" w:color="auto" w:fill="auto"/>
            <w:noWrap/>
          </w:tcPr>
          <w:p w14:paraId="10CD7301" w14:textId="4E777DE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378.601 </w:t>
            </w:r>
          </w:p>
        </w:tc>
        <w:tc>
          <w:tcPr>
            <w:tcW w:w="992" w:type="dxa"/>
            <w:tcBorders>
              <w:top w:val="nil"/>
              <w:left w:val="nil"/>
              <w:bottom w:val="single" w:sz="4" w:space="0" w:color="auto"/>
              <w:right w:val="single" w:sz="4" w:space="0" w:color="auto"/>
            </w:tcBorders>
            <w:shd w:val="clear" w:color="auto" w:fill="auto"/>
            <w:noWrap/>
          </w:tcPr>
          <w:p w14:paraId="34C1A111" w14:textId="5924F51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2.863.918 </w:t>
            </w:r>
          </w:p>
        </w:tc>
      </w:tr>
      <w:tr w:rsidR="0066388E" w:rsidRPr="00E715D6" w14:paraId="2B3E4B5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3D6CE5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N_106</w:t>
            </w:r>
          </w:p>
        </w:tc>
        <w:tc>
          <w:tcPr>
            <w:tcW w:w="5060" w:type="dxa"/>
            <w:tcBorders>
              <w:top w:val="nil"/>
              <w:left w:val="nil"/>
              <w:bottom w:val="single" w:sz="4" w:space="0" w:color="auto"/>
              <w:right w:val="single" w:sz="4" w:space="0" w:color="auto"/>
            </w:tcBorders>
            <w:shd w:val="clear" w:color="auto" w:fill="auto"/>
            <w:noWrap/>
            <w:vAlign w:val="bottom"/>
            <w:hideMark/>
          </w:tcPr>
          <w:p w14:paraId="52B7486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Pargua 220-&gt;Nueva Ancud 220</w:t>
            </w:r>
          </w:p>
        </w:tc>
        <w:tc>
          <w:tcPr>
            <w:tcW w:w="1035" w:type="dxa"/>
            <w:tcBorders>
              <w:top w:val="nil"/>
              <w:left w:val="nil"/>
              <w:bottom w:val="single" w:sz="4" w:space="0" w:color="auto"/>
              <w:right w:val="single" w:sz="4" w:space="0" w:color="auto"/>
            </w:tcBorders>
            <w:shd w:val="clear" w:color="auto" w:fill="auto"/>
            <w:noWrap/>
          </w:tcPr>
          <w:p w14:paraId="5C61BC55" w14:textId="79DBFAE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741.983 </w:t>
            </w:r>
          </w:p>
        </w:tc>
        <w:tc>
          <w:tcPr>
            <w:tcW w:w="891" w:type="dxa"/>
            <w:tcBorders>
              <w:top w:val="nil"/>
              <w:left w:val="nil"/>
              <w:bottom w:val="single" w:sz="4" w:space="0" w:color="auto"/>
              <w:right w:val="single" w:sz="4" w:space="0" w:color="auto"/>
            </w:tcBorders>
            <w:shd w:val="clear" w:color="auto" w:fill="auto"/>
            <w:noWrap/>
          </w:tcPr>
          <w:p w14:paraId="2C830111" w14:textId="07345D1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135.915 </w:t>
            </w:r>
          </w:p>
        </w:tc>
        <w:tc>
          <w:tcPr>
            <w:tcW w:w="952" w:type="dxa"/>
            <w:tcBorders>
              <w:top w:val="nil"/>
              <w:left w:val="nil"/>
              <w:bottom w:val="single" w:sz="4" w:space="0" w:color="auto"/>
              <w:right w:val="single" w:sz="4" w:space="0" w:color="auto"/>
            </w:tcBorders>
            <w:shd w:val="clear" w:color="auto" w:fill="auto"/>
            <w:noWrap/>
          </w:tcPr>
          <w:p w14:paraId="38CCAA24" w14:textId="7EE2E1A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131.824 </w:t>
            </w:r>
          </w:p>
        </w:tc>
        <w:tc>
          <w:tcPr>
            <w:tcW w:w="992" w:type="dxa"/>
            <w:tcBorders>
              <w:top w:val="nil"/>
              <w:left w:val="nil"/>
              <w:bottom w:val="single" w:sz="4" w:space="0" w:color="auto"/>
              <w:right w:val="single" w:sz="4" w:space="0" w:color="auto"/>
            </w:tcBorders>
            <w:shd w:val="clear" w:color="auto" w:fill="auto"/>
            <w:noWrap/>
          </w:tcPr>
          <w:p w14:paraId="1EA7ED10" w14:textId="60F9039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1.009.722 </w:t>
            </w:r>
          </w:p>
        </w:tc>
      </w:tr>
      <w:tr w:rsidR="0066388E" w:rsidRPr="00E715D6" w14:paraId="734C098D"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DC275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N_107</w:t>
            </w:r>
          </w:p>
        </w:tc>
        <w:tc>
          <w:tcPr>
            <w:tcW w:w="5060" w:type="dxa"/>
            <w:tcBorders>
              <w:top w:val="nil"/>
              <w:left w:val="nil"/>
              <w:bottom w:val="single" w:sz="4" w:space="0" w:color="auto"/>
              <w:right w:val="single" w:sz="4" w:space="0" w:color="auto"/>
            </w:tcBorders>
            <w:shd w:val="clear" w:color="auto" w:fill="auto"/>
            <w:noWrap/>
            <w:vAlign w:val="bottom"/>
            <w:hideMark/>
          </w:tcPr>
          <w:p w14:paraId="0BDED27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Polpaico 220-&gt;Quilapilun 220</w:t>
            </w:r>
          </w:p>
        </w:tc>
        <w:tc>
          <w:tcPr>
            <w:tcW w:w="1035" w:type="dxa"/>
            <w:tcBorders>
              <w:top w:val="nil"/>
              <w:left w:val="nil"/>
              <w:bottom w:val="single" w:sz="4" w:space="0" w:color="auto"/>
              <w:right w:val="single" w:sz="4" w:space="0" w:color="auto"/>
            </w:tcBorders>
            <w:shd w:val="clear" w:color="auto" w:fill="auto"/>
            <w:noWrap/>
          </w:tcPr>
          <w:p w14:paraId="7E3CAAC4" w14:textId="4C0B8C0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1.167.029 </w:t>
            </w:r>
          </w:p>
        </w:tc>
        <w:tc>
          <w:tcPr>
            <w:tcW w:w="891" w:type="dxa"/>
            <w:tcBorders>
              <w:top w:val="nil"/>
              <w:left w:val="nil"/>
              <w:bottom w:val="single" w:sz="4" w:space="0" w:color="auto"/>
              <w:right w:val="single" w:sz="4" w:space="0" w:color="auto"/>
            </w:tcBorders>
            <w:shd w:val="clear" w:color="auto" w:fill="auto"/>
            <w:noWrap/>
          </w:tcPr>
          <w:p w14:paraId="7870205A" w14:textId="7206B52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193.925 </w:t>
            </w:r>
          </w:p>
        </w:tc>
        <w:tc>
          <w:tcPr>
            <w:tcW w:w="952" w:type="dxa"/>
            <w:tcBorders>
              <w:top w:val="nil"/>
              <w:left w:val="nil"/>
              <w:bottom w:val="single" w:sz="4" w:space="0" w:color="auto"/>
              <w:right w:val="single" w:sz="4" w:space="0" w:color="auto"/>
            </w:tcBorders>
            <w:shd w:val="clear" w:color="auto" w:fill="auto"/>
            <w:noWrap/>
          </w:tcPr>
          <w:p w14:paraId="00962658" w14:textId="0660EBF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142.919 </w:t>
            </w:r>
          </w:p>
        </w:tc>
        <w:tc>
          <w:tcPr>
            <w:tcW w:w="992" w:type="dxa"/>
            <w:tcBorders>
              <w:top w:val="nil"/>
              <w:left w:val="nil"/>
              <w:bottom w:val="single" w:sz="4" w:space="0" w:color="auto"/>
              <w:right w:val="single" w:sz="4" w:space="0" w:color="auto"/>
            </w:tcBorders>
            <w:shd w:val="clear" w:color="auto" w:fill="auto"/>
            <w:noWrap/>
          </w:tcPr>
          <w:p w14:paraId="1B49A502" w14:textId="4F4854B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1.503.873 </w:t>
            </w:r>
          </w:p>
        </w:tc>
      </w:tr>
      <w:tr w:rsidR="0066388E" w:rsidRPr="00E715D6" w14:paraId="1F5190A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176B0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N_108</w:t>
            </w:r>
          </w:p>
        </w:tc>
        <w:tc>
          <w:tcPr>
            <w:tcW w:w="5060" w:type="dxa"/>
            <w:tcBorders>
              <w:top w:val="nil"/>
              <w:left w:val="nil"/>
              <w:bottom w:val="single" w:sz="4" w:space="0" w:color="auto"/>
              <w:right w:val="single" w:sz="4" w:space="0" w:color="auto"/>
            </w:tcBorders>
            <w:shd w:val="clear" w:color="auto" w:fill="auto"/>
            <w:noWrap/>
            <w:vAlign w:val="bottom"/>
            <w:hideMark/>
          </w:tcPr>
          <w:p w14:paraId="6871FD6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Polpaico 220-&gt;Rio Aconcagua 220</w:t>
            </w:r>
          </w:p>
        </w:tc>
        <w:tc>
          <w:tcPr>
            <w:tcW w:w="1035" w:type="dxa"/>
            <w:tcBorders>
              <w:top w:val="nil"/>
              <w:left w:val="nil"/>
              <w:bottom w:val="single" w:sz="4" w:space="0" w:color="auto"/>
              <w:right w:val="single" w:sz="4" w:space="0" w:color="auto"/>
            </w:tcBorders>
            <w:shd w:val="clear" w:color="auto" w:fill="auto"/>
            <w:noWrap/>
          </w:tcPr>
          <w:p w14:paraId="78143189" w14:textId="24E7CED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39BD4709" w14:textId="6BF71BC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2D5AFE43" w14:textId="01F2271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16D90997" w14:textId="41D2905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5E58A14C"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726B28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N_109</w:t>
            </w:r>
          </w:p>
        </w:tc>
        <w:tc>
          <w:tcPr>
            <w:tcW w:w="5060" w:type="dxa"/>
            <w:tcBorders>
              <w:top w:val="nil"/>
              <w:left w:val="nil"/>
              <w:bottom w:val="single" w:sz="4" w:space="0" w:color="auto"/>
              <w:right w:val="single" w:sz="4" w:space="0" w:color="auto"/>
            </w:tcBorders>
            <w:shd w:val="clear" w:color="auto" w:fill="auto"/>
            <w:noWrap/>
            <w:vAlign w:val="bottom"/>
            <w:hideMark/>
          </w:tcPr>
          <w:p w14:paraId="429CB64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Polpaico 220-&gt;Tap El Manzano 220</w:t>
            </w:r>
          </w:p>
        </w:tc>
        <w:tc>
          <w:tcPr>
            <w:tcW w:w="1035" w:type="dxa"/>
            <w:tcBorders>
              <w:top w:val="nil"/>
              <w:left w:val="nil"/>
              <w:bottom w:val="single" w:sz="4" w:space="0" w:color="auto"/>
              <w:right w:val="single" w:sz="4" w:space="0" w:color="auto"/>
            </w:tcBorders>
            <w:shd w:val="clear" w:color="auto" w:fill="auto"/>
            <w:noWrap/>
          </w:tcPr>
          <w:p w14:paraId="110A4ABE" w14:textId="45F95F6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620.086 </w:t>
            </w:r>
          </w:p>
        </w:tc>
        <w:tc>
          <w:tcPr>
            <w:tcW w:w="891" w:type="dxa"/>
            <w:tcBorders>
              <w:top w:val="nil"/>
              <w:left w:val="nil"/>
              <w:bottom w:val="single" w:sz="4" w:space="0" w:color="auto"/>
              <w:right w:val="single" w:sz="4" w:space="0" w:color="auto"/>
            </w:tcBorders>
            <w:shd w:val="clear" w:color="auto" w:fill="auto"/>
            <w:noWrap/>
          </w:tcPr>
          <w:p w14:paraId="52E2194A" w14:textId="0ACD1F6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87.693 </w:t>
            </w:r>
          </w:p>
        </w:tc>
        <w:tc>
          <w:tcPr>
            <w:tcW w:w="952" w:type="dxa"/>
            <w:tcBorders>
              <w:top w:val="nil"/>
              <w:left w:val="nil"/>
              <w:bottom w:val="single" w:sz="4" w:space="0" w:color="auto"/>
              <w:right w:val="single" w:sz="4" w:space="0" w:color="auto"/>
            </w:tcBorders>
            <w:shd w:val="clear" w:color="auto" w:fill="auto"/>
            <w:noWrap/>
          </w:tcPr>
          <w:p w14:paraId="46F1038C" w14:textId="7A3A5C0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113.818 </w:t>
            </w:r>
          </w:p>
        </w:tc>
        <w:tc>
          <w:tcPr>
            <w:tcW w:w="992" w:type="dxa"/>
            <w:tcBorders>
              <w:top w:val="nil"/>
              <w:left w:val="nil"/>
              <w:bottom w:val="single" w:sz="4" w:space="0" w:color="auto"/>
              <w:right w:val="single" w:sz="4" w:space="0" w:color="auto"/>
            </w:tcBorders>
            <w:shd w:val="clear" w:color="auto" w:fill="auto"/>
            <w:noWrap/>
          </w:tcPr>
          <w:p w14:paraId="2721FFA2" w14:textId="2BE864F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821.597 </w:t>
            </w:r>
          </w:p>
        </w:tc>
      </w:tr>
      <w:tr w:rsidR="0066388E" w:rsidRPr="00E715D6" w14:paraId="1800CE39"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30CA5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N_110</w:t>
            </w:r>
          </w:p>
        </w:tc>
        <w:tc>
          <w:tcPr>
            <w:tcW w:w="5060" w:type="dxa"/>
            <w:tcBorders>
              <w:top w:val="nil"/>
              <w:left w:val="nil"/>
              <w:bottom w:val="single" w:sz="4" w:space="0" w:color="auto"/>
              <w:right w:val="single" w:sz="4" w:space="0" w:color="auto"/>
            </w:tcBorders>
            <w:shd w:val="clear" w:color="auto" w:fill="auto"/>
            <w:noWrap/>
            <w:vAlign w:val="bottom"/>
            <w:hideMark/>
          </w:tcPr>
          <w:p w14:paraId="2FCF040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Polpaico 500-&gt;Lo Aguirre 500</w:t>
            </w:r>
          </w:p>
        </w:tc>
        <w:tc>
          <w:tcPr>
            <w:tcW w:w="1035" w:type="dxa"/>
            <w:tcBorders>
              <w:top w:val="nil"/>
              <w:left w:val="nil"/>
              <w:bottom w:val="single" w:sz="4" w:space="0" w:color="auto"/>
              <w:right w:val="single" w:sz="4" w:space="0" w:color="auto"/>
            </w:tcBorders>
            <w:shd w:val="clear" w:color="auto" w:fill="auto"/>
            <w:noWrap/>
          </w:tcPr>
          <w:p w14:paraId="33DA88FD" w14:textId="0D75054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2.342.376 </w:t>
            </w:r>
          </w:p>
        </w:tc>
        <w:tc>
          <w:tcPr>
            <w:tcW w:w="891" w:type="dxa"/>
            <w:tcBorders>
              <w:top w:val="nil"/>
              <w:left w:val="nil"/>
              <w:bottom w:val="single" w:sz="4" w:space="0" w:color="auto"/>
              <w:right w:val="single" w:sz="4" w:space="0" w:color="auto"/>
            </w:tcBorders>
            <w:shd w:val="clear" w:color="auto" w:fill="auto"/>
            <w:noWrap/>
          </w:tcPr>
          <w:p w14:paraId="61C622D5" w14:textId="5D57860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336.528 </w:t>
            </w:r>
          </w:p>
        </w:tc>
        <w:tc>
          <w:tcPr>
            <w:tcW w:w="952" w:type="dxa"/>
            <w:tcBorders>
              <w:top w:val="nil"/>
              <w:left w:val="nil"/>
              <w:bottom w:val="single" w:sz="4" w:space="0" w:color="auto"/>
              <w:right w:val="single" w:sz="4" w:space="0" w:color="auto"/>
            </w:tcBorders>
            <w:shd w:val="clear" w:color="auto" w:fill="auto"/>
            <w:noWrap/>
          </w:tcPr>
          <w:p w14:paraId="093325D1" w14:textId="01BE68B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451.364 </w:t>
            </w:r>
          </w:p>
        </w:tc>
        <w:tc>
          <w:tcPr>
            <w:tcW w:w="992" w:type="dxa"/>
            <w:tcBorders>
              <w:top w:val="nil"/>
              <w:left w:val="nil"/>
              <w:bottom w:val="single" w:sz="4" w:space="0" w:color="auto"/>
              <w:right w:val="single" w:sz="4" w:space="0" w:color="auto"/>
            </w:tcBorders>
            <w:shd w:val="clear" w:color="auto" w:fill="auto"/>
            <w:noWrap/>
          </w:tcPr>
          <w:p w14:paraId="0A3E6DA3" w14:textId="00C496C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3.130.269 </w:t>
            </w:r>
          </w:p>
        </w:tc>
      </w:tr>
      <w:tr w:rsidR="0066388E" w:rsidRPr="00E715D6" w14:paraId="1A34F43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1F4298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N_111</w:t>
            </w:r>
          </w:p>
        </w:tc>
        <w:tc>
          <w:tcPr>
            <w:tcW w:w="5060" w:type="dxa"/>
            <w:tcBorders>
              <w:top w:val="nil"/>
              <w:left w:val="nil"/>
              <w:bottom w:val="single" w:sz="4" w:space="0" w:color="auto"/>
              <w:right w:val="single" w:sz="4" w:space="0" w:color="auto"/>
            </w:tcBorders>
            <w:shd w:val="clear" w:color="auto" w:fill="auto"/>
            <w:noWrap/>
            <w:vAlign w:val="bottom"/>
            <w:hideMark/>
          </w:tcPr>
          <w:p w14:paraId="3EEA5BE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Polpaico 500-&gt;Polpaico 220</w:t>
            </w:r>
          </w:p>
        </w:tc>
        <w:tc>
          <w:tcPr>
            <w:tcW w:w="1035" w:type="dxa"/>
            <w:tcBorders>
              <w:top w:val="nil"/>
              <w:left w:val="nil"/>
              <w:bottom w:val="single" w:sz="4" w:space="0" w:color="auto"/>
              <w:right w:val="single" w:sz="4" w:space="0" w:color="auto"/>
            </w:tcBorders>
            <w:shd w:val="clear" w:color="auto" w:fill="auto"/>
            <w:noWrap/>
          </w:tcPr>
          <w:p w14:paraId="3FD3FBB1" w14:textId="10D8A5F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1.261.606 </w:t>
            </w:r>
          </w:p>
        </w:tc>
        <w:tc>
          <w:tcPr>
            <w:tcW w:w="891" w:type="dxa"/>
            <w:tcBorders>
              <w:top w:val="nil"/>
              <w:left w:val="nil"/>
              <w:bottom w:val="single" w:sz="4" w:space="0" w:color="auto"/>
              <w:right w:val="single" w:sz="4" w:space="0" w:color="auto"/>
            </w:tcBorders>
            <w:shd w:val="clear" w:color="auto" w:fill="auto"/>
            <w:noWrap/>
          </w:tcPr>
          <w:p w14:paraId="426B822D" w14:textId="6263A72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140.453 </w:t>
            </w:r>
          </w:p>
        </w:tc>
        <w:tc>
          <w:tcPr>
            <w:tcW w:w="952" w:type="dxa"/>
            <w:tcBorders>
              <w:top w:val="nil"/>
              <w:left w:val="nil"/>
              <w:bottom w:val="single" w:sz="4" w:space="0" w:color="auto"/>
              <w:right w:val="single" w:sz="4" w:space="0" w:color="auto"/>
            </w:tcBorders>
            <w:shd w:val="clear" w:color="auto" w:fill="auto"/>
            <w:noWrap/>
          </w:tcPr>
          <w:p w14:paraId="316DE020" w14:textId="2410534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146.303 </w:t>
            </w:r>
          </w:p>
        </w:tc>
        <w:tc>
          <w:tcPr>
            <w:tcW w:w="992" w:type="dxa"/>
            <w:tcBorders>
              <w:top w:val="nil"/>
              <w:left w:val="nil"/>
              <w:bottom w:val="single" w:sz="4" w:space="0" w:color="auto"/>
              <w:right w:val="single" w:sz="4" w:space="0" w:color="auto"/>
            </w:tcBorders>
            <w:shd w:val="clear" w:color="auto" w:fill="auto"/>
            <w:noWrap/>
          </w:tcPr>
          <w:p w14:paraId="5F3BF50E" w14:textId="2156804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1.548.362 </w:t>
            </w:r>
          </w:p>
        </w:tc>
      </w:tr>
      <w:tr w:rsidR="0066388E" w:rsidRPr="00E715D6" w14:paraId="75EDDDE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C8A1C4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N_112</w:t>
            </w:r>
          </w:p>
        </w:tc>
        <w:tc>
          <w:tcPr>
            <w:tcW w:w="5060" w:type="dxa"/>
            <w:tcBorders>
              <w:top w:val="nil"/>
              <w:left w:val="nil"/>
              <w:bottom w:val="single" w:sz="4" w:space="0" w:color="auto"/>
              <w:right w:val="single" w:sz="4" w:space="0" w:color="auto"/>
            </w:tcBorders>
            <w:shd w:val="clear" w:color="auto" w:fill="auto"/>
            <w:noWrap/>
            <w:vAlign w:val="bottom"/>
            <w:hideMark/>
          </w:tcPr>
          <w:p w14:paraId="596AB28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Pozo Almonte 220-&gt;Nueva Pozo Almonte 220</w:t>
            </w:r>
          </w:p>
        </w:tc>
        <w:tc>
          <w:tcPr>
            <w:tcW w:w="1035" w:type="dxa"/>
            <w:tcBorders>
              <w:top w:val="nil"/>
              <w:left w:val="nil"/>
              <w:bottom w:val="single" w:sz="4" w:space="0" w:color="auto"/>
              <w:right w:val="single" w:sz="4" w:space="0" w:color="auto"/>
            </w:tcBorders>
            <w:shd w:val="clear" w:color="auto" w:fill="auto"/>
            <w:noWrap/>
          </w:tcPr>
          <w:p w14:paraId="6D4F681D" w14:textId="0E83652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436.096 </w:t>
            </w:r>
          </w:p>
        </w:tc>
        <w:tc>
          <w:tcPr>
            <w:tcW w:w="891" w:type="dxa"/>
            <w:tcBorders>
              <w:top w:val="nil"/>
              <w:left w:val="nil"/>
              <w:bottom w:val="single" w:sz="4" w:space="0" w:color="auto"/>
              <w:right w:val="single" w:sz="4" w:space="0" w:color="auto"/>
            </w:tcBorders>
            <w:shd w:val="clear" w:color="auto" w:fill="auto"/>
            <w:noWrap/>
          </w:tcPr>
          <w:p w14:paraId="1A5A0B89" w14:textId="61CC68B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54.505 </w:t>
            </w:r>
          </w:p>
        </w:tc>
        <w:tc>
          <w:tcPr>
            <w:tcW w:w="952" w:type="dxa"/>
            <w:tcBorders>
              <w:top w:val="nil"/>
              <w:left w:val="nil"/>
              <w:bottom w:val="single" w:sz="4" w:space="0" w:color="auto"/>
              <w:right w:val="single" w:sz="4" w:space="0" w:color="auto"/>
            </w:tcBorders>
            <w:shd w:val="clear" w:color="auto" w:fill="auto"/>
            <w:noWrap/>
          </w:tcPr>
          <w:p w14:paraId="0B7948EF" w14:textId="79D98B9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130.894 </w:t>
            </w:r>
          </w:p>
        </w:tc>
        <w:tc>
          <w:tcPr>
            <w:tcW w:w="992" w:type="dxa"/>
            <w:tcBorders>
              <w:top w:val="nil"/>
              <w:left w:val="nil"/>
              <w:bottom w:val="single" w:sz="4" w:space="0" w:color="auto"/>
              <w:right w:val="single" w:sz="4" w:space="0" w:color="auto"/>
            </w:tcBorders>
            <w:shd w:val="clear" w:color="auto" w:fill="auto"/>
            <w:noWrap/>
          </w:tcPr>
          <w:p w14:paraId="46EFBB36" w14:textId="29CC332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621.495 </w:t>
            </w:r>
          </w:p>
        </w:tc>
      </w:tr>
      <w:tr w:rsidR="0066388E" w:rsidRPr="00E715D6" w14:paraId="6E22BA9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166FE9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N_113</w:t>
            </w:r>
          </w:p>
        </w:tc>
        <w:tc>
          <w:tcPr>
            <w:tcW w:w="5060" w:type="dxa"/>
            <w:tcBorders>
              <w:top w:val="nil"/>
              <w:left w:val="nil"/>
              <w:bottom w:val="single" w:sz="4" w:space="0" w:color="auto"/>
              <w:right w:val="single" w:sz="4" w:space="0" w:color="auto"/>
            </w:tcBorders>
            <w:shd w:val="clear" w:color="auto" w:fill="auto"/>
            <w:noWrap/>
            <w:vAlign w:val="bottom"/>
            <w:hideMark/>
          </w:tcPr>
          <w:p w14:paraId="2741197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Puente Negro 220-&gt;Colbun 220</w:t>
            </w:r>
          </w:p>
        </w:tc>
        <w:tc>
          <w:tcPr>
            <w:tcW w:w="1035" w:type="dxa"/>
            <w:tcBorders>
              <w:top w:val="nil"/>
              <w:left w:val="nil"/>
              <w:bottom w:val="single" w:sz="4" w:space="0" w:color="auto"/>
              <w:right w:val="single" w:sz="4" w:space="0" w:color="auto"/>
            </w:tcBorders>
            <w:shd w:val="clear" w:color="auto" w:fill="auto"/>
            <w:noWrap/>
          </w:tcPr>
          <w:p w14:paraId="077A5EFF" w14:textId="19D28A2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5.751.610 </w:t>
            </w:r>
          </w:p>
        </w:tc>
        <w:tc>
          <w:tcPr>
            <w:tcW w:w="891" w:type="dxa"/>
            <w:tcBorders>
              <w:top w:val="nil"/>
              <w:left w:val="nil"/>
              <w:bottom w:val="single" w:sz="4" w:space="0" w:color="auto"/>
              <w:right w:val="single" w:sz="4" w:space="0" w:color="auto"/>
            </w:tcBorders>
            <w:shd w:val="clear" w:color="auto" w:fill="auto"/>
            <w:noWrap/>
          </w:tcPr>
          <w:p w14:paraId="7C9B06AB" w14:textId="3D09C13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1.062.867 </w:t>
            </w:r>
          </w:p>
        </w:tc>
        <w:tc>
          <w:tcPr>
            <w:tcW w:w="952" w:type="dxa"/>
            <w:tcBorders>
              <w:top w:val="nil"/>
              <w:left w:val="nil"/>
              <w:bottom w:val="single" w:sz="4" w:space="0" w:color="auto"/>
              <w:right w:val="single" w:sz="4" w:space="0" w:color="auto"/>
            </w:tcBorders>
            <w:shd w:val="clear" w:color="auto" w:fill="auto"/>
            <w:noWrap/>
          </w:tcPr>
          <w:p w14:paraId="625BCA80" w14:textId="3A475CA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830.730 </w:t>
            </w:r>
          </w:p>
        </w:tc>
        <w:tc>
          <w:tcPr>
            <w:tcW w:w="992" w:type="dxa"/>
            <w:tcBorders>
              <w:top w:val="nil"/>
              <w:left w:val="nil"/>
              <w:bottom w:val="single" w:sz="4" w:space="0" w:color="auto"/>
              <w:right w:val="single" w:sz="4" w:space="0" w:color="auto"/>
            </w:tcBorders>
            <w:shd w:val="clear" w:color="auto" w:fill="auto"/>
            <w:noWrap/>
          </w:tcPr>
          <w:p w14:paraId="76747E6B" w14:textId="5EB9AF6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7.645.207 </w:t>
            </w:r>
          </w:p>
        </w:tc>
      </w:tr>
      <w:tr w:rsidR="0066388E" w:rsidRPr="00E715D6" w14:paraId="680A622C"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5E210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N_114</w:t>
            </w:r>
          </w:p>
        </w:tc>
        <w:tc>
          <w:tcPr>
            <w:tcW w:w="5060" w:type="dxa"/>
            <w:tcBorders>
              <w:top w:val="nil"/>
              <w:left w:val="nil"/>
              <w:bottom w:val="single" w:sz="4" w:space="0" w:color="auto"/>
              <w:right w:val="single" w:sz="4" w:space="0" w:color="auto"/>
            </w:tcBorders>
            <w:shd w:val="clear" w:color="auto" w:fill="auto"/>
            <w:noWrap/>
            <w:vAlign w:val="bottom"/>
            <w:hideMark/>
          </w:tcPr>
          <w:p w14:paraId="4725FD7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Puente Negro 220-&gt;Tinguiririca 220</w:t>
            </w:r>
          </w:p>
        </w:tc>
        <w:tc>
          <w:tcPr>
            <w:tcW w:w="1035" w:type="dxa"/>
            <w:tcBorders>
              <w:top w:val="nil"/>
              <w:left w:val="nil"/>
              <w:bottom w:val="single" w:sz="4" w:space="0" w:color="auto"/>
              <w:right w:val="single" w:sz="4" w:space="0" w:color="auto"/>
            </w:tcBorders>
            <w:shd w:val="clear" w:color="auto" w:fill="auto"/>
            <w:noWrap/>
          </w:tcPr>
          <w:p w14:paraId="17794B45" w14:textId="148A181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234960C6" w14:textId="10CB343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51124314" w14:textId="5E9F50F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44A4241E" w14:textId="20F0E60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66372DC0"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165129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N_115</w:t>
            </w:r>
          </w:p>
        </w:tc>
        <w:tc>
          <w:tcPr>
            <w:tcW w:w="5060" w:type="dxa"/>
            <w:tcBorders>
              <w:top w:val="nil"/>
              <w:left w:val="nil"/>
              <w:bottom w:val="single" w:sz="4" w:space="0" w:color="auto"/>
              <w:right w:val="single" w:sz="4" w:space="0" w:color="auto"/>
            </w:tcBorders>
            <w:shd w:val="clear" w:color="auto" w:fill="auto"/>
            <w:noWrap/>
            <w:vAlign w:val="bottom"/>
            <w:hideMark/>
          </w:tcPr>
          <w:p w14:paraId="4D8623A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Puerto Montt 220-&gt;Llanquihue 220</w:t>
            </w:r>
          </w:p>
        </w:tc>
        <w:tc>
          <w:tcPr>
            <w:tcW w:w="1035" w:type="dxa"/>
            <w:tcBorders>
              <w:top w:val="nil"/>
              <w:left w:val="nil"/>
              <w:bottom w:val="single" w:sz="4" w:space="0" w:color="auto"/>
              <w:right w:val="single" w:sz="4" w:space="0" w:color="auto"/>
            </w:tcBorders>
            <w:shd w:val="clear" w:color="auto" w:fill="auto"/>
            <w:noWrap/>
          </w:tcPr>
          <w:p w14:paraId="2E13D6B4" w14:textId="54B6328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292.823 </w:t>
            </w:r>
          </w:p>
        </w:tc>
        <w:tc>
          <w:tcPr>
            <w:tcW w:w="891" w:type="dxa"/>
            <w:tcBorders>
              <w:top w:val="nil"/>
              <w:left w:val="nil"/>
              <w:bottom w:val="single" w:sz="4" w:space="0" w:color="auto"/>
              <w:right w:val="single" w:sz="4" w:space="0" w:color="auto"/>
            </w:tcBorders>
            <w:shd w:val="clear" w:color="auto" w:fill="auto"/>
            <w:noWrap/>
          </w:tcPr>
          <w:p w14:paraId="4A2080F8" w14:textId="6CBE1D0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97.465 </w:t>
            </w:r>
          </w:p>
        </w:tc>
        <w:tc>
          <w:tcPr>
            <w:tcW w:w="952" w:type="dxa"/>
            <w:tcBorders>
              <w:top w:val="nil"/>
              <w:left w:val="nil"/>
              <w:bottom w:val="single" w:sz="4" w:space="0" w:color="auto"/>
              <w:right w:val="single" w:sz="4" w:space="0" w:color="auto"/>
            </w:tcBorders>
            <w:shd w:val="clear" w:color="auto" w:fill="auto"/>
            <w:noWrap/>
          </w:tcPr>
          <w:p w14:paraId="5C00922B" w14:textId="546D165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44.296 </w:t>
            </w:r>
          </w:p>
        </w:tc>
        <w:tc>
          <w:tcPr>
            <w:tcW w:w="992" w:type="dxa"/>
            <w:tcBorders>
              <w:top w:val="nil"/>
              <w:left w:val="nil"/>
              <w:bottom w:val="single" w:sz="4" w:space="0" w:color="auto"/>
              <w:right w:val="single" w:sz="4" w:space="0" w:color="auto"/>
            </w:tcBorders>
            <w:shd w:val="clear" w:color="auto" w:fill="auto"/>
            <w:noWrap/>
          </w:tcPr>
          <w:p w14:paraId="1CF460ED" w14:textId="77FE343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434.584 </w:t>
            </w:r>
          </w:p>
        </w:tc>
      </w:tr>
      <w:tr w:rsidR="0066388E" w:rsidRPr="00E715D6" w14:paraId="656EBA7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DE30DC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N_116</w:t>
            </w:r>
          </w:p>
        </w:tc>
        <w:tc>
          <w:tcPr>
            <w:tcW w:w="5060" w:type="dxa"/>
            <w:tcBorders>
              <w:top w:val="nil"/>
              <w:left w:val="nil"/>
              <w:bottom w:val="single" w:sz="4" w:space="0" w:color="auto"/>
              <w:right w:val="single" w:sz="4" w:space="0" w:color="auto"/>
            </w:tcBorders>
            <w:shd w:val="clear" w:color="auto" w:fill="auto"/>
            <w:noWrap/>
            <w:vAlign w:val="bottom"/>
            <w:hideMark/>
          </w:tcPr>
          <w:p w14:paraId="3A9505E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Punta Sierra 220-&gt;La Cebada 220</w:t>
            </w:r>
          </w:p>
        </w:tc>
        <w:tc>
          <w:tcPr>
            <w:tcW w:w="1035" w:type="dxa"/>
            <w:tcBorders>
              <w:top w:val="nil"/>
              <w:left w:val="nil"/>
              <w:bottom w:val="single" w:sz="4" w:space="0" w:color="auto"/>
              <w:right w:val="single" w:sz="4" w:space="0" w:color="auto"/>
            </w:tcBorders>
            <w:shd w:val="clear" w:color="auto" w:fill="auto"/>
            <w:noWrap/>
          </w:tcPr>
          <w:p w14:paraId="02114592" w14:textId="6E25CF1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261.792 </w:t>
            </w:r>
          </w:p>
        </w:tc>
        <w:tc>
          <w:tcPr>
            <w:tcW w:w="891" w:type="dxa"/>
            <w:tcBorders>
              <w:top w:val="nil"/>
              <w:left w:val="nil"/>
              <w:bottom w:val="single" w:sz="4" w:space="0" w:color="auto"/>
              <w:right w:val="single" w:sz="4" w:space="0" w:color="auto"/>
            </w:tcBorders>
            <w:shd w:val="clear" w:color="auto" w:fill="auto"/>
            <w:noWrap/>
          </w:tcPr>
          <w:p w14:paraId="6BA697CD" w14:textId="3B86665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78.409 </w:t>
            </w:r>
          </w:p>
        </w:tc>
        <w:tc>
          <w:tcPr>
            <w:tcW w:w="952" w:type="dxa"/>
            <w:tcBorders>
              <w:top w:val="nil"/>
              <w:left w:val="nil"/>
              <w:bottom w:val="single" w:sz="4" w:space="0" w:color="auto"/>
              <w:right w:val="single" w:sz="4" w:space="0" w:color="auto"/>
            </w:tcBorders>
            <w:shd w:val="clear" w:color="auto" w:fill="auto"/>
            <w:noWrap/>
          </w:tcPr>
          <w:p w14:paraId="711A824B" w14:textId="2E101DD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62.168 </w:t>
            </w:r>
          </w:p>
        </w:tc>
        <w:tc>
          <w:tcPr>
            <w:tcW w:w="992" w:type="dxa"/>
            <w:tcBorders>
              <w:top w:val="nil"/>
              <w:left w:val="nil"/>
              <w:bottom w:val="single" w:sz="4" w:space="0" w:color="auto"/>
              <w:right w:val="single" w:sz="4" w:space="0" w:color="auto"/>
            </w:tcBorders>
            <w:shd w:val="clear" w:color="auto" w:fill="auto"/>
            <w:noWrap/>
          </w:tcPr>
          <w:p w14:paraId="21055A87" w14:textId="3B55E14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402.369 </w:t>
            </w:r>
          </w:p>
        </w:tc>
      </w:tr>
      <w:tr w:rsidR="0066388E" w:rsidRPr="00E715D6" w14:paraId="523C1AB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3F3733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N_117</w:t>
            </w:r>
          </w:p>
        </w:tc>
        <w:tc>
          <w:tcPr>
            <w:tcW w:w="5060" w:type="dxa"/>
            <w:tcBorders>
              <w:top w:val="nil"/>
              <w:left w:val="nil"/>
              <w:bottom w:val="single" w:sz="4" w:space="0" w:color="auto"/>
              <w:right w:val="single" w:sz="4" w:space="0" w:color="auto"/>
            </w:tcBorders>
            <w:shd w:val="clear" w:color="auto" w:fill="auto"/>
            <w:noWrap/>
            <w:vAlign w:val="bottom"/>
            <w:hideMark/>
          </w:tcPr>
          <w:p w14:paraId="0D98E47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Punta Sierra 220-&gt;Las Palmas 220</w:t>
            </w:r>
          </w:p>
        </w:tc>
        <w:tc>
          <w:tcPr>
            <w:tcW w:w="1035" w:type="dxa"/>
            <w:tcBorders>
              <w:top w:val="nil"/>
              <w:left w:val="nil"/>
              <w:bottom w:val="single" w:sz="4" w:space="0" w:color="auto"/>
              <w:right w:val="single" w:sz="4" w:space="0" w:color="auto"/>
            </w:tcBorders>
            <w:shd w:val="clear" w:color="auto" w:fill="auto"/>
            <w:noWrap/>
          </w:tcPr>
          <w:p w14:paraId="3D81AC5B" w14:textId="68B12E2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444.573 </w:t>
            </w:r>
          </w:p>
        </w:tc>
        <w:tc>
          <w:tcPr>
            <w:tcW w:w="891" w:type="dxa"/>
            <w:tcBorders>
              <w:top w:val="nil"/>
              <w:left w:val="nil"/>
              <w:bottom w:val="single" w:sz="4" w:space="0" w:color="auto"/>
              <w:right w:val="single" w:sz="4" w:space="0" w:color="auto"/>
            </w:tcBorders>
            <w:shd w:val="clear" w:color="auto" w:fill="auto"/>
            <w:noWrap/>
          </w:tcPr>
          <w:p w14:paraId="32BDF3F4" w14:textId="7044463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123.615 </w:t>
            </w:r>
          </w:p>
        </w:tc>
        <w:tc>
          <w:tcPr>
            <w:tcW w:w="952" w:type="dxa"/>
            <w:tcBorders>
              <w:top w:val="nil"/>
              <w:left w:val="nil"/>
              <w:bottom w:val="single" w:sz="4" w:space="0" w:color="auto"/>
              <w:right w:val="single" w:sz="4" w:space="0" w:color="auto"/>
            </w:tcBorders>
            <w:shd w:val="clear" w:color="auto" w:fill="auto"/>
            <w:noWrap/>
          </w:tcPr>
          <w:p w14:paraId="3C44A9C3" w14:textId="064680B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90.679 </w:t>
            </w:r>
          </w:p>
        </w:tc>
        <w:tc>
          <w:tcPr>
            <w:tcW w:w="992" w:type="dxa"/>
            <w:tcBorders>
              <w:top w:val="nil"/>
              <w:left w:val="nil"/>
              <w:bottom w:val="single" w:sz="4" w:space="0" w:color="auto"/>
              <w:right w:val="single" w:sz="4" w:space="0" w:color="auto"/>
            </w:tcBorders>
            <w:shd w:val="clear" w:color="auto" w:fill="auto"/>
            <w:noWrap/>
          </w:tcPr>
          <w:p w14:paraId="31317AAD" w14:textId="59C523D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658.866 </w:t>
            </w:r>
          </w:p>
        </w:tc>
      </w:tr>
      <w:tr w:rsidR="0066388E" w:rsidRPr="00E715D6" w14:paraId="1723C0C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6D9861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N_118</w:t>
            </w:r>
          </w:p>
        </w:tc>
        <w:tc>
          <w:tcPr>
            <w:tcW w:w="5060" w:type="dxa"/>
            <w:tcBorders>
              <w:top w:val="nil"/>
              <w:left w:val="nil"/>
              <w:bottom w:val="single" w:sz="4" w:space="0" w:color="auto"/>
              <w:right w:val="single" w:sz="4" w:space="0" w:color="auto"/>
            </w:tcBorders>
            <w:shd w:val="clear" w:color="auto" w:fill="auto"/>
            <w:noWrap/>
            <w:vAlign w:val="bottom"/>
            <w:hideMark/>
          </w:tcPr>
          <w:p w14:paraId="41FB0A1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Quillota 220-&gt;Polpaico 220</w:t>
            </w:r>
          </w:p>
        </w:tc>
        <w:tc>
          <w:tcPr>
            <w:tcW w:w="1035" w:type="dxa"/>
            <w:tcBorders>
              <w:top w:val="nil"/>
              <w:left w:val="nil"/>
              <w:bottom w:val="single" w:sz="4" w:space="0" w:color="auto"/>
              <w:right w:val="single" w:sz="4" w:space="0" w:color="auto"/>
            </w:tcBorders>
            <w:shd w:val="clear" w:color="auto" w:fill="auto"/>
            <w:noWrap/>
          </w:tcPr>
          <w:p w14:paraId="56BFAC83" w14:textId="7AFC680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2.996.262 </w:t>
            </w:r>
          </w:p>
        </w:tc>
        <w:tc>
          <w:tcPr>
            <w:tcW w:w="891" w:type="dxa"/>
            <w:tcBorders>
              <w:top w:val="nil"/>
              <w:left w:val="nil"/>
              <w:bottom w:val="single" w:sz="4" w:space="0" w:color="auto"/>
              <w:right w:val="single" w:sz="4" w:space="0" w:color="auto"/>
            </w:tcBorders>
            <w:shd w:val="clear" w:color="auto" w:fill="auto"/>
            <w:noWrap/>
          </w:tcPr>
          <w:p w14:paraId="1249FD5A" w14:textId="403104C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377.957 </w:t>
            </w:r>
          </w:p>
        </w:tc>
        <w:tc>
          <w:tcPr>
            <w:tcW w:w="952" w:type="dxa"/>
            <w:tcBorders>
              <w:top w:val="nil"/>
              <w:left w:val="nil"/>
              <w:bottom w:val="single" w:sz="4" w:space="0" w:color="auto"/>
              <w:right w:val="single" w:sz="4" w:space="0" w:color="auto"/>
            </w:tcBorders>
            <w:shd w:val="clear" w:color="auto" w:fill="auto"/>
            <w:noWrap/>
          </w:tcPr>
          <w:p w14:paraId="3B891E6B" w14:textId="339228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588.471 </w:t>
            </w:r>
          </w:p>
        </w:tc>
        <w:tc>
          <w:tcPr>
            <w:tcW w:w="992" w:type="dxa"/>
            <w:tcBorders>
              <w:top w:val="nil"/>
              <w:left w:val="nil"/>
              <w:bottom w:val="single" w:sz="4" w:space="0" w:color="auto"/>
              <w:right w:val="single" w:sz="4" w:space="0" w:color="auto"/>
            </w:tcBorders>
            <w:shd w:val="clear" w:color="auto" w:fill="auto"/>
            <w:noWrap/>
          </w:tcPr>
          <w:p w14:paraId="1660B59B" w14:textId="0922020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3.962.690 </w:t>
            </w:r>
          </w:p>
        </w:tc>
      </w:tr>
      <w:tr w:rsidR="0066388E" w:rsidRPr="00E715D6" w14:paraId="36FFA871"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1A707A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N_119</w:t>
            </w:r>
          </w:p>
        </w:tc>
        <w:tc>
          <w:tcPr>
            <w:tcW w:w="5060" w:type="dxa"/>
            <w:tcBorders>
              <w:top w:val="nil"/>
              <w:left w:val="nil"/>
              <w:bottom w:val="single" w:sz="4" w:space="0" w:color="auto"/>
              <w:right w:val="single" w:sz="4" w:space="0" w:color="auto"/>
            </w:tcBorders>
            <w:shd w:val="clear" w:color="auto" w:fill="auto"/>
            <w:noWrap/>
            <w:vAlign w:val="bottom"/>
            <w:hideMark/>
          </w:tcPr>
          <w:p w14:paraId="0FDD737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Quillota 220-&gt;San Luis 220</w:t>
            </w:r>
          </w:p>
        </w:tc>
        <w:tc>
          <w:tcPr>
            <w:tcW w:w="1035" w:type="dxa"/>
            <w:tcBorders>
              <w:top w:val="nil"/>
              <w:left w:val="nil"/>
              <w:bottom w:val="single" w:sz="4" w:space="0" w:color="auto"/>
              <w:right w:val="single" w:sz="4" w:space="0" w:color="auto"/>
            </w:tcBorders>
            <w:shd w:val="clear" w:color="auto" w:fill="auto"/>
            <w:noWrap/>
          </w:tcPr>
          <w:p w14:paraId="3DA2DE31" w14:textId="78B45C0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494.970 </w:t>
            </w:r>
          </w:p>
        </w:tc>
        <w:tc>
          <w:tcPr>
            <w:tcW w:w="891" w:type="dxa"/>
            <w:tcBorders>
              <w:top w:val="nil"/>
              <w:left w:val="nil"/>
              <w:bottom w:val="single" w:sz="4" w:space="0" w:color="auto"/>
              <w:right w:val="single" w:sz="4" w:space="0" w:color="auto"/>
            </w:tcBorders>
            <w:shd w:val="clear" w:color="auto" w:fill="auto"/>
            <w:noWrap/>
          </w:tcPr>
          <w:p w14:paraId="2C32C85B" w14:textId="3A3C173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99.564 </w:t>
            </w:r>
          </w:p>
        </w:tc>
        <w:tc>
          <w:tcPr>
            <w:tcW w:w="952" w:type="dxa"/>
            <w:tcBorders>
              <w:top w:val="nil"/>
              <w:left w:val="nil"/>
              <w:bottom w:val="single" w:sz="4" w:space="0" w:color="auto"/>
              <w:right w:val="single" w:sz="4" w:space="0" w:color="auto"/>
            </w:tcBorders>
            <w:shd w:val="clear" w:color="auto" w:fill="auto"/>
            <w:noWrap/>
          </w:tcPr>
          <w:p w14:paraId="333D1AA2" w14:textId="2E5397B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81.348 </w:t>
            </w:r>
          </w:p>
        </w:tc>
        <w:tc>
          <w:tcPr>
            <w:tcW w:w="992" w:type="dxa"/>
            <w:tcBorders>
              <w:top w:val="nil"/>
              <w:left w:val="nil"/>
              <w:bottom w:val="single" w:sz="4" w:space="0" w:color="auto"/>
              <w:right w:val="single" w:sz="4" w:space="0" w:color="auto"/>
            </w:tcBorders>
            <w:shd w:val="clear" w:color="auto" w:fill="auto"/>
            <w:noWrap/>
          </w:tcPr>
          <w:p w14:paraId="4A338EF2" w14:textId="57EEF4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675.883 </w:t>
            </w:r>
          </w:p>
        </w:tc>
      </w:tr>
      <w:tr w:rsidR="0066388E" w:rsidRPr="00E715D6" w14:paraId="48A65BB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8EDB85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N_120</w:t>
            </w:r>
          </w:p>
        </w:tc>
        <w:tc>
          <w:tcPr>
            <w:tcW w:w="5060" w:type="dxa"/>
            <w:tcBorders>
              <w:top w:val="nil"/>
              <w:left w:val="nil"/>
              <w:bottom w:val="single" w:sz="4" w:space="0" w:color="auto"/>
              <w:right w:val="single" w:sz="4" w:space="0" w:color="auto"/>
            </w:tcBorders>
            <w:shd w:val="clear" w:color="auto" w:fill="auto"/>
            <w:noWrap/>
            <w:vAlign w:val="bottom"/>
            <w:hideMark/>
          </w:tcPr>
          <w:p w14:paraId="22C4B6E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Rahue 220-&gt;Frutillar Norte 220</w:t>
            </w:r>
          </w:p>
        </w:tc>
        <w:tc>
          <w:tcPr>
            <w:tcW w:w="1035" w:type="dxa"/>
            <w:tcBorders>
              <w:top w:val="nil"/>
              <w:left w:val="nil"/>
              <w:bottom w:val="single" w:sz="4" w:space="0" w:color="auto"/>
              <w:right w:val="single" w:sz="4" w:space="0" w:color="auto"/>
            </w:tcBorders>
            <w:shd w:val="clear" w:color="auto" w:fill="auto"/>
            <w:noWrap/>
          </w:tcPr>
          <w:p w14:paraId="6FAA37C0" w14:textId="05203FF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1.031.307 </w:t>
            </w:r>
          </w:p>
        </w:tc>
        <w:tc>
          <w:tcPr>
            <w:tcW w:w="891" w:type="dxa"/>
            <w:tcBorders>
              <w:top w:val="nil"/>
              <w:left w:val="nil"/>
              <w:bottom w:val="single" w:sz="4" w:space="0" w:color="auto"/>
              <w:right w:val="single" w:sz="4" w:space="0" w:color="auto"/>
            </w:tcBorders>
            <w:shd w:val="clear" w:color="auto" w:fill="auto"/>
            <w:noWrap/>
          </w:tcPr>
          <w:p w14:paraId="7029AD8B" w14:textId="4142AD7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319.511 </w:t>
            </w:r>
          </w:p>
        </w:tc>
        <w:tc>
          <w:tcPr>
            <w:tcW w:w="952" w:type="dxa"/>
            <w:tcBorders>
              <w:top w:val="nil"/>
              <w:left w:val="nil"/>
              <w:bottom w:val="single" w:sz="4" w:space="0" w:color="auto"/>
              <w:right w:val="single" w:sz="4" w:space="0" w:color="auto"/>
            </w:tcBorders>
            <w:shd w:val="clear" w:color="auto" w:fill="auto"/>
            <w:noWrap/>
          </w:tcPr>
          <w:p w14:paraId="09F3A3D0" w14:textId="360573B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171.173 </w:t>
            </w:r>
          </w:p>
        </w:tc>
        <w:tc>
          <w:tcPr>
            <w:tcW w:w="992" w:type="dxa"/>
            <w:tcBorders>
              <w:top w:val="nil"/>
              <w:left w:val="nil"/>
              <w:bottom w:val="single" w:sz="4" w:space="0" w:color="auto"/>
              <w:right w:val="single" w:sz="4" w:space="0" w:color="auto"/>
            </w:tcBorders>
            <w:shd w:val="clear" w:color="auto" w:fill="auto"/>
            <w:noWrap/>
          </w:tcPr>
          <w:p w14:paraId="62E00ED8" w14:textId="0A340F6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1.521.991 </w:t>
            </w:r>
          </w:p>
        </w:tc>
      </w:tr>
      <w:tr w:rsidR="0066388E" w:rsidRPr="00E715D6" w14:paraId="6C34E41F"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19873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N_121</w:t>
            </w:r>
          </w:p>
        </w:tc>
        <w:tc>
          <w:tcPr>
            <w:tcW w:w="5060" w:type="dxa"/>
            <w:tcBorders>
              <w:top w:val="nil"/>
              <w:left w:val="nil"/>
              <w:bottom w:val="single" w:sz="4" w:space="0" w:color="auto"/>
              <w:right w:val="single" w:sz="4" w:space="0" w:color="auto"/>
            </w:tcBorders>
            <w:shd w:val="clear" w:color="auto" w:fill="auto"/>
            <w:noWrap/>
            <w:vAlign w:val="bottom"/>
            <w:hideMark/>
          </w:tcPr>
          <w:p w14:paraId="3B656655"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Rahue 220-&gt;Nueva Pichirropulli 220</w:t>
            </w:r>
          </w:p>
        </w:tc>
        <w:tc>
          <w:tcPr>
            <w:tcW w:w="1035" w:type="dxa"/>
            <w:tcBorders>
              <w:top w:val="nil"/>
              <w:left w:val="nil"/>
              <w:bottom w:val="single" w:sz="4" w:space="0" w:color="auto"/>
              <w:right w:val="single" w:sz="4" w:space="0" w:color="auto"/>
            </w:tcBorders>
            <w:shd w:val="clear" w:color="auto" w:fill="auto"/>
            <w:noWrap/>
          </w:tcPr>
          <w:p w14:paraId="3C138F70" w14:textId="0A3F2AC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966.470 </w:t>
            </w:r>
          </w:p>
        </w:tc>
        <w:tc>
          <w:tcPr>
            <w:tcW w:w="891" w:type="dxa"/>
            <w:tcBorders>
              <w:top w:val="nil"/>
              <w:left w:val="nil"/>
              <w:bottom w:val="single" w:sz="4" w:space="0" w:color="auto"/>
              <w:right w:val="single" w:sz="4" w:space="0" w:color="auto"/>
            </w:tcBorders>
            <w:shd w:val="clear" w:color="auto" w:fill="auto"/>
            <w:noWrap/>
          </w:tcPr>
          <w:p w14:paraId="55729D3E" w14:textId="3457BCC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259.949 </w:t>
            </w:r>
          </w:p>
        </w:tc>
        <w:tc>
          <w:tcPr>
            <w:tcW w:w="952" w:type="dxa"/>
            <w:tcBorders>
              <w:top w:val="nil"/>
              <w:left w:val="nil"/>
              <w:bottom w:val="single" w:sz="4" w:space="0" w:color="auto"/>
              <w:right w:val="single" w:sz="4" w:space="0" w:color="auto"/>
            </w:tcBorders>
            <w:shd w:val="clear" w:color="auto" w:fill="auto"/>
            <w:noWrap/>
          </w:tcPr>
          <w:p w14:paraId="29074065" w14:textId="24F2CF0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180.646 </w:t>
            </w:r>
          </w:p>
        </w:tc>
        <w:tc>
          <w:tcPr>
            <w:tcW w:w="992" w:type="dxa"/>
            <w:tcBorders>
              <w:top w:val="nil"/>
              <w:left w:val="nil"/>
              <w:bottom w:val="single" w:sz="4" w:space="0" w:color="auto"/>
              <w:right w:val="single" w:sz="4" w:space="0" w:color="auto"/>
            </w:tcBorders>
            <w:shd w:val="clear" w:color="auto" w:fill="auto"/>
            <w:noWrap/>
          </w:tcPr>
          <w:p w14:paraId="163E399C" w14:textId="11FD0F1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1.407.065 </w:t>
            </w:r>
          </w:p>
        </w:tc>
      </w:tr>
      <w:tr w:rsidR="0066388E" w:rsidRPr="00E715D6" w14:paraId="4C2F19A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2059E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N_122</w:t>
            </w:r>
          </w:p>
        </w:tc>
        <w:tc>
          <w:tcPr>
            <w:tcW w:w="5060" w:type="dxa"/>
            <w:tcBorders>
              <w:top w:val="nil"/>
              <w:left w:val="nil"/>
              <w:bottom w:val="single" w:sz="4" w:space="0" w:color="auto"/>
              <w:right w:val="single" w:sz="4" w:space="0" w:color="auto"/>
            </w:tcBorders>
            <w:shd w:val="clear" w:color="auto" w:fill="auto"/>
            <w:noWrap/>
            <w:vAlign w:val="bottom"/>
            <w:hideMark/>
          </w:tcPr>
          <w:p w14:paraId="2826728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Rio Malleco 220-&gt;Cautin 220</w:t>
            </w:r>
          </w:p>
        </w:tc>
        <w:tc>
          <w:tcPr>
            <w:tcW w:w="1035" w:type="dxa"/>
            <w:tcBorders>
              <w:top w:val="nil"/>
              <w:left w:val="nil"/>
              <w:bottom w:val="single" w:sz="4" w:space="0" w:color="auto"/>
              <w:right w:val="single" w:sz="4" w:space="0" w:color="auto"/>
            </w:tcBorders>
            <w:shd w:val="clear" w:color="auto" w:fill="auto"/>
            <w:noWrap/>
          </w:tcPr>
          <w:p w14:paraId="66036214" w14:textId="3439C7F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2AD68158" w14:textId="27BA29C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022CCBEA" w14:textId="2BE25EB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0B97734D" w14:textId="2659342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789F194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F813D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N_123</w:t>
            </w:r>
          </w:p>
        </w:tc>
        <w:tc>
          <w:tcPr>
            <w:tcW w:w="5060" w:type="dxa"/>
            <w:tcBorders>
              <w:top w:val="nil"/>
              <w:left w:val="nil"/>
              <w:bottom w:val="single" w:sz="4" w:space="0" w:color="auto"/>
              <w:right w:val="single" w:sz="4" w:space="0" w:color="auto"/>
            </w:tcBorders>
            <w:shd w:val="clear" w:color="auto" w:fill="auto"/>
            <w:noWrap/>
            <w:vAlign w:val="bottom"/>
            <w:hideMark/>
          </w:tcPr>
          <w:p w14:paraId="591E1D8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Rio Tolten 220-&gt;Lastarria 220</w:t>
            </w:r>
          </w:p>
        </w:tc>
        <w:tc>
          <w:tcPr>
            <w:tcW w:w="1035" w:type="dxa"/>
            <w:tcBorders>
              <w:top w:val="nil"/>
              <w:left w:val="nil"/>
              <w:bottom w:val="single" w:sz="4" w:space="0" w:color="auto"/>
              <w:right w:val="single" w:sz="4" w:space="0" w:color="auto"/>
            </w:tcBorders>
            <w:shd w:val="clear" w:color="auto" w:fill="auto"/>
            <w:noWrap/>
          </w:tcPr>
          <w:p w14:paraId="735EEE79" w14:textId="47329E8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838.661 </w:t>
            </w:r>
          </w:p>
        </w:tc>
        <w:tc>
          <w:tcPr>
            <w:tcW w:w="891" w:type="dxa"/>
            <w:tcBorders>
              <w:top w:val="nil"/>
              <w:left w:val="nil"/>
              <w:bottom w:val="single" w:sz="4" w:space="0" w:color="auto"/>
              <w:right w:val="single" w:sz="4" w:space="0" w:color="auto"/>
            </w:tcBorders>
            <w:shd w:val="clear" w:color="auto" w:fill="auto"/>
            <w:noWrap/>
          </w:tcPr>
          <w:p w14:paraId="1BEF8787" w14:textId="7BF94DA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210.967 </w:t>
            </w:r>
          </w:p>
        </w:tc>
        <w:tc>
          <w:tcPr>
            <w:tcW w:w="952" w:type="dxa"/>
            <w:tcBorders>
              <w:top w:val="nil"/>
              <w:left w:val="nil"/>
              <w:bottom w:val="single" w:sz="4" w:space="0" w:color="auto"/>
              <w:right w:val="single" w:sz="4" w:space="0" w:color="auto"/>
            </w:tcBorders>
            <w:shd w:val="clear" w:color="auto" w:fill="auto"/>
            <w:noWrap/>
          </w:tcPr>
          <w:p w14:paraId="4F2F0B5A" w14:textId="2624F5F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173.183 </w:t>
            </w:r>
          </w:p>
        </w:tc>
        <w:tc>
          <w:tcPr>
            <w:tcW w:w="992" w:type="dxa"/>
            <w:tcBorders>
              <w:top w:val="nil"/>
              <w:left w:val="nil"/>
              <w:bottom w:val="single" w:sz="4" w:space="0" w:color="auto"/>
              <w:right w:val="single" w:sz="4" w:space="0" w:color="auto"/>
            </w:tcBorders>
            <w:shd w:val="clear" w:color="auto" w:fill="auto"/>
            <w:noWrap/>
          </w:tcPr>
          <w:p w14:paraId="5AD35635" w14:textId="72FD70D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1.222.811 </w:t>
            </w:r>
          </w:p>
        </w:tc>
      </w:tr>
      <w:tr w:rsidR="0066388E" w:rsidRPr="00E715D6" w14:paraId="1CD0C19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A99937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N_124</w:t>
            </w:r>
          </w:p>
        </w:tc>
        <w:tc>
          <w:tcPr>
            <w:tcW w:w="5060" w:type="dxa"/>
            <w:tcBorders>
              <w:top w:val="nil"/>
              <w:left w:val="nil"/>
              <w:bottom w:val="single" w:sz="4" w:space="0" w:color="auto"/>
              <w:right w:val="single" w:sz="4" w:space="0" w:color="auto"/>
            </w:tcBorders>
            <w:shd w:val="clear" w:color="auto" w:fill="auto"/>
            <w:noWrap/>
            <w:vAlign w:val="bottom"/>
            <w:hideMark/>
          </w:tcPr>
          <w:p w14:paraId="40BAC14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Rio Tolten 220-&gt;Metrenco 220</w:t>
            </w:r>
          </w:p>
        </w:tc>
        <w:tc>
          <w:tcPr>
            <w:tcW w:w="1035" w:type="dxa"/>
            <w:tcBorders>
              <w:top w:val="nil"/>
              <w:left w:val="nil"/>
              <w:bottom w:val="single" w:sz="4" w:space="0" w:color="auto"/>
              <w:right w:val="single" w:sz="4" w:space="0" w:color="auto"/>
            </w:tcBorders>
            <w:shd w:val="clear" w:color="auto" w:fill="auto"/>
            <w:noWrap/>
          </w:tcPr>
          <w:p w14:paraId="5794949B" w14:textId="7FDE5C4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370.449 </w:t>
            </w:r>
          </w:p>
        </w:tc>
        <w:tc>
          <w:tcPr>
            <w:tcW w:w="891" w:type="dxa"/>
            <w:tcBorders>
              <w:top w:val="nil"/>
              <w:left w:val="nil"/>
              <w:bottom w:val="single" w:sz="4" w:space="0" w:color="auto"/>
              <w:right w:val="single" w:sz="4" w:space="0" w:color="auto"/>
            </w:tcBorders>
            <w:shd w:val="clear" w:color="auto" w:fill="auto"/>
            <w:noWrap/>
          </w:tcPr>
          <w:p w14:paraId="7A15EEC6" w14:textId="1086823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82.934 </w:t>
            </w:r>
          </w:p>
        </w:tc>
        <w:tc>
          <w:tcPr>
            <w:tcW w:w="952" w:type="dxa"/>
            <w:tcBorders>
              <w:top w:val="nil"/>
              <w:left w:val="nil"/>
              <w:bottom w:val="single" w:sz="4" w:space="0" w:color="auto"/>
              <w:right w:val="single" w:sz="4" w:space="0" w:color="auto"/>
            </w:tcBorders>
            <w:shd w:val="clear" w:color="auto" w:fill="auto"/>
            <w:noWrap/>
          </w:tcPr>
          <w:p w14:paraId="3676146C" w14:textId="133EF01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87.667 </w:t>
            </w:r>
          </w:p>
        </w:tc>
        <w:tc>
          <w:tcPr>
            <w:tcW w:w="992" w:type="dxa"/>
            <w:tcBorders>
              <w:top w:val="nil"/>
              <w:left w:val="nil"/>
              <w:bottom w:val="single" w:sz="4" w:space="0" w:color="auto"/>
              <w:right w:val="single" w:sz="4" w:space="0" w:color="auto"/>
            </w:tcBorders>
            <w:shd w:val="clear" w:color="auto" w:fill="auto"/>
            <w:noWrap/>
          </w:tcPr>
          <w:p w14:paraId="6AFA3BB0" w14:textId="708CA5D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541.050 </w:t>
            </w:r>
          </w:p>
        </w:tc>
      </w:tr>
      <w:tr w:rsidR="0066388E" w:rsidRPr="00E715D6" w14:paraId="6111849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9F215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N_125</w:t>
            </w:r>
          </w:p>
        </w:tc>
        <w:tc>
          <w:tcPr>
            <w:tcW w:w="5060" w:type="dxa"/>
            <w:tcBorders>
              <w:top w:val="nil"/>
              <w:left w:val="nil"/>
              <w:bottom w:val="single" w:sz="4" w:space="0" w:color="auto"/>
              <w:right w:val="single" w:sz="4" w:space="0" w:color="auto"/>
            </w:tcBorders>
            <w:shd w:val="clear" w:color="auto" w:fill="auto"/>
            <w:noWrap/>
            <w:vAlign w:val="bottom"/>
            <w:hideMark/>
          </w:tcPr>
          <w:p w14:paraId="66CDA5A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 San Andres 220-&gt;Cardones 220</w:t>
            </w:r>
          </w:p>
        </w:tc>
        <w:tc>
          <w:tcPr>
            <w:tcW w:w="1035" w:type="dxa"/>
            <w:tcBorders>
              <w:top w:val="nil"/>
              <w:left w:val="nil"/>
              <w:bottom w:val="single" w:sz="4" w:space="0" w:color="auto"/>
              <w:right w:val="single" w:sz="4" w:space="0" w:color="auto"/>
            </w:tcBorders>
            <w:shd w:val="clear" w:color="auto" w:fill="auto"/>
            <w:noWrap/>
          </w:tcPr>
          <w:p w14:paraId="7A598661" w14:textId="5EC26DD6"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743.377 </w:t>
            </w:r>
          </w:p>
        </w:tc>
        <w:tc>
          <w:tcPr>
            <w:tcW w:w="891" w:type="dxa"/>
            <w:tcBorders>
              <w:top w:val="nil"/>
              <w:left w:val="nil"/>
              <w:bottom w:val="single" w:sz="4" w:space="0" w:color="auto"/>
              <w:right w:val="single" w:sz="4" w:space="0" w:color="auto"/>
            </w:tcBorders>
            <w:shd w:val="clear" w:color="auto" w:fill="auto"/>
            <w:noWrap/>
          </w:tcPr>
          <w:p w14:paraId="578541B4" w14:textId="63FC910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282.167 </w:t>
            </w:r>
          </w:p>
        </w:tc>
        <w:tc>
          <w:tcPr>
            <w:tcW w:w="952" w:type="dxa"/>
            <w:tcBorders>
              <w:top w:val="nil"/>
              <w:left w:val="nil"/>
              <w:bottom w:val="single" w:sz="4" w:space="0" w:color="auto"/>
              <w:right w:val="single" w:sz="4" w:space="0" w:color="auto"/>
            </w:tcBorders>
            <w:shd w:val="clear" w:color="auto" w:fill="auto"/>
            <w:noWrap/>
          </w:tcPr>
          <w:p w14:paraId="2E368A02" w14:textId="6B5444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135.903 </w:t>
            </w:r>
          </w:p>
        </w:tc>
        <w:tc>
          <w:tcPr>
            <w:tcW w:w="992" w:type="dxa"/>
            <w:tcBorders>
              <w:top w:val="nil"/>
              <w:left w:val="nil"/>
              <w:bottom w:val="single" w:sz="4" w:space="0" w:color="auto"/>
              <w:right w:val="single" w:sz="4" w:space="0" w:color="auto"/>
            </w:tcBorders>
            <w:shd w:val="clear" w:color="auto" w:fill="auto"/>
            <w:noWrap/>
          </w:tcPr>
          <w:p w14:paraId="7D592C9D" w14:textId="1ACE50B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1.161.448 </w:t>
            </w:r>
          </w:p>
        </w:tc>
      </w:tr>
      <w:tr w:rsidR="0066388E" w:rsidRPr="00E715D6" w14:paraId="5D8EAD2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184A93"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N_126</w:t>
            </w:r>
          </w:p>
        </w:tc>
        <w:tc>
          <w:tcPr>
            <w:tcW w:w="5060" w:type="dxa"/>
            <w:tcBorders>
              <w:top w:val="nil"/>
              <w:left w:val="nil"/>
              <w:bottom w:val="single" w:sz="4" w:space="0" w:color="auto"/>
              <w:right w:val="single" w:sz="4" w:space="0" w:color="auto"/>
            </w:tcBorders>
            <w:shd w:val="clear" w:color="auto" w:fill="auto"/>
            <w:noWrap/>
            <w:vAlign w:val="bottom"/>
            <w:hideMark/>
          </w:tcPr>
          <w:p w14:paraId="56F1F2A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Salar 220-&gt;Calama Nueva 220</w:t>
            </w:r>
          </w:p>
        </w:tc>
        <w:tc>
          <w:tcPr>
            <w:tcW w:w="1035" w:type="dxa"/>
            <w:tcBorders>
              <w:top w:val="nil"/>
              <w:left w:val="nil"/>
              <w:bottom w:val="single" w:sz="4" w:space="0" w:color="auto"/>
              <w:right w:val="single" w:sz="4" w:space="0" w:color="auto"/>
            </w:tcBorders>
            <w:shd w:val="clear" w:color="auto" w:fill="auto"/>
            <w:noWrap/>
          </w:tcPr>
          <w:p w14:paraId="1AF78156" w14:textId="77FB3C3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535.096 </w:t>
            </w:r>
          </w:p>
        </w:tc>
        <w:tc>
          <w:tcPr>
            <w:tcW w:w="891" w:type="dxa"/>
            <w:tcBorders>
              <w:top w:val="nil"/>
              <w:left w:val="nil"/>
              <w:bottom w:val="single" w:sz="4" w:space="0" w:color="auto"/>
              <w:right w:val="single" w:sz="4" w:space="0" w:color="auto"/>
            </w:tcBorders>
            <w:shd w:val="clear" w:color="auto" w:fill="auto"/>
            <w:noWrap/>
          </w:tcPr>
          <w:p w14:paraId="24297358" w14:textId="7C43067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92.574 </w:t>
            </w:r>
          </w:p>
        </w:tc>
        <w:tc>
          <w:tcPr>
            <w:tcW w:w="952" w:type="dxa"/>
            <w:tcBorders>
              <w:top w:val="nil"/>
              <w:left w:val="nil"/>
              <w:bottom w:val="single" w:sz="4" w:space="0" w:color="auto"/>
              <w:right w:val="single" w:sz="4" w:space="0" w:color="auto"/>
            </w:tcBorders>
            <w:shd w:val="clear" w:color="auto" w:fill="auto"/>
            <w:noWrap/>
          </w:tcPr>
          <w:p w14:paraId="653ACC29" w14:textId="325BEB7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98.042 </w:t>
            </w:r>
          </w:p>
        </w:tc>
        <w:tc>
          <w:tcPr>
            <w:tcW w:w="992" w:type="dxa"/>
            <w:tcBorders>
              <w:top w:val="nil"/>
              <w:left w:val="nil"/>
              <w:bottom w:val="single" w:sz="4" w:space="0" w:color="auto"/>
              <w:right w:val="single" w:sz="4" w:space="0" w:color="auto"/>
            </w:tcBorders>
            <w:shd w:val="clear" w:color="auto" w:fill="auto"/>
            <w:noWrap/>
          </w:tcPr>
          <w:p w14:paraId="1BB72EE4" w14:textId="0B64B47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725.712 </w:t>
            </w:r>
          </w:p>
        </w:tc>
      </w:tr>
      <w:tr w:rsidR="0066388E" w:rsidRPr="00E715D6" w14:paraId="03C06C0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969B1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N_127</w:t>
            </w:r>
          </w:p>
        </w:tc>
        <w:tc>
          <w:tcPr>
            <w:tcW w:w="5060" w:type="dxa"/>
            <w:tcBorders>
              <w:top w:val="nil"/>
              <w:left w:val="nil"/>
              <w:bottom w:val="single" w:sz="4" w:space="0" w:color="auto"/>
              <w:right w:val="single" w:sz="4" w:space="0" w:color="auto"/>
            </w:tcBorders>
            <w:shd w:val="clear" w:color="auto" w:fill="auto"/>
            <w:noWrap/>
            <w:vAlign w:val="bottom"/>
            <w:hideMark/>
          </w:tcPr>
          <w:p w14:paraId="3DC7E7D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Salar 220-&gt;Chuquicamata 220</w:t>
            </w:r>
          </w:p>
        </w:tc>
        <w:tc>
          <w:tcPr>
            <w:tcW w:w="1035" w:type="dxa"/>
            <w:tcBorders>
              <w:top w:val="nil"/>
              <w:left w:val="nil"/>
              <w:bottom w:val="single" w:sz="4" w:space="0" w:color="auto"/>
              <w:right w:val="single" w:sz="4" w:space="0" w:color="auto"/>
            </w:tcBorders>
            <w:shd w:val="clear" w:color="auto" w:fill="auto"/>
            <w:noWrap/>
          </w:tcPr>
          <w:p w14:paraId="39151471" w14:textId="316BB4E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634.181 </w:t>
            </w:r>
          </w:p>
        </w:tc>
        <w:tc>
          <w:tcPr>
            <w:tcW w:w="891" w:type="dxa"/>
            <w:tcBorders>
              <w:top w:val="nil"/>
              <w:left w:val="nil"/>
              <w:bottom w:val="single" w:sz="4" w:space="0" w:color="auto"/>
              <w:right w:val="single" w:sz="4" w:space="0" w:color="auto"/>
            </w:tcBorders>
            <w:shd w:val="clear" w:color="auto" w:fill="auto"/>
            <w:noWrap/>
          </w:tcPr>
          <w:p w14:paraId="78BE12E2" w14:textId="0C072DC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84.080 </w:t>
            </w:r>
          </w:p>
        </w:tc>
        <w:tc>
          <w:tcPr>
            <w:tcW w:w="952" w:type="dxa"/>
            <w:tcBorders>
              <w:top w:val="nil"/>
              <w:left w:val="nil"/>
              <w:bottom w:val="single" w:sz="4" w:space="0" w:color="auto"/>
              <w:right w:val="single" w:sz="4" w:space="0" w:color="auto"/>
            </w:tcBorders>
            <w:shd w:val="clear" w:color="auto" w:fill="auto"/>
            <w:noWrap/>
          </w:tcPr>
          <w:p w14:paraId="2EE74E28" w14:textId="0A73DF7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164.857 </w:t>
            </w:r>
          </w:p>
        </w:tc>
        <w:tc>
          <w:tcPr>
            <w:tcW w:w="992" w:type="dxa"/>
            <w:tcBorders>
              <w:top w:val="nil"/>
              <w:left w:val="nil"/>
              <w:bottom w:val="single" w:sz="4" w:space="0" w:color="auto"/>
              <w:right w:val="single" w:sz="4" w:space="0" w:color="auto"/>
            </w:tcBorders>
            <w:shd w:val="clear" w:color="auto" w:fill="auto"/>
            <w:noWrap/>
          </w:tcPr>
          <w:p w14:paraId="7AAE174A" w14:textId="1A4FDC1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883.118 </w:t>
            </w:r>
          </w:p>
        </w:tc>
      </w:tr>
      <w:tr w:rsidR="0066388E" w:rsidRPr="00E715D6" w14:paraId="53221CE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7FCB24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N_128</w:t>
            </w:r>
          </w:p>
        </w:tc>
        <w:tc>
          <w:tcPr>
            <w:tcW w:w="5060" w:type="dxa"/>
            <w:tcBorders>
              <w:top w:val="nil"/>
              <w:left w:val="nil"/>
              <w:bottom w:val="single" w:sz="4" w:space="0" w:color="auto"/>
              <w:right w:val="single" w:sz="4" w:space="0" w:color="auto"/>
            </w:tcBorders>
            <w:shd w:val="clear" w:color="auto" w:fill="auto"/>
            <w:noWrap/>
            <w:vAlign w:val="bottom"/>
            <w:hideMark/>
          </w:tcPr>
          <w:p w14:paraId="04509CC0"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Salar 220-&gt;Nueva Chuquicamata 220</w:t>
            </w:r>
          </w:p>
        </w:tc>
        <w:tc>
          <w:tcPr>
            <w:tcW w:w="1035" w:type="dxa"/>
            <w:tcBorders>
              <w:top w:val="nil"/>
              <w:left w:val="nil"/>
              <w:bottom w:val="single" w:sz="4" w:space="0" w:color="auto"/>
              <w:right w:val="single" w:sz="4" w:space="0" w:color="auto"/>
            </w:tcBorders>
            <w:shd w:val="clear" w:color="auto" w:fill="auto"/>
            <w:noWrap/>
          </w:tcPr>
          <w:p w14:paraId="239A1964" w14:textId="04BA9F9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554.012 </w:t>
            </w:r>
          </w:p>
        </w:tc>
        <w:tc>
          <w:tcPr>
            <w:tcW w:w="891" w:type="dxa"/>
            <w:tcBorders>
              <w:top w:val="nil"/>
              <w:left w:val="nil"/>
              <w:bottom w:val="single" w:sz="4" w:space="0" w:color="auto"/>
              <w:right w:val="single" w:sz="4" w:space="0" w:color="auto"/>
            </w:tcBorders>
            <w:shd w:val="clear" w:color="auto" w:fill="auto"/>
            <w:noWrap/>
          </w:tcPr>
          <w:p w14:paraId="69CCC82C" w14:textId="06884F4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73.634 </w:t>
            </w:r>
          </w:p>
        </w:tc>
        <w:tc>
          <w:tcPr>
            <w:tcW w:w="952" w:type="dxa"/>
            <w:tcBorders>
              <w:top w:val="nil"/>
              <w:left w:val="nil"/>
              <w:bottom w:val="single" w:sz="4" w:space="0" w:color="auto"/>
              <w:right w:val="single" w:sz="4" w:space="0" w:color="auto"/>
            </w:tcBorders>
            <w:shd w:val="clear" w:color="auto" w:fill="auto"/>
            <w:noWrap/>
          </w:tcPr>
          <w:p w14:paraId="70283EAF" w14:textId="365602D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152.544 </w:t>
            </w:r>
          </w:p>
        </w:tc>
        <w:tc>
          <w:tcPr>
            <w:tcW w:w="992" w:type="dxa"/>
            <w:tcBorders>
              <w:top w:val="nil"/>
              <w:left w:val="nil"/>
              <w:bottom w:val="single" w:sz="4" w:space="0" w:color="auto"/>
              <w:right w:val="single" w:sz="4" w:space="0" w:color="auto"/>
            </w:tcBorders>
            <w:shd w:val="clear" w:color="auto" w:fill="auto"/>
            <w:noWrap/>
          </w:tcPr>
          <w:p w14:paraId="52F9C5B2" w14:textId="1CB8378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780.190 </w:t>
            </w:r>
          </w:p>
        </w:tc>
      </w:tr>
      <w:tr w:rsidR="0066388E" w:rsidRPr="00E715D6" w14:paraId="252BF67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EBB783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N_129</w:t>
            </w:r>
          </w:p>
        </w:tc>
        <w:tc>
          <w:tcPr>
            <w:tcW w:w="5060" w:type="dxa"/>
            <w:tcBorders>
              <w:top w:val="nil"/>
              <w:left w:val="nil"/>
              <w:bottom w:val="single" w:sz="4" w:space="0" w:color="auto"/>
              <w:right w:val="single" w:sz="4" w:space="0" w:color="auto"/>
            </w:tcBorders>
            <w:shd w:val="clear" w:color="auto" w:fill="auto"/>
            <w:noWrap/>
            <w:vAlign w:val="bottom"/>
            <w:hideMark/>
          </w:tcPr>
          <w:p w14:paraId="5900064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San Luis 220-&gt;Agua Santa 220</w:t>
            </w:r>
          </w:p>
        </w:tc>
        <w:tc>
          <w:tcPr>
            <w:tcW w:w="1035" w:type="dxa"/>
            <w:tcBorders>
              <w:top w:val="nil"/>
              <w:left w:val="nil"/>
              <w:bottom w:val="single" w:sz="4" w:space="0" w:color="auto"/>
              <w:right w:val="single" w:sz="4" w:space="0" w:color="auto"/>
            </w:tcBorders>
            <w:shd w:val="clear" w:color="auto" w:fill="auto"/>
            <w:noWrap/>
          </w:tcPr>
          <w:p w14:paraId="70FE07B7" w14:textId="62379AD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1.794.684 </w:t>
            </w:r>
          </w:p>
        </w:tc>
        <w:tc>
          <w:tcPr>
            <w:tcW w:w="891" w:type="dxa"/>
            <w:tcBorders>
              <w:top w:val="nil"/>
              <w:left w:val="nil"/>
              <w:bottom w:val="single" w:sz="4" w:space="0" w:color="auto"/>
              <w:right w:val="single" w:sz="4" w:space="0" w:color="auto"/>
            </w:tcBorders>
            <w:shd w:val="clear" w:color="auto" w:fill="auto"/>
            <w:noWrap/>
          </w:tcPr>
          <w:p w14:paraId="5C7AF895" w14:textId="0A3D52E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292.102 </w:t>
            </w:r>
          </w:p>
        </w:tc>
        <w:tc>
          <w:tcPr>
            <w:tcW w:w="952" w:type="dxa"/>
            <w:tcBorders>
              <w:top w:val="nil"/>
              <w:left w:val="nil"/>
              <w:bottom w:val="single" w:sz="4" w:space="0" w:color="auto"/>
              <w:right w:val="single" w:sz="4" w:space="0" w:color="auto"/>
            </w:tcBorders>
            <w:shd w:val="clear" w:color="auto" w:fill="auto"/>
            <w:noWrap/>
          </w:tcPr>
          <w:p w14:paraId="749F44C4" w14:textId="6DA12A7F"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463.662 </w:t>
            </w:r>
          </w:p>
        </w:tc>
        <w:tc>
          <w:tcPr>
            <w:tcW w:w="992" w:type="dxa"/>
            <w:tcBorders>
              <w:top w:val="nil"/>
              <w:left w:val="nil"/>
              <w:bottom w:val="single" w:sz="4" w:space="0" w:color="auto"/>
              <w:right w:val="single" w:sz="4" w:space="0" w:color="auto"/>
            </w:tcBorders>
            <w:shd w:val="clear" w:color="auto" w:fill="auto"/>
            <w:noWrap/>
          </w:tcPr>
          <w:p w14:paraId="1D1E0ED6" w14:textId="5AE8432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2.550.448 </w:t>
            </w:r>
          </w:p>
        </w:tc>
      </w:tr>
      <w:tr w:rsidR="0066388E" w:rsidRPr="00E715D6" w14:paraId="3D79510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9C15F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N_130</w:t>
            </w:r>
          </w:p>
        </w:tc>
        <w:tc>
          <w:tcPr>
            <w:tcW w:w="5060" w:type="dxa"/>
            <w:tcBorders>
              <w:top w:val="nil"/>
              <w:left w:val="nil"/>
              <w:bottom w:val="single" w:sz="4" w:space="0" w:color="auto"/>
              <w:right w:val="single" w:sz="4" w:space="0" w:color="auto"/>
            </w:tcBorders>
            <w:shd w:val="clear" w:color="auto" w:fill="auto"/>
            <w:noWrap/>
            <w:vAlign w:val="bottom"/>
            <w:hideMark/>
          </w:tcPr>
          <w:p w14:paraId="5902940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San Simon 220-&gt;Nueva Victoria 220</w:t>
            </w:r>
          </w:p>
        </w:tc>
        <w:tc>
          <w:tcPr>
            <w:tcW w:w="1035" w:type="dxa"/>
            <w:tcBorders>
              <w:top w:val="nil"/>
              <w:left w:val="nil"/>
              <w:bottom w:val="single" w:sz="4" w:space="0" w:color="auto"/>
              <w:right w:val="single" w:sz="4" w:space="0" w:color="auto"/>
            </w:tcBorders>
            <w:shd w:val="clear" w:color="auto" w:fill="auto"/>
            <w:noWrap/>
          </w:tcPr>
          <w:p w14:paraId="52F64D80" w14:textId="1B64C9C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297.892 </w:t>
            </w:r>
          </w:p>
        </w:tc>
        <w:tc>
          <w:tcPr>
            <w:tcW w:w="891" w:type="dxa"/>
            <w:tcBorders>
              <w:top w:val="nil"/>
              <w:left w:val="nil"/>
              <w:bottom w:val="single" w:sz="4" w:space="0" w:color="auto"/>
              <w:right w:val="single" w:sz="4" w:space="0" w:color="auto"/>
            </w:tcBorders>
            <w:shd w:val="clear" w:color="auto" w:fill="auto"/>
            <w:noWrap/>
          </w:tcPr>
          <w:p w14:paraId="4E0809BB" w14:textId="049D508E"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102.849 </w:t>
            </w:r>
          </w:p>
        </w:tc>
        <w:tc>
          <w:tcPr>
            <w:tcW w:w="952" w:type="dxa"/>
            <w:tcBorders>
              <w:top w:val="nil"/>
              <w:left w:val="nil"/>
              <w:bottom w:val="single" w:sz="4" w:space="0" w:color="auto"/>
              <w:right w:val="single" w:sz="4" w:space="0" w:color="auto"/>
            </w:tcBorders>
            <w:shd w:val="clear" w:color="auto" w:fill="auto"/>
            <w:noWrap/>
          </w:tcPr>
          <w:p w14:paraId="256A29CB" w14:textId="2227FDBA"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57.418 </w:t>
            </w:r>
          </w:p>
        </w:tc>
        <w:tc>
          <w:tcPr>
            <w:tcW w:w="992" w:type="dxa"/>
            <w:tcBorders>
              <w:top w:val="nil"/>
              <w:left w:val="nil"/>
              <w:bottom w:val="single" w:sz="4" w:space="0" w:color="auto"/>
              <w:right w:val="single" w:sz="4" w:space="0" w:color="auto"/>
            </w:tcBorders>
            <w:shd w:val="clear" w:color="auto" w:fill="auto"/>
            <w:noWrap/>
          </w:tcPr>
          <w:p w14:paraId="74D228EF" w14:textId="733D8D8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458.159 </w:t>
            </w:r>
          </w:p>
        </w:tc>
      </w:tr>
      <w:tr w:rsidR="0066388E" w:rsidRPr="00E715D6" w14:paraId="27920BF3"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25A10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N_131</w:t>
            </w:r>
          </w:p>
        </w:tc>
        <w:tc>
          <w:tcPr>
            <w:tcW w:w="5060" w:type="dxa"/>
            <w:tcBorders>
              <w:top w:val="nil"/>
              <w:left w:val="nil"/>
              <w:bottom w:val="single" w:sz="4" w:space="0" w:color="auto"/>
              <w:right w:val="single" w:sz="4" w:space="0" w:color="auto"/>
            </w:tcBorders>
            <w:shd w:val="clear" w:color="auto" w:fill="auto"/>
            <w:noWrap/>
            <w:vAlign w:val="bottom"/>
            <w:hideMark/>
          </w:tcPr>
          <w:p w14:paraId="28A05C12"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San Simon 220-&gt;Quillagua 220</w:t>
            </w:r>
          </w:p>
        </w:tc>
        <w:tc>
          <w:tcPr>
            <w:tcW w:w="1035" w:type="dxa"/>
            <w:tcBorders>
              <w:top w:val="nil"/>
              <w:left w:val="nil"/>
              <w:bottom w:val="single" w:sz="4" w:space="0" w:color="auto"/>
              <w:right w:val="single" w:sz="4" w:space="0" w:color="auto"/>
            </w:tcBorders>
            <w:shd w:val="clear" w:color="auto" w:fill="auto"/>
            <w:noWrap/>
          </w:tcPr>
          <w:p w14:paraId="2AF8EB31" w14:textId="1B6A6BE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1.081.593 </w:t>
            </w:r>
          </w:p>
        </w:tc>
        <w:tc>
          <w:tcPr>
            <w:tcW w:w="891" w:type="dxa"/>
            <w:tcBorders>
              <w:top w:val="nil"/>
              <w:left w:val="nil"/>
              <w:bottom w:val="single" w:sz="4" w:space="0" w:color="auto"/>
              <w:right w:val="single" w:sz="4" w:space="0" w:color="auto"/>
            </w:tcBorders>
            <w:shd w:val="clear" w:color="auto" w:fill="auto"/>
            <w:noWrap/>
          </w:tcPr>
          <w:p w14:paraId="2A6389AC" w14:textId="5CBA2EE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376.505 </w:t>
            </w:r>
          </w:p>
        </w:tc>
        <w:tc>
          <w:tcPr>
            <w:tcW w:w="952" w:type="dxa"/>
            <w:tcBorders>
              <w:top w:val="nil"/>
              <w:left w:val="nil"/>
              <w:bottom w:val="single" w:sz="4" w:space="0" w:color="auto"/>
              <w:right w:val="single" w:sz="4" w:space="0" w:color="auto"/>
            </w:tcBorders>
            <w:shd w:val="clear" w:color="auto" w:fill="auto"/>
            <w:noWrap/>
          </w:tcPr>
          <w:p w14:paraId="47A56147" w14:textId="6DA5E6F3"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207.347 </w:t>
            </w:r>
          </w:p>
        </w:tc>
        <w:tc>
          <w:tcPr>
            <w:tcW w:w="992" w:type="dxa"/>
            <w:tcBorders>
              <w:top w:val="nil"/>
              <w:left w:val="nil"/>
              <w:bottom w:val="single" w:sz="4" w:space="0" w:color="auto"/>
              <w:right w:val="single" w:sz="4" w:space="0" w:color="auto"/>
            </w:tcBorders>
            <w:shd w:val="clear" w:color="auto" w:fill="auto"/>
            <w:noWrap/>
          </w:tcPr>
          <w:p w14:paraId="2E91B9CF" w14:textId="1099D75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1.665.445 </w:t>
            </w:r>
          </w:p>
        </w:tc>
      </w:tr>
      <w:tr w:rsidR="0066388E" w:rsidRPr="00E715D6" w14:paraId="217DF488"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8E1234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N_132</w:t>
            </w:r>
          </w:p>
        </w:tc>
        <w:tc>
          <w:tcPr>
            <w:tcW w:w="5060" w:type="dxa"/>
            <w:tcBorders>
              <w:top w:val="nil"/>
              <w:left w:val="nil"/>
              <w:bottom w:val="single" w:sz="4" w:space="0" w:color="auto"/>
              <w:right w:val="single" w:sz="4" w:space="0" w:color="auto"/>
            </w:tcBorders>
            <w:shd w:val="clear" w:color="auto" w:fill="auto"/>
            <w:noWrap/>
            <w:vAlign w:val="bottom"/>
            <w:hideMark/>
          </w:tcPr>
          <w:p w14:paraId="6012FE8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Tap El Manzano 220-&gt;Tap Chicureo 220</w:t>
            </w:r>
          </w:p>
        </w:tc>
        <w:tc>
          <w:tcPr>
            <w:tcW w:w="1035" w:type="dxa"/>
            <w:tcBorders>
              <w:top w:val="nil"/>
              <w:left w:val="nil"/>
              <w:bottom w:val="single" w:sz="4" w:space="0" w:color="auto"/>
              <w:right w:val="single" w:sz="4" w:space="0" w:color="auto"/>
            </w:tcBorders>
            <w:shd w:val="clear" w:color="auto" w:fill="auto"/>
            <w:noWrap/>
          </w:tcPr>
          <w:p w14:paraId="53BB99E5" w14:textId="78E7D19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1.888.404 </w:t>
            </w:r>
          </w:p>
        </w:tc>
        <w:tc>
          <w:tcPr>
            <w:tcW w:w="891" w:type="dxa"/>
            <w:tcBorders>
              <w:top w:val="nil"/>
              <w:left w:val="nil"/>
              <w:bottom w:val="single" w:sz="4" w:space="0" w:color="auto"/>
              <w:right w:val="single" w:sz="4" w:space="0" w:color="auto"/>
            </w:tcBorders>
            <w:shd w:val="clear" w:color="auto" w:fill="auto"/>
            <w:noWrap/>
          </w:tcPr>
          <w:p w14:paraId="5F0BD502" w14:textId="706080A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231.434 </w:t>
            </w:r>
          </w:p>
        </w:tc>
        <w:tc>
          <w:tcPr>
            <w:tcW w:w="952" w:type="dxa"/>
            <w:tcBorders>
              <w:top w:val="nil"/>
              <w:left w:val="nil"/>
              <w:bottom w:val="single" w:sz="4" w:space="0" w:color="auto"/>
              <w:right w:val="single" w:sz="4" w:space="0" w:color="auto"/>
            </w:tcBorders>
            <w:shd w:val="clear" w:color="auto" w:fill="auto"/>
            <w:noWrap/>
          </w:tcPr>
          <w:p w14:paraId="63F7A05D" w14:textId="41341E4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379.314 </w:t>
            </w:r>
          </w:p>
        </w:tc>
        <w:tc>
          <w:tcPr>
            <w:tcW w:w="992" w:type="dxa"/>
            <w:tcBorders>
              <w:top w:val="nil"/>
              <w:left w:val="nil"/>
              <w:bottom w:val="single" w:sz="4" w:space="0" w:color="auto"/>
              <w:right w:val="single" w:sz="4" w:space="0" w:color="auto"/>
            </w:tcBorders>
            <w:shd w:val="clear" w:color="auto" w:fill="auto"/>
            <w:noWrap/>
          </w:tcPr>
          <w:p w14:paraId="2DD00C8B" w14:textId="077A1F4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2.499.152 </w:t>
            </w:r>
          </w:p>
        </w:tc>
      </w:tr>
      <w:tr w:rsidR="0066388E" w:rsidRPr="00E715D6" w14:paraId="29E7AE94"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1ADC8B"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N_133</w:t>
            </w:r>
          </w:p>
        </w:tc>
        <w:tc>
          <w:tcPr>
            <w:tcW w:w="5060" w:type="dxa"/>
            <w:tcBorders>
              <w:top w:val="nil"/>
              <w:left w:val="nil"/>
              <w:bottom w:val="single" w:sz="4" w:space="0" w:color="auto"/>
              <w:right w:val="single" w:sz="4" w:space="0" w:color="auto"/>
            </w:tcBorders>
            <w:shd w:val="clear" w:color="auto" w:fill="auto"/>
            <w:noWrap/>
            <w:vAlign w:val="bottom"/>
            <w:hideMark/>
          </w:tcPr>
          <w:p w14:paraId="398BCA37"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Tap El Romero 220-&gt;Don Hector 220</w:t>
            </w:r>
          </w:p>
        </w:tc>
        <w:tc>
          <w:tcPr>
            <w:tcW w:w="1035" w:type="dxa"/>
            <w:tcBorders>
              <w:top w:val="nil"/>
              <w:left w:val="nil"/>
              <w:bottom w:val="single" w:sz="4" w:space="0" w:color="auto"/>
              <w:right w:val="single" w:sz="4" w:space="0" w:color="auto"/>
            </w:tcBorders>
            <w:shd w:val="clear" w:color="auto" w:fill="auto"/>
            <w:noWrap/>
          </w:tcPr>
          <w:p w14:paraId="42D9746D" w14:textId="730F857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79.422 </w:t>
            </w:r>
          </w:p>
        </w:tc>
        <w:tc>
          <w:tcPr>
            <w:tcW w:w="891" w:type="dxa"/>
            <w:tcBorders>
              <w:top w:val="nil"/>
              <w:left w:val="nil"/>
              <w:bottom w:val="single" w:sz="4" w:space="0" w:color="auto"/>
              <w:right w:val="single" w:sz="4" w:space="0" w:color="auto"/>
            </w:tcBorders>
            <w:shd w:val="clear" w:color="auto" w:fill="auto"/>
            <w:noWrap/>
          </w:tcPr>
          <w:p w14:paraId="2B544846" w14:textId="358024C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21.370 </w:t>
            </w:r>
          </w:p>
        </w:tc>
        <w:tc>
          <w:tcPr>
            <w:tcW w:w="952" w:type="dxa"/>
            <w:tcBorders>
              <w:top w:val="nil"/>
              <w:left w:val="nil"/>
              <w:bottom w:val="single" w:sz="4" w:space="0" w:color="auto"/>
              <w:right w:val="single" w:sz="4" w:space="0" w:color="auto"/>
            </w:tcBorders>
            <w:shd w:val="clear" w:color="auto" w:fill="auto"/>
            <w:noWrap/>
          </w:tcPr>
          <w:p w14:paraId="5B6574A1" w14:textId="101004E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10.736 </w:t>
            </w:r>
          </w:p>
        </w:tc>
        <w:tc>
          <w:tcPr>
            <w:tcW w:w="992" w:type="dxa"/>
            <w:tcBorders>
              <w:top w:val="nil"/>
              <w:left w:val="nil"/>
              <w:bottom w:val="single" w:sz="4" w:space="0" w:color="auto"/>
              <w:right w:val="single" w:sz="4" w:space="0" w:color="auto"/>
            </w:tcBorders>
            <w:shd w:val="clear" w:color="auto" w:fill="auto"/>
            <w:noWrap/>
          </w:tcPr>
          <w:p w14:paraId="5E381E1A" w14:textId="5199734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111.527 </w:t>
            </w:r>
          </w:p>
        </w:tc>
      </w:tr>
      <w:tr w:rsidR="0066388E" w:rsidRPr="00E715D6" w14:paraId="770A05DB"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821232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N_134</w:t>
            </w:r>
          </w:p>
        </w:tc>
        <w:tc>
          <w:tcPr>
            <w:tcW w:w="5060" w:type="dxa"/>
            <w:tcBorders>
              <w:top w:val="nil"/>
              <w:left w:val="nil"/>
              <w:bottom w:val="single" w:sz="4" w:space="0" w:color="auto"/>
              <w:right w:val="single" w:sz="4" w:space="0" w:color="auto"/>
            </w:tcBorders>
            <w:shd w:val="clear" w:color="auto" w:fill="auto"/>
            <w:noWrap/>
            <w:vAlign w:val="bottom"/>
            <w:hideMark/>
          </w:tcPr>
          <w:p w14:paraId="6A4E82A1" w14:textId="77777777" w:rsidR="0066388E" w:rsidRPr="002237F2" w:rsidRDefault="0066388E" w:rsidP="0066388E">
            <w:pPr>
              <w:spacing w:after="0" w:line="240" w:lineRule="auto"/>
              <w:jc w:val="left"/>
              <w:rPr>
                <w:rFonts w:asciiTheme="minorHAnsi" w:eastAsia="Times New Roman" w:hAnsiTheme="minorHAnsi" w:cstheme="minorHAnsi"/>
                <w:color w:val="000000"/>
                <w:sz w:val="18"/>
                <w:szCs w:val="18"/>
                <w:lang w:val="en-US" w:eastAsia="es-CL"/>
              </w:rPr>
            </w:pPr>
            <w:r w:rsidRPr="002237F2">
              <w:rPr>
                <w:rFonts w:asciiTheme="minorHAnsi" w:eastAsia="Times New Roman" w:hAnsiTheme="minorHAnsi" w:cstheme="minorHAnsi"/>
                <w:color w:val="000000"/>
                <w:sz w:val="18"/>
                <w:szCs w:val="18"/>
                <w:lang w:val="en-US" w:eastAsia="es-CL"/>
              </w:rPr>
              <w:t>Tap Off Santa Isabel 220-&gt;Itahue 220</w:t>
            </w:r>
          </w:p>
        </w:tc>
        <w:tc>
          <w:tcPr>
            <w:tcW w:w="1035" w:type="dxa"/>
            <w:tcBorders>
              <w:top w:val="nil"/>
              <w:left w:val="nil"/>
              <w:bottom w:val="single" w:sz="4" w:space="0" w:color="auto"/>
              <w:right w:val="single" w:sz="4" w:space="0" w:color="auto"/>
            </w:tcBorders>
            <w:shd w:val="clear" w:color="auto" w:fill="auto"/>
            <w:noWrap/>
          </w:tcPr>
          <w:p w14:paraId="60F6572B" w14:textId="06E93934" w:rsidR="0066388E" w:rsidRPr="0066388E" w:rsidRDefault="0066388E" w:rsidP="0066388E">
            <w:pPr>
              <w:rPr>
                <w:rFonts w:asciiTheme="minorHAnsi" w:hAnsiTheme="minorHAnsi" w:cstheme="minorHAnsi"/>
                <w:sz w:val="20"/>
                <w:szCs w:val="20"/>
              </w:rPr>
            </w:pPr>
            <w:r w:rsidRPr="00C83B06">
              <w:rPr>
                <w:rFonts w:asciiTheme="minorHAnsi" w:hAnsiTheme="minorHAnsi" w:cstheme="minorHAnsi"/>
                <w:sz w:val="20"/>
                <w:szCs w:val="20"/>
                <w:lang w:val="en-US"/>
              </w:rPr>
              <w:t xml:space="preserve"> </w:t>
            </w:r>
            <w:r w:rsidRPr="0066388E">
              <w:rPr>
                <w:rFonts w:asciiTheme="minorHAnsi" w:hAnsiTheme="minorHAnsi" w:cstheme="minorHAnsi"/>
                <w:sz w:val="20"/>
                <w:szCs w:val="20"/>
              </w:rPr>
              <w:t xml:space="preserve">600.836 </w:t>
            </w:r>
          </w:p>
        </w:tc>
        <w:tc>
          <w:tcPr>
            <w:tcW w:w="891" w:type="dxa"/>
            <w:tcBorders>
              <w:top w:val="nil"/>
              <w:left w:val="nil"/>
              <w:bottom w:val="single" w:sz="4" w:space="0" w:color="auto"/>
              <w:right w:val="single" w:sz="4" w:space="0" w:color="auto"/>
            </w:tcBorders>
            <w:shd w:val="clear" w:color="auto" w:fill="auto"/>
            <w:noWrap/>
          </w:tcPr>
          <w:p w14:paraId="657AF00D" w14:textId="3C44266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239.119 </w:t>
            </w:r>
          </w:p>
        </w:tc>
        <w:tc>
          <w:tcPr>
            <w:tcW w:w="952" w:type="dxa"/>
            <w:tcBorders>
              <w:top w:val="nil"/>
              <w:left w:val="nil"/>
              <w:bottom w:val="single" w:sz="4" w:space="0" w:color="auto"/>
              <w:right w:val="single" w:sz="4" w:space="0" w:color="auto"/>
            </w:tcBorders>
            <w:shd w:val="clear" w:color="auto" w:fill="auto"/>
            <w:noWrap/>
          </w:tcPr>
          <w:p w14:paraId="3857FDFC" w14:textId="1D82253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117.147 </w:t>
            </w:r>
          </w:p>
        </w:tc>
        <w:tc>
          <w:tcPr>
            <w:tcW w:w="992" w:type="dxa"/>
            <w:tcBorders>
              <w:top w:val="nil"/>
              <w:left w:val="nil"/>
              <w:bottom w:val="single" w:sz="4" w:space="0" w:color="auto"/>
              <w:right w:val="single" w:sz="4" w:space="0" w:color="auto"/>
            </w:tcBorders>
            <w:shd w:val="clear" w:color="auto" w:fill="auto"/>
            <w:noWrap/>
          </w:tcPr>
          <w:p w14:paraId="22B78F87" w14:textId="24D9B89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957.103 </w:t>
            </w:r>
          </w:p>
        </w:tc>
      </w:tr>
      <w:tr w:rsidR="0066388E" w:rsidRPr="00E715D6" w14:paraId="36F096EE"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68F9E4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N_135</w:t>
            </w:r>
          </w:p>
        </w:tc>
        <w:tc>
          <w:tcPr>
            <w:tcW w:w="5060" w:type="dxa"/>
            <w:tcBorders>
              <w:top w:val="nil"/>
              <w:left w:val="nil"/>
              <w:bottom w:val="single" w:sz="4" w:space="0" w:color="auto"/>
              <w:right w:val="single" w:sz="4" w:space="0" w:color="auto"/>
            </w:tcBorders>
            <w:shd w:val="clear" w:color="auto" w:fill="auto"/>
            <w:noWrap/>
            <w:vAlign w:val="bottom"/>
            <w:hideMark/>
          </w:tcPr>
          <w:p w14:paraId="5EB76C58"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Tap off Sierra Gorda Eolico 220-&gt;Centinela 220</w:t>
            </w:r>
          </w:p>
        </w:tc>
        <w:tc>
          <w:tcPr>
            <w:tcW w:w="1035" w:type="dxa"/>
            <w:tcBorders>
              <w:top w:val="nil"/>
              <w:left w:val="nil"/>
              <w:bottom w:val="single" w:sz="4" w:space="0" w:color="auto"/>
              <w:right w:val="single" w:sz="4" w:space="0" w:color="auto"/>
            </w:tcBorders>
            <w:shd w:val="clear" w:color="auto" w:fill="auto"/>
            <w:noWrap/>
          </w:tcPr>
          <w:p w14:paraId="3DC45D69" w14:textId="4F8B795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891" w:type="dxa"/>
            <w:tcBorders>
              <w:top w:val="nil"/>
              <w:left w:val="nil"/>
              <w:bottom w:val="single" w:sz="4" w:space="0" w:color="auto"/>
              <w:right w:val="single" w:sz="4" w:space="0" w:color="auto"/>
            </w:tcBorders>
            <w:shd w:val="clear" w:color="auto" w:fill="auto"/>
            <w:noWrap/>
          </w:tcPr>
          <w:p w14:paraId="31405F22" w14:textId="34BB859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52" w:type="dxa"/>
            <w:tcBorders>
              <w:top w:val="nil"/>
              <w:left w:val="nil"/>
              <w:bottom w:val="single" w:sz="4" w:space="0" w:color="auto"/>
              <w:right w:val="single" w:sz="4" w:space="0" w:color="auto"/>
            </w:tcBorders>
            <w:shd w:val="clear" w:color="auto" w:fill="auto"/>
            <w:noWrap/>
          </w:tcPr>
          <w:p w14:paraId="0D8E7AF7" w14:textId="1901543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c>
          <w:tcPr>
            <w:tcW w:w="992" w:type="dxa"/>
            <w:tcBorders>
              <w:top w:val="nil"/>
              <w:left w:val="nil"/>
              <w:bottom w:val="single" w:sz="4" w:space="0" w:color="auto"/>
              <w:right w:val="single" w:sz="4" w:space="0" w:color="auto"/>
            </w:tcBorders>
            <w:shd w:val="clear" w:color="auto" w:fill="auto"/>
            <w:noWrap/>
          </w:tcPr>
          <w:p w14:paraId="2E100084" w14:textId="630891B4"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 </w:t>
            </w:r>
          </w:p>
        </w:tc>
      </w:tr>
      <w:tr w:rsidR="0066388E" w:rsidRPr="00E715D6" w14:paraId="023A2636"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6DAED2C"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N_136</w:t>
            </w:r>
          </w:p>
        </w:tc>
        <w:tc>
          <w:tcPr>
            <w:tcW w:w="5060" w:type="dxa"/>
            <w:tcBorders>
              <w:top w:val="nil"/>
              <w:left w:val="nil"/>
              <w:bottom w:val="single" w:sz="4" w:space="0" w:color="auto"/>
              <w:right w:val="single" w:sz="4" w:space="0" w:color="auto"/>
            </w:tcBorders>
            <w:shd w:val="clear" w:color="auto" w:fill="auto"/>
            <w:noWrap/>
            <w:vAlign w:val="bottom"/>
            <w:hideMark/>
          </w:tcPr>
          <w:p w14:paraId="57C97A1D"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Tarapaca 220-&gt;Condores 220</w:t>
            </w:r>
          </w:p>
        </w:tc>
        <w:tc>
          <w:tcPr>
            <w:tcW w:w="1035" w:type="dxa"/>
            <w:tcBorders>
              <w:top w:val="nil"/>
              <w:left w:val="nil"/>
              <w:bottom w:val="single" w:sz="4" w:space="0" w:color="auto"/>
              <w:right w:val="single" w:sz="4" w:space="0" w:color="auto"/>
            </w:tcBorders>
            <w:shd w:val="clear" w:color="auto" w:fill="auto"/>
            <w:noWrap/>
          </w:tcPr>
          <w:p w14:paraId="675E8F29" w14:textId="5ACA8A6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1.129.592 </w:t>
            </w:r>
          </w:p>
        </w:tc>
        <w:tc>
          <w:tcPr>
            <w:tcW w:w="891" w:type="dxa"/>
            <w:tcBorders>
              <w:top w:val="nil"/>
              <w:left w:val="nil"/>
              <w:bottom w:val="single" w:sz="4" w:space="0" w:color="auto"/>
              <w:right w:val="single" w:sz="4" w:space="0" w:color="auto"/>
            </w:tcBorders>
            <w:shd w:val="clear" w:color="auto" w:fill="auto"/>
            <w:noWrap/>
          </w:tcPr>
          <w:p w14:paraId="31A715ED" w14:textId="272D178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241.813 </w:t>
            </w:r>
          </w:p>
        </w:tc>
        <w:tc>
          <w:tcPr>
            <w:tcW w:w="952" w:type="dxa"/>
            <w:tcBorders>
              <w:top w:val="nil"/>
              <w:left w:val="nil"/>
              <w:bottom w:val="single" w:sz="4" w:space="0" w:color="auto"/>
              <w:right w:val="single" w:sz="4" w:space="0" w:color="auto"/>
            </w:tcBorders>
            <w:shd w:val="clear" w:color="auto" w:fill="auto"/>
            <w:noWrap/>
          </w:tcPr>
          <w:p w14:paraId="7200EC80" w14:textId="07EC0B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220.221 </w:t>
            </w:r>
          </w:p>
        </w:tc>
        <w:tc>
          <w:tcPr>
            <w:tcW w:w="992" w:type="dxa"/>
            <w:tcBorders>
              <w:top w:val="nil"/>
              <w:left w:val="nil"/>
              <w:bottom w:val="single" w:sz="4" w:space="0" w:color="auto"/>
              <w:right w:val="single" w:sz="4" w:space="0" w:color="auto"/>
            </w:tcBorders>
            <w:shd w:val="clear" w:color="auto" w:fill="auto"/>
            <w:noWrap/>
          </w:tcPr>
          <w:p w14:paraId="287DEEAD" w14:textId="057B705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1.591.627 </w:t>
            </w:r>
          </w:p>
        </w:tc>
      </w:tr>
      <w:tr w:rsidR="0066388E" w:rsidRPr="00E715D6" w14:paraId="2CADBD52"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BD8A469"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N_137</w:t>
            </w:r>
          </w:p>
        </w:tc>
        <w:tc>
          <w:tcPr>
            <w:tcW w:w="5060" w:type="dxa"/>
            <w:tcBorders>
              <w:top w:val="nil"/>
              <w:left w:val="nil"/>
              <w:bottom w:val="single" w:sz="4" w:space="0" w:color="auto"/>
              <w:right w:val="single" w:sz="4" w:space="0" w:color="auto"/>
            </w:tcBorders>
            <w:shd w:val="clear" w:color="auto" w:fill="auto"/>
            <w:noWrap/>
            <w:vAlign w:val="bottom"/>
            <w:hideMark/>
          </w:tcPr>
          <w:p w14:paraId="11280BD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Tarapaca 220-&gt;Lagunas 220</w:t>
            </w:r>
          </w:p>
        </w:tc>
        <w:tc>
          <w:tcPr>
            <w:tcW w:w="1035" w:type="dxa"/>
            <w:tcBorders>
              <w:top w:val="nil"/>
              <w:left w:val="nil"/>
              <w:bottom w:val="single" w:sz="4" w:space="0" w:color="auto"/>
              <w:right w:val="single" w:sz="4" w:space="0" w:color="auto"/>
            </w:tcBorders>
            <w:shd w:val="clear" w:color="auto" w:fill="auto"/>
            <w:noWrap/>
          </w:tcPr>
          <w:p w14:paraId="485C0533" w14:textId="6B91260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1.399.875 </w:t>
            </w:r>
          </w:p>
        </w:tc>
        <w:tc>
          <w:tcPr>
            <w:tcW w:w="891" w:type="dxa"/>
            <w:tcBorders>
              <w:top w:val="nil"/>
              <w:left w:val="nil"/>
              <w:bottom w:val="single" w:sz="4" w:space="0" w:color="auto"/>
              <w:right w:val="single" w:sz="4" w:space="0" w:color="auto"/>
            </w:tcBorders>
            <w:shd w:val="clear" w:color="auto" w:fill="auto"/>
            <w:noWrap/>
          </w:tcPr>
          <w:p w14:paraId="0D406403" w14:textId="3A6D8AE7"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378.491 </w:t>
            </w:r>
          </w:p>
        </w:tc>
        <w:tc>
          <w:tcPr>
            <w:tcW w:w="952" w:type="dxa"/>
            <w:tcBorders>
              <w:top w:val="nil"/>
              <w:left w:val="nil"/>
              <w:bottom w:val="single" w:sz="4" w:space="0" w:color="auto"/>
              <w:right w:val="single" w:sz="4" w:space="0" w:color="auto"/>
            </w:tcBorders>
            <w:shd w:val="clear" w:color="auto" w:fill="auto"/>
            <w:noWrap/>
          </w:tcPr>
          <w:p w14:paraId="7A49873A" w14:textId="1776932B"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251.007 </w:t>
            </w:r>
          </w:p>
        </w:tc>
        <w:tc>
          <w:tcPr>
            <w:tcW w:w="992" w:type="dxa"/>
            <w:tcBorders>
              <w:top w:val="nil"/>
              <w:left w:val="nil"/>
              <w:bottom w:val="single" w:sz="4" w:space="0" w:color="auto"/>
              <w:right w:val="single" w:sz="4" w:space="0" w:color="auto"/>
            </w:tcBorders>
            <w:shd w:val="clear" w:color="auto" w:fill="auto"/>
            <w:noWrap/>
          </w:tcPr>
          <w:p w14:paraId="71D5A87D" w14:textId="3AF8848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2.029.373 </w:t>
            </w:r>
          </w:p>
        </w:tc>
      </w:tr>
      <w:tr w:rsidR="0066388E" w:rsidRPr="00E715D6" w14:paraId="70FEAF0C"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044BAA6"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N_138</w:t>
            </w:r>
          </w:p>
        </w:tc>
        <w:tc>
          <w:tcPr>
            <w:tcW w:w="5060" w:type="dxa"/>
            <w:tcBorders>
              <w:top w:val="nil"/>
              <w:left w:val="nil"/>
              <w:bottom w:val="single" w:sz="4" w:space="0" w:color="auto"/>
              <w:right w:val="single" w:sz="4" w:space="0" w:color="auto"/>
            </w:tcBorders>
            <w:shd w:val="clear" w:color="auto" w:fill="auto"/>
            <w:noWrap/>
            <w:vAlign w:val="bottom"/>
            <w:hideMark/>
          </w:tcPr>
          <w:p w14:paraId="07B92D34"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Temuco 220-&gt;Cautin 220</w:t>
            </w:r>
          </w:p>
        </w:tc>
        <w:tc>
          <w:tcPr>
            <w:tcW w:w="1035" w:type="dxa"/>
            <w:tcBorders>
              <w:top w:val="nil"/>
              <w:left w:val="nil"/>
              <w:bottom w:val="single" w:sz="4" w:space="0" w:color="auto"/>
              <w:right w:val="single" w:sz="4" w:space="0" w:color="auto"/>
            </w:tcBorders>
            <w:shd w:val="clear" w:color="auto" w:fill="auto"/>
            <w:noWrap/>
          </w:tcPr>
          <w:p w14:paraId="6607CE86" w14:textId="6B0119D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257.339 </w:t>
            </w:r>
          </w:p>
        </w:tc>
        <w:tc>
          <w:tcPr>
            <w:tcW w:w="891" w:type="dxa"/>
            <w:tcBorders>
              <w:top w:val="nil"/>
              <w:left w:val="nil"/>
              <w:bottom w:val="single" w:sz="4" w:space="0" w:color="auto"/>
              <w:right w:val="single" w:sz="4" w:space="0" w:color="auto"/>
            </w:tcBorders>
            <w:shd w:val="clear" w:color="auto" w:fill="auto"/>
            <w:noWrap/>
          </w:tcPr>
          <w:p w14:paraId="548AD214" w14:textId="24483A8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49.577 </w:t>
            </w:r>
          </w:p>
        </w:tc>
        <w:tc>
          <w:tcPr>
            <w:tcW w:w="952" w:type="dxa"/>
            <w:tcBorders>
              <w:top w:val="nil"/>
              <w:left w:val="nil"/>
              <w:bottom w:val="single" w:sz="4" w:space="0" w:color="auto"/>
              <w:right w:val="single" w:sz="4" w:space="0" w:color="auto"/>
            </w:tcBorders>
            <w:shd w:val="clear" w:color="auto" w:fill="auto"/>
            <w:noWrap/>
          </w:tcPr>
          <w:p w14:paraId="6CAA3C94" w14:textId="01FADB9D"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45.366 </w:t>
            </w:r>
          </w:p>
        </w:tc>
        <w:tc>
          <w:tcPr>
            <w:tcW w:w="992" w:type="dxa"/>
            <w:tcBorders>
              <w:top w:val="nil"/>
              <w:left w:val="nil"/>
              <w:bottom w:val="single" w:sz="4" w:space="0" w:color="auto"/>
              <w:right w:val="single" w:sz="4" w:space="0" w:color="auto"/>
            </w:tcBorders>
            <w:shd w:val="clear" w:color="auto" w:fill="auto"/>
            <w:noWrap/>
          </w:tcPr>
          <w:p w14:paraId="59E2E882" w14:textId="0FC7C5D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352.281 </w:t>
            </w:r>
          </w:p>
        </w:tc>
      </w:tr>
      <w:tr w:rsidR="0066388E" w:rsidRPr="00E715D6" w14:paraId="6C3719BA"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58E47C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N_139</w:t>
            </w:r>
          </w:p>
        </w:tc>
        <w:tc>
          <w:tcPr>
            <w:tcW w:w="5060" w:type="dxa"/>
            <w:tcBorders>
              <w:top w:val="nil"/>
              <w:left w:val="nil"/>
              <w:bottom w:val="single" w:sz="4" w:space="0" w:color="auto"/>
              <w:right w:val="single" w:sz="4" w:space="0" w:color="auto"/>
            </w:tcBorders>
            <w:shd w:val="clear" w:color="auto" w:fill="auto"/>
            <w:noWrap/>
            <w:vAlign w:val="bottom"/>
            <w:hideMark/>
          </w:tcPr>
          <w:p w14:paraId="6E65B221"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Temuco 220-&gt;Los Peumos 220</w:t>
            </w:r>
          </w:p>
        </w:tc>
        <w:tc>
          <w:tcPr>
            <w:tcW w:w="1035" w:type="dxa"/>
            <w:tcBorders>
              <w:top w:val="nil"/>
              <w:left w:val="nil"/>
              <w:bottom w:val="single" w:sz="4" w:space="0" w:color="auto"/>
              <w:right w:val="single" w:sz="4" w:space="0" w:color="auto"/>
            </w:tcBorders>
            <w:shd w:val="clear" w:color="auto" w:fill="auto"/>
            <w:noWrap/>
          </w:tcPr>
          <w:p w14:paraId="4E6F8569" w14:textId="7DFD9E99"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1.076.594 </w:t>
            </w:r>
          </w:p>
        </w:tc>
        <w:tc>
          <w:tcPr>
            <w:tcW w:w="891" w:type="dxa"/>
            <w:tcBorders>
              <w:top w:val="nil"/>
              <w:left w:val="nil"/>
              <w:bottom w:val="single" w:sz="4" w:space="0" w:color="auto"/>
              <w:right w:val="single" w:sz="4" w:space="0" w:color="auto"/>
            </w:tcBorders>
            <w:shd w:val="clear" w:color="auto" w:fill="auto"/>
            <w:noWrap/>
          </w:tcPr>
          <w:p w14:paraId="275DFCDD" w14:textId="05BA4E1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296.634 </w:t>
            </w:r>
          </w:p>
        </w:tc>
        <w:tc>
          <w:tcPr>
            <w:tcW w:w="952" w:type="dxa"/>
            <w:tcBorders>
              <w:top w:val="nil"/>
              <w:left w:val="nil"/>
              <w:bottom w:val="single" w:sz="4" w:space="0" w:color="auto"/>
              <w:right w:val="single" w:sz="4" w:space="0" w:color="auto"/>
            </w:tcBorders>
            <w:shd w:val="clear" w:color="auto" w:fill="auto"/>
            <w:noWrap/>
          </w:tcPr>
          <w:p w14:paraId="5BBA7D74" w14:textId="5752A198"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243.518 </w:t>
            </w:r>
          </w:p>
        </w:tc>
        <w:tc>
          <w:tcPr>
            <w:tcW w:w="992" w:type="dxa"/>
            <w:tcBorders>
              <w:top w:val="nil"/>
              <w:left w:val="nil"/>
              <w:bottom w:val="single" w:sz="4" w:space="0" w:color="auto"/>
              <w:right w:val="single" w:sz="4" w:space="0" w:color="auto"/>
            </w:tcBorders>
            <w:shd w:val="clear" w:color="auto" w:fill="auto"/>
            <w:noWrap/>
          </w:tcPr>
          <w:p w14:paraId="1C6BBCCF" w14:textId="180E2AE0"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1.616.747 </w:t>
            </w:r>
          </w:p>
        </w:tc>
      </w:tr>
      <w:tr w:rsidR="0066388E" w:rsidRPr="00E715D6" w14:paraId="6D0004E5" w14:textId="77777777" w:rsidTr="00A33AA3">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8E2EE2F"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N_140</w:t>
            </w:r>
          </w:p>
        </w:tc>
        <w:tc>
          <w:tcPr>
            <w:tcW w:w="5060" w:type="dxa"/>
            <w:tcBorders>
              <w:top w:val="nil"/>
              <w:left w:val="nil"/>
              <w:bottom w:val="single" w:sz="4" w:space="0" w:color="auto"/>
              <w:right w:val="single" w:sz="4" w:space="0" w:color="auto"/>
            </w:tcBorders>
            <w:shd w:val="clear" w:color="auto" w:fill="auto"/>
            <w:noWrap/>
            <w:vAlign w:val="bottom"/>
            <w:hideMark/>
          </w:tcPr>
          <w:p w14:paraId="54D82D0E" w14:textId="77777777" w:rsidR="0066388E" w:rsidRPr="00E715D6" w:rsidRDefault="0066388E" w:rsidP="0066388E">
            <w:pPr>
              <w:spacing w:after="0" w:line="240" w:lineRule="auto"/>
              <w:jc w:val="left"/>
              <w:rPr>
                <w:rFonts w:asciiTheme="minorHAnsi" w:eastAsia="Times New Roman" w:hAnsiTheme="minorHAnsi" w:cstheme="minorHAnsi"/>
                <w:color w:val="000000"/>
                <w:sz w:val="18"/>
                <w:szCs w:val="18"/>
                <w:lang w:val="es-CL" w:eastAsia="es-CL"/>
              </w:rPr>
            </w:pPr>
            <w:r w:rsidRPr="00E715D6">
              <w:rPr>
                <w:rFonts w:asciiTheme="minorHAnsi" w:eastAsia="Times New Roman" w:hAnsiTheme="minorHAnsi" w:cstheme="minorHAnsi"/>
                <w:color w:val="000000"/>
                <w:sz w:val="18"/>
                <w:szCs w:val="18"/>
                <w:lang w:val="es-CL" w:eastAsia="es-CL"/>
              </w:rPr>
              <w:t>Valdivia 220-&gt;Nueva Valdivia 220</w:t>
            </w:r>
          </w:p>
        </w:tc>
        <w:tc>
          <w:tcPr>
            <w:tcW w:w="1035" w:type="dxa"/>
            <w:tcBorders>
              <w:top w:val="nil"/>
              <w:left w:val="nil"/>
              <w:bottom w:val="single" w:sz="4" w:space="0" w:color="auto"/>
              <w:right w:val="single" w:sz="4" w:space="0" w:color="auto"/>
            </w:tcBorders>
            <w:shd w:val="clear" w:color="auto" w:fill="auto"/>
            <w:noWrap/>
          </w:tcPr>
          <w:p w14:paraId="044563D5" w14:textId="728F8101"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236.352 </w:t>
            </w:r>
          </w:p>
        </w:tc>
        <w:tc>
          <w:tcPr>
            <w:tcW w:w="891" w:type="dxa"/>
            <w:tcBorders>
              <w:top w:val="nil"/>
              <w:left w:val="nil"/>
              <w:bottom w:val="single" w:sz="4" w:space="0" w:color="auto"/>
              <w:right w:val="single" w:sz="4" w:space="0" w:color="auto"/>
            </w:tcBorders>
            <w:shd w:val="clear" w:color="auto" w:fill="auto"/>
            <w:noWrap/>
          </w:tcPr>
          <w:p w14:paraId="75138B83" w14:textId="0654F4F5"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45.549 </w:t>
            </w:r>
          </w:p>
        </w:tc>
        <w:tc>
          <w:tcPr>
            <w:tcW w:w="952" w:type="dxa"/>
            <w:tcBorders>
              <w:top w:val="nil"/>
              <w:left w:val="nil"/>
              <w:bottom w:val="single" w:sz="4" w:space="0" w:color="auto"/>
              <w:right w:val="single" w:sz="4" w:space="0" w:color="auto"/>
            </w:tcBorders>
            <w:shd w:val="clear" w:color="auto" w:fill="auto"/>
            <w:noWrap/>
          </w:tcPr>
          <w:p w14:paraId="09DC1615" w14:textId="04461C92"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53.999 </w:t>
            </w:r>
          </w:p>
        </w:tc>
        <w:tc>
          <w:tcPr>
            <w:tcW w:w="992" w:type="dxa"/>
            <w:tcBorders>
              <w:top w:val="nil"/>
              <w:left w:val="nil"/>
              <w:bottom w:val="single" w:sz="4" w:space="0" w:color="auto"/>
              <w:right w:val="single" w:sz="4" w:space="0" w:color="auto"/>
            </w:tcBorders>
            <w:shd w:val="clear" w:color="auto" w:fill="auto"/>
            <w:noWrap/>
          </w:tcPr>
          <w:p w14:paraId="5B47CFE9" w14:textId="10C2BE0C" w:rsidR="0066388E" w:rsidRPr="0066388E" w:rsidRDefault="0066388E" w:rsidP="0066388E">
            <w:pPr>
              <w:rPr>
                <w:rFonts w:asciiTheme="minorHAnsi" w:hAnsiTheme="minorHAnsi" w:cstheme="minorHAnsi"/>
                <w:sz w:val="20"/>
                <w:szCs w:val="20"/>
              </w:rPr>
            </w:pPr>
            <w:r w:rsidRPr="0066388E">
              <w:rPr>
                <w:rFonts w:asciiTheme="minorHAnsi" w:hAnsiTheme="minorHAnsi" w:cstheme="minorHAnsi"/>
                <w:sz w:val="20"/>
                <w:szCs w:val="20"/>
              </w:rPr>
              <w:t xml:space="preserve"> 335.899 </w:t>
            </w:r>
          </w:p>
        </w:tc>
      </w:tr>
    </w:tbl>
    <w:p w14:paraId="34C8AA92" w14:textId="6F927F4B" w:rsidR="00E82044" w:rsidRDefault="00E82044" w:rsidP="00680717"/>
    <w:p w14:paraId="2DD3923A" w14:textId="77777777" w:rsidR="0066388E" w:rsidRDefault="0066388E" w:rsidP="00680717"/>
    <w:p w14:paraId="114473BD" w14:textId="77777777" w:rsidR="00A33AA3" w:rsidRPr="00E82044" w:rsidRDefault="00A33AA3" w:rsidP="00A33AA3">
      <w:pPr>
        <w:spacing w:after="0"/>
        <w:jc w:val="center"/>
        <w:rPr>
          <w:b/>
          <w:bCs/>
          <w:sz w:val="22"/>
          <w:szCs w:val="22"/>
        </w:rPr>
      </w:pPr>
      <w:r w:rsidRPr="00E82044">
        <w:rPr>
          <w:b/>
          <w:bCs/>
          <w:sz w:val="22"/>
          <w:szCs w:val="22"/>
        </w:rPr>
        <w:t xml:space="preserve">TRAMOS DE </w:t>
      </w:r>
      <w:r>
        <w:rPr>
          <w:b/>
          <w:bCs/>
          <w:sz w:val="22"/>
          <w:szCs w:val="22"/>
        </w:rPr>
        <w:t>SUBESTACIÓN</w:t>
      </w:r>
    </w:p>
    <w:p w14:paraId="0A18E531" w14:textId="677A3AB7" w:rsidR="00A33AA3" w:rsidRDefault="00A33AA3" w:rsidP="00A33AA3">
      <w:pPr>
        <w:spacing w:after="0"/>
        <w:jc w:val="center"/>
        <w:rPr>
          <w:b/>
          <w:bCs/>
          <w:sz w:val="22"/>
          <w:szCs w:val="22"/>
        </w:rPr>
      </w:pPr>
      <w:r w:rsidRPr="00E82044">
        <w:rPr>
          <w:b/>
          <w:bCs/>
          <w:sz w:val="22"/>
          <w:szCs w:val="22"/>
        </w:rPr>
        <w:t>En US$ de diciembre de 2017</w:t>
      </w:r>
    </w:p>
    <w:p w14:paraId="781D3FDF" w14:textId="77777777" w:rsidR="00A34D3B" w:rsidRDefault="00A34D3B" w:rsidP="00680717"/>
    <w:tbl>
      <w:tblPr>
        <w:tblW w:w="9776" w:type="dxa"/>
        <w:tblCellMar>
          <w:left w:w="70" w:type="dxa"/>
          <w:right w:w="70" w:type="dxa"/>
        </w:tblCellMar>
        <w:tblLook w:val="04A0" w:firstRow="1" w:lastRow="0" w:firstColumn="1" w:lastColumn="0" w:noHBand="0" w:noVBand="1"/>
      </w:tblPr>
      <w:tblGrid>
        <w:gridCol w:w="846"/>
        <w:gridCol w:w="5103"/>
        <w:gridCol w:w="992"/>
        <w:gridCol w:w="891"/>
        <w:gridCol w:w="992"/>
        <w:gridCol w:w="992"/>
      </w:tblGrid>
      <w:tr w:rsidR="00A33AA3" w:rsidRPr="005E36B7" w14:paraId="602CFA5A" w14:textId="77777777" w:rsidTr="005E36B7">
        <w:trPr>
          <w:trHeight w:hRule="exact" w:val="284"/>
          <w:tblHeader/>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283B43" w14:textId="77777777" w:rsidR="00A33AA3" w:rsidRPr="005E36B7" w:rsidRDefault="00A33AA3" w:rsidP="005E36B7">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Código</w:t>
            </w:r>
          </w:p>
        </w:tc>
        <w:tc>
          <w:tcPr>
            <w:tcW w:w="5103" w:type="dxa"/>
            <w:tcBorders>
              <w:top w:val="single" w:sz="4" w:space="0" w:color="auto"/>
              <w:left w:val="nil"/>
              <w:bottom w:val="single" w:sz="4" w:space="0" w:color="auto"/>
              <w:right w:val="single" w:sz="4" w:space="0" w:color="auto"/>
            </w:tcBorders>
            <w:shd w:val="clear" w:color="000000" w:fill="D9D9D9"/>
            <w:noWrap/>
            <w:vAlign w:val="center"/>
            <w:hideMark/>
          </w:tcPr>
          <w:p w14:paraId="43762686" w14:textId="77777777" w:rsidR="00A33AA3" w:rsidRPr="005E36B7" w:rsidRDefault="00A33AA3" w:rsidP="005E36B7">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Tramo</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26B0AA76" w14:textId="77777777" w:rsidR="00A33AA3" w:rsidRPr="005E36B7" w:rsidRDefault="00A33AA3" w:rsidP="005E36B7">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A.V.I.</w:t>
            </w:r>
          </w:p>
        </w:tc>
        <w:tc>
          <w:tcPr>
            <w:tcW w:w="851" w:type="dxa"/>
            <w:tcBorders>
              <w:top w:val="single" w:sz="4" w:space="0" w:color="auto"/>
              <w:left w:val="nil"/>
              <w:bottom w:val="single" w:sz="4" w:space="0" w:color="auto"/>
              <w:right w:val="single" w:sz="4" w:space="0" w:color="auto"/>
            </w:tcBorders>
            <w:shd w:val="clear" w:color="000000" w:fill="D9D9D9"/>
            <w:noWrap/>
            <w:vAlign w:val="center"/>
            <w:hideMark/>
          </w:tcPr>
          <w:p w14:paraId="62884B27" w14:textId="77777777" w:rsidR="00A33AA3" w:rsidRPr="005E36B7" w:rsidRDefault="00A33AA3" w:rsidP="005E36B7">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C.O.M.A.</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21B812A7" w14:textId="77777777" w:rsidR="00A33AA3" w:rsidRPr="005E36B7" w:rsidRDefault="00A33AA3" w:rsidP="005E36B7">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A.E.I.R.</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2DB05155" w14:textId="77777777" w:rsidR="00A33AA3" w:rsidRPr="005E36B7" w:rsidRDefault="00A33AA3" w:rsidP="005E36B7">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V.A.T.T.</w:t>
            </w:r>
          </w:p>
        </w:tc>
      </w:tr>
      <w:tr w:rsidR="005E36B7" w:rsidRPr="005E36B7" w14:paraId="2BACA7E5"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8D2BA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w:t>
            </w:r>
          </w:p>
        </w:tc>
        <w:tc>
          <w:tcPr>
            <w:tcW w:w="5103" w:type="dxa"/>
            <w:tcBorders>
              <w:top w:val="nil"/>
              <w:left w:val="nil"/>
              <w:bottom w:val="single" w:sz="4" w:space="0" w:color="auto"/>
              <w:right w:val="single" w:sz="4" w:space="0" w:color="auto"/>
            </w:tcBorders>
            <w:shd w:val="clear" w:color="auto" w:fill="auto"/>
            <w:noWrap/>
            <w:vAlign w:val="center"/>
            <w:hideMark/>
          </w:tcPr>
          <w:p w14:paraId="1AD19C0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w:t>
            </w:r>
          </w:p>
        </w:tc>
        <w:tc>
          <w:tcPr>
            <w:tcW w:w="992" w:type="dxa"/>
            <w:tcBorders>
              <w:top w:val="nil"/>
              <w:left w:val="nil"/>
              <w:bottom w:val="single" w:sz="4" w:space="0" w:color="auto"/>
              <w:right w:val="single" w:sz="4" w:space="0" w:color="auto"/>
            </w:tcBorders>
            <w:shd w:val="clear" w:color="auto" w:fill="auto"/>
            <w:noWrap/>
            <w:vAlign w:val="center"/>
          </w:tcPr>
          <w:p w14:paraId="765AE4D8" w14:textId="636C913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3.709.315</w:t>
            </w:r>
          </w:p>
        </w:tc>
        <w:tc>
          <w:tcPr>
            <w:tcW w:w="851" w:type="dxa"/>
            <w:tcBorders>
              <w:top w:val="nil"/>
              <w:left w:val="nil"/>
              <w:bottom w:val="single" w:sz="4" w:space="0" w:color="auto"/>
              <w:right w:val="single" w:sz="4" w:space="0" w:color="auto"/>
            </w:tcBorders>
            <w:shd w:val="clear" w:color="auto" w:fill="auto"/>
            <w:noWrap/>
            <w:vAlign w:val="center"/>
          </w:tcPr>
          <w:p w14:paraId="180A36CB" w14:textId="6F02374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486.383</w:t>
            </w:r>
          </w:p>
        </w:tc>
        <w:tc>
          <w:tcPr>
            <w:tcW w:w="992" w:type="dxa"/>
            <w:tcBorders>
              <w:top w:val="nil"/>
              <w:left w:val="nil"/>
              <w:bottom w:val="single" w:sz="4" w:space="0" w:color="auto"/>
              <w:right w:val="single" w:sz="4" w:space="0" w:color="auto"/>
            </w:tcBorders>
            <w:shd w:val="clear" w:color="auto" w:fill="auto"/>
            <w:noWrap/>
            <w:vAlign w:val="center"/>
          </w:tcPr>
          <w:p w14:paraId="5AE4DB31" w14:textId="36A4459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527.103</w:t>
            </w:r>
          </w:p>
        </w:tc>
        <w:tc>
          <w:tcPr>
            <w:tcW w:w="992" w:type="dxa"/>
            <w:tcBorders>
              <w:top w:val="nil"/>
              <w:left w:val="nil"/>
              <w:bottom w:val="single" w:sz="4" w:space="0" w:color="auto"/>
              <w:right w:val="single" w:sz="4" w:space="0" w:color="auto"/>
            </w:tcBorders>
            <w:shd w:val="clear" w:color="auto" w:fill="auto"/>
            <w:noWrap/>
            <w:vAlign w:val="center"/>
          </w:tcPr>
          <w:p w14:paraId="18B9D1A7" w14:textId="581CA71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4.722.800</w:t>
            </w:r>
          </w:p>
        </w:tc>
      </w:tr>
      <w:tr w:rsidR="005E36B7" w:rsidRPr="005E36B7" w14:paraId="24CB0FC0"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9B1C6D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w:t>
            </w:r>
          </w:p>
        </w:tc>
        <w:tc>
          <w:tcPr>
            <w:tcW w:w="5103" w:type="dxa"/>
            <w:tcBorders>
              <w:top w:val="nil"/>
              <w:left w:val="nil"/>
              <w:bottom w:val="single" w:sz="4" w:space="0" w:color="auto"/>
              <w:right w:val="single" w:sz="4" w:space="0" w:color="auto"/>
            </w:tcBorders>
            <w:shd w:val="clear" w:color="auto" w:fill="auto"/>
            <w:noWrap/>
            <w:vAlign w:val="center"/>
            <w:hideMark/>
          </w:tcPr>
          <w:p w14:paraId="54253CD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Ancoa</w:t>
            </w:r>
          </w:p>
        </w:tc>
        <w:tc>
          <w:tcPr>
            <w:tcW w:w="992" w:type="dxa"/>
            <w:tcBorders>
              <w:top w:val="nil"/>
              <w:left w:val="nil"/>
              <w:bottom w:val="single" w:sz="4" w:space="0" w:color="auto"/>
              <w:right w:val="single" w:sz="4" w:space="0" w:color="auto"/>
            </w:tcBorders>
            <w:shd w:val="clear" w:color="auto" w:fill="auto"/>
            <w:noWrap/>
            <w:vAlign w:val="center"/>
          </w:tcPr>
          <w:p w14:paraId="339B895A" w14:textId="29D55E2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6.090.060</w:t>
            </w:r>
          </w:p>
        </w:tc>
        <w:tc>
          <w:tcPr>
            <w:tcW w:w="851" w:type="dxa"/>
            <w:tcBorders>
              <w:top w:val="nil"/>
              <w:left w:val="nil"/>
              <w:bottom w:val="single" w:sz="4" w:space="0" w:color="auto"/>
              <w:right w:val="single" w:sz="4" w:space="0" w:color="auto"/>
            </w:tcBorders>
            <w:shd w:val="clear" w:color="auto" w:fill="auto"/>
            <w:noWrap/>
            <w:vAlign w:val="center"/>
          </w:tcPr>
          <w:p w14:paraId="70F11098" w14:textId="17F9A97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811.480</w:t>
            </w:r>
          </w:p>
        </w:tc>
        <w:tc>
          <w:tcPr>
            <w:tcW w:w="992" w:type="dxa"/>
            <w:tcBorders>
              <w:top w:val="nil"/>
              <w:left w:val="nil"/>
              <w:bottom w:val="single" w:sz="4" w:space="0" w:color="auto"/>
              <w:right w:val="single" w:sz="4" w:space="0" w:color="auto"/>
            </w:tcBorders>
            <w:shd w:val="clear" w:color="auto" w:fill="auto"/>
            <w:noWrap/>
            <w:vAlign w:val="center"/>
          </w:tcPr>
          <w:p w14:paraId="6B167B52" w14:textId="120A0DC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752.188</w:t>
            </w:r>
          </w:p>
        </w:tc>
        <w:tc>
          <w:tcPr>
            <w:tcW w:w="992" w:type="dxa"/>
            <w:tcBorders>
              <w:top w:val="nil"/>
              <w:left w:val="nil"/>
              <w:bottom w:val="single" w:sz="4" w:space="0" w:color="auto"/>
              <w:right w:val="single" w:sz="4" w:space="0" w:color="auto"/>
            </w:tcBorders>
            <w:shd w:val="clear" w:color="auto" w:fill="auto"/>
            <w:noWrap/>
            <w:vAlign w:val="center"/>
          </w:tcPr>
          <w:p w14:paraId="5885EC67" w14:textId="1136E47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7.653.728</w:t>
            </w:r>
          </w:p>
        </w:tc>
      </w:tr>
      <w:tr w:rsidR="005E36B7" w:rsidRPr="005E36B7" w14:paraId="44CF4ADF"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D27F48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w:t>
            </w:r>
          </w:p>
        </w:tc>
        <w:tc>
          <w:tcPr>
            <w:tcW w:w="5103" w:type="dxa"/>
            <w:tcBorders>
              <w:top w:val="nil"/>
              <w:left w:val="nil"/>
              <w:bottom w:val="single" w:sz="4" w:space="0" w:color="auto"/>
              <w:right w:val="single" w:sz="4" w:space="0" w:color="auto"/>
            </w:tcBorders>
            <w:shd w:val="clear" w:color="auto" w:fill="auto"/>
            <w:noWrap/>
            <w:vAlign w:val="center"/>
            <w:hideMark/>
          </w:tcPr>
          <w:p w14:paraId="20DD506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Atacama</w:t>
            </w:r>
          </w:p>
        </w:tc>
        <w:tc>
          <w:tcPr>
            <w:tcW w:w="992" w:type="dxa"/>
            <w:tcBorders>
              <w:top w:val="nil"/>
              <w:left w:val="nil"/>
              <w:bottom w:val="single" w:sz="4" w:space="0" w:color="auto"/>
              <w:right w:val="single" w:sz="4" w:space="0" w:color="auto"/>
            </w:tcBorders>
            <w:shd w:val="clear" w:color="auto" w:fill="auto"/>
            <w:noWrap/>
            <w:vAlign w:val="center"/>
          </w:tcPr>
          <w:p w14:paraId="6561C246" w14:textId="40A0D21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370.112</w:t>
            </w:r>
          </w:p>
        </w:tc>
        <w:tc>
          <w:tcPr>
            <w:tcW w:w="851" w:type="dxa"/>
            <w:tcBorders>
              <w:top w:val="nil"/>
              <w:left w:val="nil"/>
              <w:bottom w:val="single" w:sz="4" w:space="0" w:color="auto"/>
              <w:right w:val="single" w:sz="4" w:space="0" w:color="auto"/>
            </w:tcBorders>
            <w:shd w:val="clear" w:color="auto" w:fill="auto"/>
            <w:noWrap/>
            <w:vAlign w:val="center"/>
          </w:tcPr>
          <w:p w14:paraId="7266EF3D" w14:textId="070931A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77.071</w:t>
            </w:r>
          </w:p>
        </w:tc>
        <w:tc>
          <w:tcPr>
            <w:tcW w:w="992" w:type="dxa"/>
            <w:tcBorders>
              <w:top w:val="nil"/>
              <w:left w:val="nil"/>
              <w:bottom w:val="single" w:sz="4" w:space="0" w:color="auto"/>
              <w:right w:val="single" w:sz="4" w:space="0" w:color="auto"/>
            </w:tcBorders>
            <w:shd w:val="clear" w:color="auto" w:fill="auto"/>
            <w:noWrap/>
            <w:vAlign w:val="center"/>
          </w:tcPr>
          <w:p w14:paraId="71F4E201" w14:textId="4E85272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78.138</w:t>
            </w:r>
          </w:p>
        </w:tc>
        <w:tc>
          <w:tcPr>
            <w:tcW w:w="992" w:type="dxa"/>
            <w:tcBorders>
              <w:top w:val="nil"/>
              <w:left w:val="nil"/>
              <w:bottom w:val="single" w:sz="4" w:space="0" w:color="auto"/>
              <w:right w:val="single" w:sz="4" w:space="0" w:color="auto"/>
            </w:tcBorders>
            <w:shd w:val="clear" w:color="auto" w:fill="auto"/>
            <w:noWrap/>
            <w:vAlign w:val="center"/>
          </w:tcPr>
          <w:p w14:paraId="5A8F4177" w14:textId="6815CEB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525.320</w:t>
            </w:r>
          </w:p>
        </w:tc>
      </w:tr>
      <w:tr w:rsidR="005E36B7" w:rsidRPr="005E36B7" w14:paraId="1FB69401"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782247"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w:t>
            </w:r>
          </w:p>
        </w:tc>
        <w:tc>
          <w:tcPr>
            <w:tcW w:w="5103" w:type="dxa"/>
            <w:tcBorders>
              <w:top w:val="nil"/>
              <w:left w:val="nil"/>
              <w:bottom w:val="single" w:sz="4" w:space="0" w:color="auto"/>
              <w:right w:val="single" w:sz="4" w:space="0" w:color="auto"/>
            </w:tcBorders>
            <w:shd w:val="clear" w:color="auto" w:fill="auto"/>
            <w:noWrap/>
            <w:vAlign w:val="center"/>
            <w:hideMark/>
          </w:tcPr>
          <w:p w14:paraId="1EC7F2C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Bureo</w:t>
            </w:r>
          </w:p>
        </w:tc>
        <w:tc>
          <w:tcPr>
            <w:tcW w:w="992" w:type="dxa"/>
            <w:tcBorders>
              <w:top w:val="nil"/>
              <w:left w:val="nil"/>
              <w:bottom w:val="single" w:sz="4" w:space="0" w:color="auto"/>
              <w:right w:val="single" w:sz="4" w:space="0" w:color="auto"/>
            </w:tcBorders>
            <w:shd w:val="clear" w:color="auto" w:fill="auto"/>
            <w:noWrap/>
            <w:vAlign w:val="center"/>
          </w:tcPr>
          <w:p w14:paraId="77B8C4B4" w14:textId="0BA61D6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065F317E" w14:textId="73BAE83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CFA6B3E" w14:textId="7D91316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7DF0F366" w14:textId="702B776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24DF3756"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A58BF4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w:t>
            </w:r>
          </w:p>
        </w:tc>
        <w:tc>
          <w:tcPr>
            <w:tcW w:w="5103" w:type="dxa"/>
            <w:tcBorders>
              <w:top w:val="nil"/>
              <w:left w:val="nil"/>
              <w:bottom w:val="single" w:sz="4" w:space="0" w:color="auto"/>
              <w:right w:val="single" w:sz="4" w:space="0" w:color="auto"/>
            </w:tcBorders>
            <w:shd w:val="clear" w:color="auto" w:fill="auto"/>
            <w:noWrap/>
            <w:vAlign w:val="center"/>
            <w:hideMark/>
          </w:tcPr>
          <w:p w14:paraId="79AE191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Calama Nueva</w:t>
            </w:r>
          </w:p>
        </w:tc>
        <w:tc>
          <w:tcPr>
            <w:tcW w:w="992" w:type="dxa"/>
            <w:tcBorders>
              <w:top w:val="nil"/>
              <w:left w:val="nil"/>
              <w:bottom w:val="single" w:sz="4" w:space="0" w:color="auto"/>
              <w:right w:val="single" w:sz="4" w:space="0" w:color="auto"/>
            </w:tcBorders>
            <w:shd w:val="clear" w:color="auto" w:fill="auto"/>
            <w:noWrap/>
            <w:vAlign w:val="center"/>
          </w:tcPr>
          <w:p w14:paraId="2705B0EC" w14:textId="0F10BE5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66.482</w:t>
            </w:r>
          </w:p>
        </w:tc>
        <w:tc>
          <w:tcPr>
            <w:tcW w:w="851" w:type="dxa"/>
            <w:tcBorders>
              <w:top w:val="nil"/>
              <w:left w:val="nil"/>
              <w:bottom w:val="single" w:sz="4" w:space="0" w:color="auto"/>
              <w:right w:val="single" w:sz="4" w:space="0" w:color="auto"/>
            </w:tcBorders>
            <w:shd w:val="clear" w:color="auto" w:fill="auto"/>
            <w:noWrap/>
            <w:vAlign w:val="center"/>
          </w:tcPr>
          <w:p w14:paraId="2061034F" w14:textId="21AFEDF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53.349</w:t>
            </w:r>
          </w:p>
        </w:tc>
        <w:tc>
          <w:tcPr>
            <w:tcW w:w="992" w:type="dxa"/>
            <w:tcBorders>
              <w:top w:val="nil"/>
              <w:left w:val="nil"/>
              <w:bottom w:val="single" w:sz="4" w:space="0" w:color="auto"/>
              <w:right w:val="single" w:sz="4" w:space="0" w:color="auto"/>
            </w:tcBorders>
            <w:shd w:val="clear" w:color="auto" w:fill="auto"/>
            <w:noWrap/>
            <w:vAlign w:val="center"/>
          </w:tcPr>
          <w:p w14:paraId="44C8C2AB" w14:textId="1E7B122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11.024</w:t>
            </w:r>
          </w:p>
        </w:tc>
        <w:tc>
          <w:tcPr>
            <w:tcW w:w="992" w:type="dxa"/>
            <w:tcBorders>
              <w:top w:val="nil"/>
              <w:left w:val="nil"/>
              <w:bottom w:val="single" w:sz="4" w:space="0" w:color="auto"/>
              <w:right w:val="single" w:sz="4" w:space="0" w:color="auto"/>
            </w:tcBorders>
            <w:shd w:val="clear" w:color="auto" w:fill="auto"/>
            <w:noWrap/>
            <w:vAlign w:val="center"/>
          </w:tcPr>
          <w:p w14:paraId="64E0F335" w14:textId="5F9C294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130.855</w:t>
            </w:r>
          </w:p>
        </w:tc>
      </w:tr>
      <w:tr w:rsidR="005E36B7" w:rsidRPr="005E36B7" w14:paraId="5440C82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25A941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w:t>
            </w:r>
          </w:p>
        </w:tc>
        <w:tc>
          <w:tcPr>
            <w:tcW w:w="5103" w:type="dxa"/>
            <w:tcBorders>
              <w:top w:val="nil"/>
              <w:left w:val="nil"/>
              <w:bottom w:val="single" w:sz="4" w:space="0" w:color="auto"/>
              <w:right w:val="single" w:sz="4" w:space="0" w:color="auto"/>
            </w:tcBorders>
            <w:shd w:val="clear" w:color="auto" w:fill="auto"/>
            <w:noWrap/>
            <w:vAlign w:val="center"/>
            <w:hideMark/>
          </w:tcPr>
          <w:p w14:paraId="07F10D6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Candelaria</w:t>
            </w:r>
          </w:p>
        </w:tc>
        <w:tc>
          <w:tcPr>
            <w:tcW w:w="992" w:type="dxa"/>
            <w:tcBorders>
              <w:top w:val="nil"/>
              <w:left w:val="nil"/>
              <w:bottom w:val="single" w:sz="4" w:space="0" w:color="auto"/>
              <w:right w:val="single" w:sz="4" w:space="0" w:color="auto"/>
            </w:tcBorders>
            <w:shd w:val="clear" w:color="auto" w:fill="auto"/>
            <w:noWrap/>
            <w:vAlign w:val="center"/>
          </w:tcPr>
          <w:p w14:paraId="459B0AD8" w14:textId="6B014C1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116.446</w:t>
            </w:r>
          </w:p>
        </w:tc>
        <w:tc>
          <w:tcPr>
            <w:tcW w:w="851" w:type="dxa"/>
            <w:tcBorders>
              <w:top w:val="nil"/>
              <w:left w:val="nil"/>
              <w:bottom w:val="single" w:sz="4" w:space="0" w:color="auto"/>
              <w:right w:val="single" w:sz="4" w:space="0" w:color="auto"/>
            </w:tcBorders>
            <w:shd w:val="clear" w:color="auto" w:fill="auto"/>
            <w:noWrap/>
            <w:vAlign w:val="center"/>
          </w:tcPr>
          <w:p w14:paraId="67FBDAAE" w14:textId="1363D96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42.453</w:t>
            </w:r>
          </w:p>
        </w:tc>
        <w:tc>
          <w:tcPr>
            <w:tcW w:w="992" w:type="dxa"/>
            <w:tcBorders>
              <w:top w:val="nil"/>
              <w:left w:val="nil"/>
              <w:bottom w:val="single" w:sz="4" w:space="0" w:color="auto"/>
              <w:right w:val="single" w:sz="4" w:space="0" w:color="auto"/>
            </w:tcBorders>
            <w:shd w:val="clear" w:color="auto" w:fill="auto"/>
            <w:noWrap/>
            <w:vAlign w:val="center"/>
          </w:tcPr>
          <w:p w14:paraId="440139B9" w14:textId="27AFA4C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22.066</w:t>
            </w:r>
          </w:p>
        </w:tc>
        <w:tc>
          <w:tcPr>
            <w:tcW w:w="992" w:type="dxa"/>
            <w:tcBorders>
              <w:top w:val="nil"/>
              <w:left w:val="nil"/>
              <w:bottom w:val="single" w:sz="4" w:space="0" w:color="auto"/>
              <w:right w:val="single" w:sz="4" w:space="0" w:color="auto"/>
            </w:tcBorders>
            <w:shd w:val="clear" w:color="auto" w:fill="auto"/>
            <w:noWrap/>
            <w:vAlign w:val="center"/>
          </w:tcPr>
          <w:p w14:paraId="7E10595A" w14:textId="7992F50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180.965</w:t>
            </w:r>
          </w:p>
        </w:tc>
      </w:tr>
      <w:tr w:rsidR="005E36B7" w:rsidRPr="005E36B7" w14:paraId="6D729FA0"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44B871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w:t>
            </w:r>
          </w:p>
        </w:tc>
        <w:tc>
          <w:tcPr>
            <w:tcW w:w="5103" w:type="dxa"/>
            <w:tcBorders>
              <w:top w:val="nil"/>
              <w:left w:val="nil"/>
              <w:bottom w:val="single" w:sz="4" w:space="0" w:color="auto"/>
              <w:right w:val="single" w:sz="4" w:space="0" w:color="auto"/>
            </w:tcBorders>
            <w:shd w:val="clear" w:color="auto" w:fill="auto"/>
            <w:noWrap/>
            <w:vAlign w:val="center"/>
            <w:hideMark/>
          </w:tcPr>
          <w:p w14:paraId="708B428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Cardones</w:t>
            </w:r>
          </w:p>
        </w:tc>
        <w:tc>
          <w:tcPr>
            <w:tcW w:w="992" w:type="dxa"/>
            <w:tcBorders>
              <w:top w:val="nil"/>
              <w:left w:val="nil"/>
              <w:bottom w:val="single" w:sz="4" w:space="0" w:color="auto"/>
              <w:right w:val="single" w:sz="4" w:space="0" w:color="auto"/>
            </w:tcBorders>
            <w:shd w:val="clear" w:color="auto" w:fill="auto"/>
            <w:noWrap/>
            <w:vAlign w:val="center"/>
          </w:tcPr>
          <w:p w14:paraId="2984B4A0" w14:textId="44FE56B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1.052.218</w:t>
            </w:r>
          </w:p>
        </w:tc>
        <w:tc>
          <w:tcPr>
            <w:tcW w:w="851" w:type="dxa"/>
            <w:tcBorders>
              <w:top w:val="nil"/>
              <w:left w:val="nil"/>
              <w:bottom w:val="single" w:sz="4" w:space="0" w:color="auto"/>
              <w:right w:val="single" w:sz="4" w:space="0" w:color="auto"/>
            </w:tcBorders>
            <w:shd w:val="clear" w:color="auto" w:fill="auto"/>
            <w:noWrap/>
            <w:vAlign w:val="center"/>
          </w:tcPr>
          <w:p w14:paraId="631227C7" w14:textId="2B6020A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167.675</w:t>
            </w:r>
          </w:p>
        </w:tc>
        <w:tc>
          <w:tcPr>
            <w:tcW w:w="992" w:type="dxa"/>
            <w:tcBorders>
              <w:top w:val="nil"/>
              <w:left w:val="nil"/>
              <w:bottom w:val="single" w:sz="4" w:space="0" w:color="auto"/>
              <w:right w:val="single" w:sz="4" w:space="0" w:color="auto"/>
            </w:tcBorders>
            <w:shd w:val="clear" w:color="auto" w:fill="auto"/>
            <w:noWrap/>
            <w:vAlign w:val="center"/>
          </w:tcPr>
          <w:p w14:paraId="4A8CEC56" w14:textId="6584DE0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143.141</w:t>
            </w:r>
          </w:p>
        </w:tc>
        <w:tc>
          <w:tcPr>
            <w:tcW w:w="992" w:type="dxa"/>
            <w:tcBorders>
              <w:top w:val="nil"/>
              <w:left w:val="nil"/>
              <w:bottom w:val="single" w:sz="4" w:space="0" w:color="auto"/>
              <w:right w:val="single" w:sz="4" w:space="0" w:color="auto"/>
            </w:tcBorders>
            <w:shd w:val="clear" w:color="auto" w:fill="auto"/>
            <w:noWrap/>
            <w:vAlign w:val="center"/>
          </w:tcPr>
          <w:p w14:paraId="1B53806D" w14:textId="793AA1E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1.363.033</w:t>
            </w:r>
          </w:p>
        </w:tc>
      </w:tr>
      <w:tr w:rsidR="005E36B7" w:rsidRPr="005E36B7" w14:paraId="4AF6DDCD"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162A8A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SE-N_8</w:t>
            </w:r>
          </w:p>
        </w:tc>
        <w:tc>
          <w:tcPr>
            <w:tcW w:w="5103" w:type="dxa"/>
            <w:tcBorders>
              <w:top w:val="nil"/>
              <w:left w:val="nil"/>
              <w:bottom w:val="single" w:sz="4" w:space="0" w:color="auto"/>
              <w:right w:val="single" w:sz="4" w:space="0" w:color="auto"/>
            </w:tcBorders>
            <w:shd w:val="clear" w:color="auto" w:fill="auto"/>
            <w:noWrap/>
            <w:vAlign w:val="center"/>
            <w:hideMark/>
          </w:tcPr>
          <w:p w14:paraId="20ECB4F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Carrera Pinto</w:t>
            </w:r>
          </w:p>
        </w:tc>
        <w:tc>
          <w:tcPr>
            <w:tcW w:w="992" w:type="dxa"/>
            <w:tcBorders>
              <w:top w:val="nil"/>
              <w:left w:val="nil"/>
              <w:bottom w:val="single" w:sz="4" w:space="0" w:color="auto"/>
              <w:right w:val="single" w:sz="4" w:space="0" w:color="auto"/>
            </w:tcBorders>
            <w:shd w:val="clear" w:color="auto" w:fill="auto"/>
            <w:noWrap/>
            <w:vAlign w:val="center"/>
          </w:tcPr>
          <w:p w14:paraId="33E6EDE0" w14:textId="15636B0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329.819</w:t>
            </w:r>
          </w:p>
        </w:tc>
        <w:tc>
          <w:tcPr>
            <w:tcW w:w="851" w:type="dxa"/>
            <w:tcBorders>
              <w:top w:val="nil"/>
              <w:left w:val="nil"/>
              <w:bottom w:val="single" w:sz="4" w:space="0" w:color="auto"/>
              <w:right w:val="single" w:sz="4" w:space="0" w:color="auto"/>
            </w:tcBorders>
            <w:shd w:val="clear" w:color="auto" w:fill="auto"/>
            <w:noWrap/>
            <w:vAlign w:val="center"/>
          </w:tcPr>
          <w:p w14:paraId="3D40802B" w14:textId="06BBA25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44.685</w:t>
            </w:r>
          </w:p>
        </w:tc>
        <w:tc>
          <w:tcPr>
            <w:tcW w:w="992" w:type="dxa"/>
            <w:tcBorders>
              <w:top w:val="nil"/>
              <w:left w:val="nil"/>
              <w:bottom w:val="single" w:sz="4" w:space="0" w:color="auto"/>
              <w:right w:val="single" w:sz="4" w:space="0" w:color="auto"/>
            </w:tcBorders>
            <w:shd w:val="clear" w:color="auto" w:fill="auto"/>
            <w:noWrap/>
            <w:vAlign w:val="center"/>
          </w:tcPr>
          <w:p w14:paraId="6E81CAA2" w14:textId="20172F7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45.616</w:t>
            </w:r>
          </w:p>
        </w:tc>
        <w:tc>
          <w:tcPr>
            <w:tcW w:w="992" w:type="dxa"/>
            <w:tcBorders>
              <w:top w:val="nil"/>
              <w:left w:val="nil"/>
              <w:bottom w:val="single" w:sz="4" w:space="0" w:color="auto"/>
              <w:right w:val="single" w:sz="4" w:space="0" w:color="auto"/>
            </w:tcBorders>
            <w:shd w:val="clear" w:color="auto" w:fill="auto"/>
            <w:noWrap/>
            <w:vAlign w:val="center"/>
          </w:tcPr>
          <w:p w14:paraId="0447A0F7" w14:textId="54CDCE3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420.120</w:t>
            </w:r>
          </w:p>
        </w:tc>
      </w:tr>
      <w:tr w:rsidR="005E36B7" w:rsidRPr="005E36B7" w14:paraId="1B69C890"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A7D28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SE-N_9</w:t>
            </w:r>
          </w:p>
        </w:tc>
        <w:tc>
          <w:tcPr>
            <w:tcW w:w="5103" w:type="dxa"/>
            <w:tcBorders>
              <w:top w:val="nil"/>
              <w:left w:val="nil"/>
              <w:bottom w:val="single" w:sz="4" w:space="0" w:color="auto"/>
              <w:right w:val="single" w:sz="4" w:space="0" w:color="auto"/>
            </w:tcBorders>
            <w:shd w:val="clear" w:color="auto" w:fill="auto"/>
            <w:noWrap/>
            <w:vAlign w:val="center"/>
            <w:hideMark/>
          </w:tcPr>
          <w:p w14:paraId="70450CD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Cautin</w:t>
            </w:r>
          </w:p>
        </w:tc>
        <w:tc>
          <w:tcPr>
            <w:tcW w:w="992" w:type="dxa"/>
            <w:tcBorders>
              <w:top w:val="nil"/>
              <w:left w:val="nil"/>
              <w:bottom w:val="single" w:sz="4" w:space="0" w:color="auto"/>
              <w:right w:val="single" w:sz="4" w:space="0" w:color="auto"/>
            </w:tcBorders>
            <w:shd w:val="clear" w:color="auto" w:fill="auto"/>
            <w:noWrap/>
            <w:vAlign w:val="center"/>
          </w:tcPr>
          <w:p w14:paraId="240B698E" w14:textId="5882B1F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532.146</w:t>
            </w:r>
          </w:p>
        </w:tc>
        <w:tc>
          <w:tcPr>
            <w:tcW w:w="851" w:type="dxa"/>
            <w:tcBorders>
              <w:top w:val="nil"/>
              <w:left w:val="nil"/>
              <w:bottom w:val="single" w:sz="4" w:space="0" w:color="auto"/>
              <w:right w:val="single" w:sz="4" w:space="0" w:color="auto"/>
            </w:tcBorders>
            <w:shd w:val="clear" w:color="auto" w:fill="auto"/>
            <w:noWrap/>
            <w:vAlign w:val="center"/>
          </w:tcPr>
          <w:p w14:paraId="64DD3C62" w14:textId="0D5E03E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83.634</w:t>
            </w:r>
          </w:p>
        </w:tc>
        <w:tc>
          <w:tcPr>
            <w:tcW w:w="992" w:type="dxa"/>
            <w:tcBorders>
              <w:top w:val="nil"/>
              <w:left w:val="nil"/>
              <w:bottom w:val="single" w:sz="4" w:space="0" w:color="auto"/>
              <w:right w:val="single" w:sz="4" w:space="0" w:color="auto"/>
            </w:tcBorders>
            <w:shd w:val="clear" w:color="auto" w:fill="auto"/>
            <w:noWrap/>
            <w:vAlign w:val="center"/>
          </w:tcPr>
          <w:p w14:paraId="1662669A" w14:textId="00ADA2B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95.935</w:t>
            </w:r>
          </w:p>
        </w:tc>
        <w:tc>
          <w:tcPr>
            <w:tcW w:w="992" w:type="dxa"/>
            <w:tcBorders>
              <w:top w:val="nil"/>
              <w:left w:val="nil"/>
              <w:bottom w:val="single" w:sz="4" w:space="0" w:color="auto"/>
              <w:right w:val="single" w:sz="4" w:space="0" w:color="auto"/>
            </w:tcBorders>
            <w:shd w:val="clear" w:color="auto" w:fill="auto"/>
            <w:noWrap/>
            <w:vAlign w:val="center"/>
          </w:tcPr>
          <w:p w14:paraId="5806E41B" w14:textId="314DF75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711.715</w:t>
            </w:r>
          </w:p>
        </w:tc>
      </w:tr>
      <w:tr w:rsidR="005E36B7" w:rsidRPr="005E36B7" w14:paraId="7C160DB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43FED3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SE-N_10</w:t>
            </w:r>
          </w:p>
        </w:tc>
        <w:tc>
          <w:tcPr>
            <w:tcW w:w="5103" w:type="dxa"/>
            <w:tcBorders>
              <w:top w:val="nil"/>
              <w:left w:val="nil"/>
              <w:bottom w:val="single" w:sz="4" w:space="0" w:color="auto"/>
              <w:right w:val="single" w:sz="4" w:space="0" w:color="auto"/>
            </w:tcBorders>
            <w:shd w:val="clear" w:color="auto" w:fill="auto"/>
            <w:noWrap/>
            <w:vAlign w:val="center"/>
            <w:hideMark/>
          </w:tcPr>
          <w:p w14:paraId="637D2E7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Cerro Navia</w:t>
            </w:r>
          </w:p>
        </w:tc>
        <w:tc>
          <w:tcPr>
            <w:tcW w:w="992" w:type="dxa"/>
            <w:tcBorders>
              <w:top w:val="nil"/>
              <w:left w:val="nil"/>
              <w:bottom w:val="single" w:sz="4" w:space="0" w:color="auto"/>
              <w:right w:val="single" w:sz="4" w:space="0" w:color="auto"/>
            </w:tcBorders>
            <w:shd w:val="clear" w:color="auto" w:fill="auto"/>
            <w:noWrap/>
            <w:vAlign w:val="center"/>
          </w:tcPr>
          <w:p w14:paraId="546BE431" w14:textId="584C6E3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3.791.206</w:t>
            </w:r>
          </w:p>
        </w:tc>
        <w:tc>
          <w:tcPr>
            <w:tcW w:w="851" w:type="dxa"/>
            <w:tcBorders>
              <w:top w:val="nil"/>
              <w:left w:val="nil"/>
              <w:bottom w:val="single" w:sz="4" w:space="0" w:color="auto"/>
              <w:right w:val="single" w:sz="4" w:space="0" w:color="auto"/>
            </w:tcBorders>
            <w:shd w:val="clear" w:color="auto" w:fill="auto"/>
            <w:noWrap/>
            <w:vAlign w:val="center"/>
          </w:tcPr>
          <w:p w14:paraId="4A1E13A7" w14:textId="705DE0F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557.317</w:t>
            </w:r>
          </w:p>
        </w:tc>
        <w:tc>
          <w:tcPr>
            <w:tcW w:w="992" w:type="dxa"/>
            <w:tcBorders>
              <w:top w:val="nil"/>
              <w:left w:val="nil"/>
              <w:bottom w:val="single" w:sz="4" w:space="0" w:color="auto"/>
              <w:right w:val="single" w:sz="4" w:space="0" w:color="auto"/>
            </w:tcBorders>
            <w:shd w:val="clear" w:color="auto" w:fill="auto"/>
            <w:noWrap/>
            <w:vAlign w:val="center"/>
          </w:tcPr>
          <w:p w14:paraId="7EE4BE10" w14:textId="3B59F07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589.526</w:t>
            </w:r>
          </w:p>
        </w:tc>
        <w:tc>
          <w:tcPr>
            <w:tcW w:w="992" w:type="dxa"/>
            <w:tcBorders>
              <w:top w:val="nil"/>
              <w:left w:val="nil"/>
              <w:bottom w:val="single" w:sz="4" w:space="0" w:color="auto"/>
              <w:right w:val="single" w:sz="4" w:space="0" w:color="auto"/>
            </w:tcBorders>
            <w:shd w:val="clear" w:color="auto" w:fill="auto"/>
            <w:noWrap/>
            <w:vAlign w:val="center"/>
          </w:tcPr>
          <w:p w14:paraId="285C6832" w14:textId="0CAA300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4.938.049</w:t>
            </w:r>
          </w:p>
        </w:tc>
      </w:tr>
      <w:tr w:rsidR="005E36B7" w:rsidRPr="005E36B7" w14:paraId="11A08862"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19379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SE-N_11</w:t>
            </w:r>
          </w:p>
        </w:tc>
        <w:tc>
          <w:tcPr>
            <w:tcW w:w="5103" w:type="dxa"/>
            <w:tcBorders>
              <w:top w:val="nil"/>
              <w:left w:val="nil"/>
              <w:bottom w:val="single" w:sz="4" w:space="0" w:color="auto"/>
              <w:right w:val="single" w:sz="4" w:space="0" w:color="auto"/>
            </w:tcBorders>
            <w:shd w:val="clear" w:color="auto" w:fill="auto"/>
            <w:noWrap/>
            <w:vAlign w:val="center"/>
            <w:hideMark/>
          </w:tcPr>
          <w:p w14:paraId="63767D7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w:t>
            </w:r>
          </w:p>
        </w:tc>
        <w:tc>
          <w:tcPr>
            <w:tcW w:w="992" w:type="dxa"/>
            <w:tcBorders>
              <w:top w:val="nil"/>
              <w:left w:val="nil"/>
              <w:bottom w:val="single" w:sz="4" w:space="0" w:color="auto"/>
              <w:right w:val="single" w:sz="4" w:space="0" w:color="auto"/>
            </w:tcBorders>
            <w:shd w:val="clear" w:color="auto" w:fill="auto"/>
            <w:noWrap/>
            <w:vAlign w:val="center"/>
          </w:tcPr>
          <w:p w14:paraId="53B8F1F6" w14:textId="5D8B44C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2.672.488</w:t>
            </w:r>
          </w:p>
        </w:tc>
        <w:tc>
          <w:tcPr>
            <w:tcW w:w="851" w:type="dxa"/>
            <w:tcBorders>
              <w:top w:val="nil"/>
              <w:left w:val="nil"/>
              <w:bottom w:val="single" w:sz="4" w:space="0" w:color="auto"/>
              <w:right w:val="single" w:sz="4" w:space="0" w:color="auto"/>
            </w:tcBorders>
            <w:shd w:val="clear" w:color="auto" w:fill="auto"/>
            <w:noWrap/>
            <w:vAlign w:val="center"/>
          </w:tcPr>
          <w:p w14:paraId="79274421" w14:textId="67776C3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432.410</w:t>
            </w:r>
          </w:p>
        </w:tc>
        <w:tc>
          <w:tcPr>
            <w:tcW w:w="992" w:type="dxa"/>
            <w:tcBorders>
              <w:top w:val="nil"/>
              <w:left w:val="nil"/>
              <w:bottom w:val="single" w:sz="4" w:space="0" w:color="auto"/>
              <w:right w:val="single" w:sz="4" w:space="0" w:color="auto"/>
            </w:tcBorders>
            <w:shd w:val="clear" w:color="auto" w:fill="auto"/>
            <w:noWrap/>
            <w:vAlign w:val="center"/>
          </w:tcPr>
          <w:p w14:paraId="726D970D" w14:textId="0C5E0C6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381.459</w:t>
            </w:r>
          </w:p>
        </w:tc>
        <w:tc>
          <w:tcPr>
            <w:tcW w:w="992" w:type="dxa"/>
            <w:tcBorders>
              <w:top w:val="nil"/>
              <w:left w:val="nil"/>
              <w:bottom w:val="single" w:sz="4" w:space="0" w:color="auto"/>
              <w:right w:val="single" w:sz="4" w:space="0" w:color="auto"/>
            </w:tcBorders>
            <w:shd w:val="clear" w:color="auto" w:fill="auto"/>
            <w:noWrap/>
            <w:vAlign w:val="center"/>
          </w:tcPr>
          <w:p w14:paraId="7148D1AB" w14:textId="1C0F437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3.486.357</w:t>
            </w:r>
          </w:p>
        </w:tc>
      </w:tr>
      <w:tr w:rsidR="005E36B7" w:rsidRPr="005E36B7" w14:paraId="6D428D71"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9CC36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SE-N_12</w:t>
            </w:r>
          </w:p>
        </w:tc>
        <w:tc>
          <w:tcPr>
            <w:tcW w:w="5103" w:type="dxa"/>
            <w:tcBorders>
              <w:top w:val="nil"/>
              <w:left w:val="nil"/>
              <w:bottom w:val="single" w:sz="4" w:space="0" w:color="auto"/>
              <w:right w:val="single" w:sz="4" w:space="0" w:color="auto"/>
            </w:tcBorders>
            <w:shd w:val="clear" w:color="auto" w:fill="auto"/>
            <w:noWrap/>
            <w:vAlign w:val="center"/>
            <w:hideMark/>
          </w:tcPr>
          <w:p w14:paraId="57025D2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Chena</w:t>
            </w:r>
          </w:p>
        </w:tc>
        <w:tc>
          <w:tcPr>
            <w:tcW w:w="992" w:type="dxa"/>
            <w:tcBorders>
              <w:top w:val="nil"/>
              <w:left w:val="nil"/>
              <w:bottom w:val="single" w:sz="4" w:space="0" w:color="auto"/>
              <w:right w:val="single" w:sz="4" w:space="0" w:color="auto"/>
            </w:tcBorders>
            <w:shd w:val="clear" w:color="auto" w:fill="auto"/>
            <w:noWrap/>
            <w:vAlign w:val="center"/>
          </w:tcPr>
          <w:p w14:paraId="10BB92BC" w14:textId="406FFEA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1.808.380</w:t>
            </w:r>
          </w:p>
        </w:tc>
        <w:tc>
          <w:tcPr>
            <w:tcW w:w="851" w:type="dxa"/>
            <w:tcBorders>
              <w:top w:val="nil"/>
              <w:left w:val="nil"/>
              <w:bottom w:val="single" w:sz="4" w:space="0" w:color="auto"/>
              <w:right w:val="single" w:sz="4" w:space="0" w:color="auto"/>
            </w:tcBorders>
            <w:shd w:val="clear" w:color="auto" w:fill="auto"/>
            <w:noWrap/>
            <w:vAlign w:val="center"/>
          </w:tcPr>
          <w:p w14:paraId="06F8DE50" w14:textId="69112DB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160.337</w:t>
            </w:r>
          </w:p>
        </w:tc>
        <w:tc>
          <w:tcPr>
            <w:tcW w:w="992" w:type="dxa"/>
            <w:tcBorders>
              <w:top w:val="nil"/>
              <w:left w:val="nil"/>
              <w:bottom w:val="single" w:sz="4" w:space="0" w:color="auto"/>
              <w:right w:val="single" w:sz="4" w:space="0" w:color="auto"/>
            </w:tcBorders>
            <w:shd w:val="clear" w:color="auto" w:fill="auto"/>
            <w:noWrap/>
            <w:vAlign w:val="center"/>
          </w:tcPr>
          <w:p w14:paraId="14755664" w14:textId="62AEF74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300.651</w:t>
            </w:r>
          </w:p>
        </w:tc>
        <w:tc>
          <w:tcPr>
            <w:tcW w:w="992" w:type="dxa"/>
            <w:tcBorders>
              <w:top w:val="nil"/>
              <w:left w:val="nil"/>
              <w:bottom w:val="single" w:sz="4" w:space="0" w:color="auto"/>
              <w:right w:val="single" w:sz="4" w:space="0" w:color="auto"/>
            </w:tcBorders>
            <w:shd w:val="clear" w:color="auto" w:fill="auto"/>
            <w:noWrap/>
            <w:vAlign w:val="center"/>
          </w:tcPr>
          <w:p w14:paraId="747FFE0F" w14:textId="5B1CA86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2.269.368</w:t>
            </w:r>
          </w:p>
        </w:tc>
      </w:tr>
      <w:tr w:rsidR="005E36B7" w:rsidRPr="005E36B7" w14:paraId="6A6DEC9A"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D391BF7"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SE-N_13</w:t>
            </w:r>
          </w:p>
        </w:tc>
        <w:tc>
          <w:tcPr>
            <w:tcW w:w="5103" w:type="dxa"/>
            <w:tcBorders>
              <w:top w:val="nil"/>
              <w:left w:val="nil"/>
              <w:bottom w:val="single" w:sz="4" w:space="0" w:color="auto"/>
              <w:right w:val="single" w:sz="4" w:space="0" w:color="auto"/>
            </w:tcBorders>
            <w:shd w:val="clear" w:color="auto" w:fill="auto"/>
            <w:noWrap/>
            <w:vAlign w:val="center"/>
            <w:hideMark/>
          </w:tcPr>
          <w:p w14:paraId="02F2AC9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Chiloe</w:t>
            </w:r>
          </w:p>
        </w:tc>
        <w:tc>
          <w:tcPr>
            <w:tcW w:w="992" w:type="dxa"/>
            <w:tcBorders>
              <w:top w:val="nil"/>
              <w:left w:val="nil"/>
              <w:bottom w:val="single" w:sz="4" w:space="0" w:color="auto"/>
              <w:right w:val="single" w:sz="4" w:space="0" w:color="auto"/>
            </w:tcBorders>
            <w:shd w:val="clear" w:color="auto" w:fill="auto"/>
            <w:noWrap/>
            <w:vAlign w:val="center"/>
          </w:tcPr>
          <w:p w14:paraId="32D32EB6" w14:textId="21C64EE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223.762</w:t>
            </w:r>
          </w:p>
        </w:tc>
        <w:tc>
          <w:tcPr>
            <w:tcW w:w="851" w:type="dxa"/>
            <w:tcBorders>
              <w:top w:val="nil"/>
              <w:left w:val="nil"/>
              <w:bottom w:val="single" w:sz="4" w:space="0" w:color="auto"/>
              <w:right w:val="single" w:sz="4" w:space="0" w:color="auto"/>
            </w:tcBorders>
            <w:shd w:val="clear" w:color="auto" w:fill="auto"/>
            <w:noWrap/>
            <w:vAlign w:val="center"/>
          </w:tcPr>
          <w:p w14:paraId="6AB3D582" w14:textId="314DD38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56.888</w:t>
            </w:r>
          </w:p>
        </w:tc>
        <w:tc>
          <w:tcPr>
            <w:tcW w:w="992" w:type="dxa"/>
            <w:tcBorders>
              <w:top w:val="nil"/>
              <w:left w:val="nil"/>
              <w:bottom w:val="single" w:sz="4" w:space="0" w:color="auto"/>
              <w:right w:val="single" w:sz="4" w:space="0" w:color="auto"/>
            </w:tcBorders>
            <w:shd w:val="clear" w:color="auto" w:fill="auto"/>
            <w:noWrap/>
            <w:vAlign w:val="center"/>
          </w:tcPr>
          <w:p w14:paraId="1012C175" w14:textId="1205282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34.122</w:t>
            </w:r>
          </w:p>
        </w:tc>
        <w:tc>
          <w:tcPr>
            <w:tcW w:w="992" w:type="dxa"/>
            <w:tcBorders>
              <w:top w:val="nil"/>
              <w:left w:val="nil"/>
              <w:bottom w:val="single" w:sz="4" w:space="0" w:color="auto"/>
              <w:right w:val="single" w:sz="4" w:space="0" w:color="auto"/>
            </w:tcBorders>
            <w:shd w:val="clear" w:color="auto" w:fill="auto"/>
            <w:noWrap/>
            <w:vAlign w:val="center"/>
          </w:tcPr>
          <w:p w14:paraId="3A946831" w14:textId="66DFFE0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314.772</w:t>
            </w:r>
          </w:p>
        </w:tc>
      </w:tr>
      <w:tr w:rsidR="005E36B7" w:rsidRPr="005E36B7" w14:paraId="1657BB3E"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1AB0C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SE-N_14</w:t>
            </w:r>
          </w:p>
        </w:tc>
        <w:tc>
          <w:tcPr>
            <w:tcW w:w="5103" w:type="dxa"/>
            <w:tcBorders>
              <w:top w:val="nil"/>
              <w:left w:val="nil"/>
              <w:bottom w:val="single" w:sz="4" w:space="0" w:color="auto"/>
              <w:right w:val="single" w:sz="4" w:space="0" w:color="auto"/>
            </w:tcBorders>
            <w:shd w:val="clear" w:color="auto" w:fill="auto"/>
            <w:noWrap/>
            <w:vAlign w:val="center"/>
            <w:hideMark/>
          </w:tcPr>
          <w:p w14:paraId="18FBA9A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Chuquicamata</w:t>
            </w:r>
          </w:p>
        </w:tc>
        <w:tc>
          <w:tcPr>
            <w:tcW w:w="992" w:type="dxa"/>
            <w:tcBorders>
              <w:top w:val="nil"/>
              <w:left w:val="nil"/>
              <w:bottom w:val="single" w:sz="4" w:space="0" w:color="auto"/>
              <w:right w:val="single" w:sz="4" w:space="0" w:color="auto"/>
            </w:tcBorders>
            <w:shd w:val="clear" w:color="auto" w:fill="auto"/>
            <w:noWrap/>
            <w:vAlign w:val="center"/>
          </w:tcPr>
          <w:p w14:paraId="09A8B887" w14:textId="547D623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201.909</w:t>
            </w:r>
          </w:p>
        </w:tc>
        <w:tc>
          <w:tcPr>
            <w:tcW w:w="851" w:type="dxa"/>
            <w:tcBorders>
              <w:top w:val="nil"/>
              <w:left w:val="nil"/>
              <w:bottom w:val="single" w:sz="4" w:space="0" w:color="auto"/>
              <w:right w:val="single" w:sz="4" w:space="0" w:color="auto"/>
            </w:tcBorders>
            <w:shd w:val="clear" w:color="auto" w:fill="auto"/>
            <w:noWrap/>
            <w:vAlign w:val="center"/>
          </w:tcPr>
          <w:p w14:paraId="28BBB763" w14:textId="42BF76A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60.577</w:t>
            </w:r>
          </w:p>
        </w:tc>
        <w:tc>
          <w:tcPr>
            <w:tcW w:w="992" w:type="dxa"/>
            <w:tcBorders>
              <w:top w:val="nil"/>
              <w:left w:val="nil"/>
              <w:bottom w:val="single" w:sz="4" w:space="0" w:color="auto"/>
              <w:right w:val="single" w:sz="4" w:space="0" w:color="auto"/>
            </w:tcBorders>
            <w:shd w:val="clear" w:color="auto" w:fill="auto"/>
            <w:noWrap/>
            <w:vAlign w:val="center"/>
          </w:tcPr>
          <w:p w14:paraId="4477081D" w14:textId="583755C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25.881</w:t>
            </w:r>
          </w:p>
        </w:tc>
        <w:tc>
          <w:tcPr>
            <w:tcW w:w="992" w:type="dxa"/>
            <w:tcBorders>
              <w:top w:val="nil"/>
              <w:left w:val="nil"/>
              <w:bottom w:val="single" w:sz="4" w:space="0" w:color="auto"/>
              <w:right w:val="single" w:sz="4" w:space="0" w:color="auto"/>
            </w:tcBorders>
            <w:shd w:val="clear" w:color="auto" w:fill="auto"/>
            <w:noWrap/>
            <w:vAlign w:val="center"/>
          </w:tcPr>
          <w:p w14:paraId="257F0E63" w14:textId="559276F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288.367</w:t>
            </w:r>
          </w:p>
        </w:tc>
      </w:tr>
      <w:tr w:rsidR="005E36B7" w:rsidRPr="005E36B7" w14:paraId="528E9B04"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B6F3B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SE-N_15</w:t>
            </w:r>
          </w:p>
        </w:tc>
        <w:tc>
          <w:tcPr>
            <w:tcW w:w="5103" w:type="dxa"/>
            <w:tcBorders>
              <w:top w:val="nil"/>
              <w:left w:val="nil"/>
              <w:bottom w:val="single" w:sz="4" w:space="0" w:color="auto"/>
              <w:right w:val="single" w:sz="4" w:space="0" w:color="auto"/>
            </w:tcBorders>
            <w:shd w:val="clear" w:color="auto" w:fill="auto"/>
            <w:noWrap/>
            <w:vAlign w:val="center"/>
            <w:hideMark/>
          </w:tcPr>
          <w:p w14:paraId="0BB19F0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Ciruelos</w:t>
            </w:r>
          </w:p>
        </w:tc>
        <w:tc>
          <w:tcPr>
            <w:tcW w:w="992" w:type="dxa"/>
            <w:tcBorders>
              <w:top w:val="nil"/>
              <w:left w:val="nil"/>
              <w:bottom w:val="single" w:sz="4" w:space="0" w:color="auto"/>
              <w:right w:val="single" w:sz="4" w:space="0" w:color="auto"/>
            </w:tcBorders>
            <w:shd w:val="clear" w:color="auto" w:fill="auto"/>
            <w:noWrap/>
            <w:vAlign w:val="center"/>
          </w:tcPr>
          <w:p w14:paraId="382EDC09" w14:textId="18FA4E0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504.191</w:t>
            </w:r>
          </w:p>
        </w:tc>
        <w:tc>
          <w:tcPr>
            <w:tcW w:w="851" w:type="dxa"/>
            <w:tcBorders>
              <w:top w:val="nil"/>
              <w:left w:val="nil"/>
              <w:bottom w:val="single" w:sz="4" w:space="0" w:color="auto"/>
              <w:right w:val="single" w:sz="4" w:space="0" w:color="auto"/>
            </w:tcBorders>
            <w:shd w:val="clear" w:color="auto" w:fill="auto"/>
            <w:noWrap/>
            <w:vAlign w:val="center"/>
          </w:tcPr>
          <w:p w14:paraId="78BC0ED9" w14:textId="295B15A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82.112</w:t>
            </w:r>
          </w:p>
        </w:tc>
        <w:tc>
          <w:tcPr>
            <w:tcW w:w="992" w:type="dxa"/>
            <w:tcBorders>
              <w:top w:val="nil"/>
              <w:left w:val="nil"/>
              <w:bottom w:val="single" w:sz="4" w:space="0" w:color="auto"/>
              <w:right w:val="single" w:sz="4" w:space="0" w:color="auto"/>
            </w:tcBorders>
            <w:shd w:val="clear" w:color="auto" w:fill="auto"/>
            <w:noWrap/>
            <w:vAlign w:val="center"/>
          </w:tcPr>
          <w:p w14:paraId="619282E8" w14:textId="593DD97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76.414</w:t>
            </w:r>
          </w:p>
        </w:tc>
        <w:tc>
          <w:tcPr>
            <w:tcW w:w="992" w:type="dxa"/>
            <w:tcBorders>
              <w:top w:val="nil"/>
              <w:left w:val="nil"/>
              <w:bottom w:val="single" w:sz="4" w:space="0" w:color="auto"/>
              <w:right w:val="single" w:sz="4" w:space="0" w:color="auto"/>
            </w:tcBorders>
            <w:shd w:val="clear" w:color="auto" w:fill="auto"/>
            <w:noWrap/>
            <w:vAlign w:val="center"/>
          </w:tcPr>
          <w:p w14:paraId="4CB4E3A9" w14:textId="0412F2E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662.717</w:t>
            </w:r>
          </w:p>
        </w:tc>
      </w:tr>
      <w:tr w:rsidR="005E36B7" w:rsidRPr="005E36B7" w14:paraId="4DCA2049"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DDD36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SE-N_16</w:t>
            </w:r>
          </w:p>
        </w:tc>
        <w:tc>
          <w:tcPr>
            <w:tcW w:w="5103" w:type="dxa"/>
            <w:tcBorders>
              <w:top w:val="nil"/>
              <w:left w:val="nil"/>
              <w:bottom w:val="single" w:sz="4" w:space="0" w:color="auto"/>
              <w:right w:val="single" w:sz="4" w:space="0" w:color="auto"/>
            </w:tcBorders>
            <w:shd w:val="clear" w:color="auto" w:fill="auto"/>
            <w:noWrap/>
            <w:vAlign w:val="center"/>
            <w:hideMark/>
          </w:tcPr>
          <w:p w14:paraId="3002EB6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Colbun</w:t>
            </w:r>
          </w:p>
        </w:tc>
        <w:tc>
          <w:tcPr>
            <w:tcW w:w="992" w:type="dxa"/>
            <w:tcBorders>
              <w:top w:val="nil"/>
              <w:left w:val="nil"/>
              <w:bottom w:val="single" w:sz="4" w:space="0" w:color="auto"/>
              <w:right w:val="single" w:sz="4" w:space="0" w:color="auto"/>
            </w:tcBorders>
            <w:shd w:val="clear" w:color="auto" w:fill="auto"/>
            <w:noWrap/>
            <w:vAlign w:val="center"/>
          </w:tcPr>
          <w:p w14:paraId="7B0EC7D4" w14:textId="1F5A8E4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243.475</w:t>
            </w:r>
          </w:p>
        </w:tc>
        <w:tc>
          <w:tcPr>
            <w:tcW w:w="851" w:type="dxa"/>
            <w:tcBorders>
              <w:top w:val="nil"/>
              <w:left w:val="nil"/>
              <w:bottom w:val="single" w:sz="4" w:space="0" w:color="auto"/>
              <w:right w:val="single" w:sz="4" w:space="0" w:color="auto"/>
            </w:tcBorders>
            <w:shd w:val="clear" w:color="auto" w:fill="auto"/>
            <w:noWrap/>
            <w:vAlign w:val="center"/>
          </w:tcPr>
          <w:p w14:paraId="01150D4D" w14:textId="344E339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105.497</w:t>
            </w:r>
          </w:p>
        </w:tc>
        <w:tc>
          <w:tcPr>
            <w:tcW w:w="992" w:type="dxa"/>
            <w:tcBorders>
              <w:top w:val="nil"/>
              <w:left w:val="nil"/>
              <w:bottom w:val="single" w:sz="4" w:space="0" w:color="auto"/>
              <w:right w:val="single" w:sz="4" w:space="0" w:color="auto"/>
            </w:tcBorders>
            <w:shd w:val="clear" w:color="auto" w:fill="auto"/>
            <w:noWrap/>
            <w:vAlign w:val="center"/>
          </w:tcPr>
          <w:p w14:paraId="1FABEB10" w14:textId="333481C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44.065</w:t>
            </w:r>
          </w:p>
        </w:tc>
        <w:tc>
          <w:tcPr>
            <w:tcW w:w="992" w:type="dxa"/>
            <w:tcBorders>
              <w:top w:val="nil"/>
              <w:left w:val="nil"/>
              <w:bottom w:val="single" w:sz="4" w:space="0" w:color="auto"/>
              <w:right w:val="single" w:sz="4" w:space="0" w:color="auto"/>
            </w:tcBorders>
            <w:shd w:val="clear" w:color="auto" w:fill="auto"/>
            <w:noWrap/>
            <w:vAlign w:val="center"/>
          </w:tcPr>
          <w:p w14:paraId="21657F1C" w14:textId="055171D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393.037</w:t>
            </w:r>
          </w:p>
        </w:tc>
      </w:tr>
      <w:tr w:rsidR="005E36B7" w:rsidRPr="005E36B7" w14:paraId="77596C96"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E45812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SE-N_17</w:t>
            </w:r>
          </w:p>
        </w:tc>
        <w:tc>
          <w:tcPr>
            <w:tcW w:w="5103" w:type="dxa"/>
            <w:tcBorders>
              <w:top w:val="nil"/>
              <w:left w:val="nil"/>
              <w:bottom w:val="single" w:sz="4" w:space="0" w:color="auto"/>
              <w:right w:val="single" w:sz="4" w:space="0" w:color="auto"/>
            </w:tcBorders>
            <w:shd w:val="clear" w:color="auto" w:fill="auto"/>
            <w:noWrap/>
            <w:vAlign w:val="center"/>
            <w:hideMark/>
          </w:tcPr>
          <w:p w14:paraId="2B7965A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Concepcion</w:t>
            </w:r>
          </w:p>
        </w:tc>
        <w:tc>
          <w:tcPr>
            <w:tcW w:w="992" w:type="dxa"/>
            <w:tcBorders>
              <w:top w:val="nil"/>
              <w:left w:val="nil"/>
              <w:bottom w:val="single" w:sz="4" w:space="0" w:color="auto"/>
              <w:right w:val="single" w:sz="4" w:space="0" w:color="auto"/>
            </w:tcBorders>
            <w:shd w:val="clear" w:color="auto" w:fill="auto"/>
            <w:noWrap/>
            <w:vAlign w:val="center"/>
          </w:tcPr>
          <w:p w14:paraId="6B3E7EE1" w14:textId="71B8A32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523.425</w:t>
            </w:r>
          </w:p>
        </w:tc>
        <w:tc>
          <w:tcPr>
            <w:tcW w:w="851" w:type="dxa"/>
            <w:tcBorders>
              <w:top w:val="nil"/>
              <w:left w:val="nil"/>
              <w:bottom w:val="single" w:sz="4" w:space="0" w:color="auto"/>
              <w:right w:val="single" w:sz="4" w:space="0" w:color="auto"/>
            </w:tcBorders>
            <w:shd w:val="clear" w:color="auto" w:fill="auto"/>
            <w:noWrap/>
            <w:vAlign w:val="center"/>
          </w:tcPr>
          <w:p w14:paraId="57966031" w14:textId="10AB2AB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121.600</w:t>
            </w:r>
          </w:p>
        </w:tc>
        <w:tc>
          <w:tcPr>
            <w:tcW w:w="992" w:type="dxa"/>
            <w:tcBorders>
              <w:top w:val="nil"/>
              <w:left w:val="nil"/>
              <w:bottom w:val="single" w:sz="4" w:space="0" w:color="auto"/>
              <w:right w:val="single" w:sz="4" w:space="0" w:color="auto"/>
            </w:tcBorders>
            <w:shd w:val="clear" w:color="auto" w:fill="auto"/>
            <w:noWrap/>
            <w:vAlign w:val="center"/>
          </w:tcPr>
          <w:p w14:paraId="3EF52BB7" w14:textId="5F64DD4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102.472</w:t>
            </w:r>
          </w:p>
        </w:tc>
        <w:tc>
          <w:tcPr>
            <w:tcW w:w="992" w:type="dxa"/>
            <w:tcBorders>
              <w:top w:val="nil"/>
              <w:left w:val="nil"/>
              <w:bottom w:val="single" w:sz="4" w:space="0" w:color="auto"/>
              <w:right w:val="single" w:sz="4" w:space="0" w:color="auto"/>
            </w:tcBorders>
            <w:shd w:val="clear" w:color="auto" w:fill="auto"/>
            <w:noWrap/>
            <w:vAlign w:val="center"/>
          </w:tcPr>
          <w:p w14:paraId="5E9AE53E" w14:textId="3A7D28F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747.496</w:t>
            </w:r>
          </w:p>
        </w:tc>
      </w:tr>
      <w:tr w:rsidR="005E36B7" w:rsidRPr="005E36B7" w14:paraId="2E17473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CA7BA5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SE-N_18</w:t>
            </w:r>
          </w:p>
        </w:tc>
        <w:tc>
          <w:tcPr>
            <w:tcW w:w="5103" w:type="dxa"/>
            <w:tcBorders>
              <w:top w:val="nil"/>
              <w:left w:val="nil"/>
              <w:bottom w:val="single" w:sz="4" w:space="0" w:color="auto"/>
              <w:right w:val="single" w:sz="4" w:space="0" w:color="auto"/>
            </w:tcBorders>
            <w:shd w:val="clear" w:color="auto" w:fill="auto"/>
            <w:noWrap/>
            <w:vAlign w:val="center"/>
            <w:hideMark/>
          </w:tcPr>
          <w:p w14:paraId="09A5760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Condores</w:t>
            </w:r>
          </w:p>
        </w:tc>
        <w:tc>
          <w:tcPr>
            <w:tcW w:w="992" w:type="dxa"/>
            <w:tcBorders>
              <w:top w:val="nil"/>
              <w:left w:val="nil"/>
              <w:bottom w:val="single" w:sz="4" w:space="0" w:color="auto"/>
              <w:right w:val="single" w:sz="4" w:space="0" w:color="auto"/>
            </w:tcBorders>
            <w:shd w:val="clear" w:color="auto" w:fill="auto"/>
            <w:noWrap/>
            <w:vAlign w:val="center"/>
          </w:tcPr>
          <w:p w14:paraId="2BACAD47" w14:textId="7506E1A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463.680</w:t>
            </w:r>
          </w:p>
        </w:tc>
        <w:tc>
          <w:tcPr>
            <w:tcW w:w="851" w:type="dxa"/>
            <w:tcBorders>
              <w:top w:val="nil"/>
              <w:left w:val="nil"/>
              <w:bottom w:val="single" w:sz="4" w:space="0" w:color="auto"/>
              <w:right w:val="single" w:sz="4" w:space="0" w:color="auto"/>
            </w:tcBorders>
            <w:shd w:val="clear" w:color="auto" w:fill="auto"/>
            <w:noWrap/>
            <w:vAlign w:val="center"/>
          </w:tcPr>
          <w:p w14:paraId="1A803704" w14:textId="69C6771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73.329</w:t>
            </w:r>
          </w:p>
        </w:tc>
        <w:tc>
          <w:tcPr>
            <w:tcW w:w="992" w:type="dxa"/>
            <w:tcBorders>
              <w:top w:val="nil"/>
              <w:left w:val="nil"/>
              <w:bottom w:val="single" w:sz="4" w:space="0" w:color="auto"/>
              <w:right w:val="single" w:sz="4" w:space="0" w:color="auto"/>
            </w:tcBorders>
            <w:shd w:val="clear" w:color="auto" w:fill="auto"/>
            <w:noWrap/>
            <w:vAlign w:val="center"/>
          </w:tcPr>
          <w:p w14:paraId="43CB4D19" w14:textId="2991152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86.958</w:t>
            </w:r>
          </w:p>
        </w:tc>
        <w:tc>
          <w:tcPr>
            <w:tcW w:w="992" w:type="dxa"/>
            <w:tcBorders>
              <w:top w:val="nil"/>
              <w:left w:val="nil"/>
              <w:bottom w:val="single" w:sz="4" w:space="0" w:color="auto"/>
              <w:right w:val="single" w:sz="4" w:space="0" w:color="auto"/>
            </w:tcBorders>
            <w:shd w:val="clear" w:color="auto" w:fill="auto"/>
            <w:noWrap/>
            <w:vAlign w:val="center"/>
          </w:tcPr>
          <w:p w14:paraId="69599E35" w14:textId="74850D8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623.967</w:t>
            </w:r>
          </w:p>
        </w:tc>
      </w:tr>
      <w:tr w:rsidR="005E36B7" w:rsidRPr="005E36B7" w14:paraId="2D0DE0B1"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13313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SE-N_19</w:t>
            </w:r>
          </w:p>
        </w:tc>
        <w:tc>
          <w:tcPr>
            <w:tcW w:w="5103" w:type="dxa"/>
            <w:tcBorders>
              <w:top w:val="nil"/>
              <w:left w:val="nil"/>
              <w:bottom w:val="single" w:sz="4" w:space="0" w:color="auto"/>
              <w:right w:val="single" w:sz="4" w:space="0" w:color="auto"/>
            </w:tcBorders>
            <w:shd w:val="clear" w:color="auto" w:fill="auto"/>
            <w:noWrap/>
            <w:vAlign w:val="center"/>
            <w:hideMark/>
          </w:tcPr>
          <w:p w14:paraId="5154D67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Crucero</w:t>
            </w:r>
          </w:p>
        </w:tc>
        <w:tc>
          <w:tcPr>
            <w:tcW w:w="992" w:type="dxa"/>
            <w:tcBorders>
              <w:top w:val="nil"/>
              <w:left w:val="nil"/>
              <w:bottom w:val="single" w:sz="4" w:space="0" w:color="auto"/>
              <w:right w:val="single" w:sz="4" w:space="0" w:color="auto"/>
            </w:tcBorders>
            <w:shd w:val="clear" w:color="auto" w:fill="auto"/>
            <w:noWrap/>
            <w:vAlign w:val="center"/>
          </w:tcPr>
          <w:p w14:paraId="3EB45CE3" w14:textId="66335B3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681.076</w:t>
            </w:r>
          </w:p>
        </w:tc>
        <w:tc>
          <w:tcPr>
            <w:tcW w:w="851" w:type="dxa"/>
            <w:tcBorders>
              <w:top w:val="nil"/>
              <w:left w:val="nil"/>
              <w:bottom w:val="single" w:sz="4" w:space="0" w:color="auto"/>
              <w:right w:val="single" w:sz="4" w:space="0" w:color="auto"/>
            </w:tcBorders>
            <w:shd w:val="clear" w:color="auto" w:fill="auto"/>
            <w:noWrap/>
            <w:vAlign w:val="center"/>
          </w:tcPr>
          <w:p w14:paraId="285C3926" w14:textId="78A2860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114.735</w:t>
            </w:r>
          </w:p>
        </w:tc>
        <w:tc>
          <w:tcPr>
            <w:tcW w:w="992" w:type="dxa"/>
            <w:tcBorders>
              <w:top w:val="nil"/>
              <w:left w:val="nil"/>
              <w:bottom w:val="single" w:sz="4" w:space="0" w:color="auto"/>
              <w:right w:val="single" w:sz="4" w:space="0" w:color="auto"/>
            </w:tcBorders>
            <w:shd w:val="clear" w:color="auto" w:fill="auto"/>
            <w:noWrap/>
            <w:vAlign w:val="center"/>
          </w:tcPr>
          <w:p w14:paraId="7509219F" w14:textId="43B7A93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100.540</w:t>
            </w:r>
          </w:p>
        </w:tc>
        <w:tc>
          <w:tcPr>
            <w:tcW w:w="992" w:type="dxa"/>
            <w:tcBorders>
              <w:top w:val="nil"/>
              <w:left w:val="nil"/>
              <w:bottom w:val="single" w:sz="4" w:space="0" w:color="auto"/>
              <w:right w:val="single" w:sz="4" w:space="0" w:color="auto"/>
            </w:tcBorders>
            <w:shd w:val="clear" w:color="auto" w:fill="auto"/>
            <w:noWrap/>
            <w:vAlign w:val="center"/>
          </w:tcPr>
          <w:p w14:paraId="7A5BC127" w14:textId="70CD4CB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896.351</w:t>
            </w:r>
          </w:p>
        </w:tc>
      </w:tr>
      <w:tr w:rsidR="005E36B7" w:rsidRPr="005E36B7" w14:paraId="4F7BF09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71B2F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SE-N_20</w:t>
            </w:r>
          </w:p>
        </w:tc>
        <w:tc>
          <w:tcPr>
            <w:tcW w:w="5103" w:type="dxa"/>
            <w:tcBorders>
              <w:top w:val="nil"/>
              <w:left w:val="nil"/>
              <w:bottom w:val="single" w:sz="4" w:space="0" w:color="auto"/>
              <w:right w:val="single" w:sz="4" w:space="0" w:color="auto"/>
            </w:tcBorders>
            <w:shd w:val="clear" w:color="auto" w:fill="auto"/>
            <w:noWrap/>
            <w:vAlign w:val="center"/>
            <w:hideMark/>
          </w:tcPr>
          <w:p w14:paraId="0CEB0D8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Cumbre</w:t>
            </w:r>
          </w:p>
        </w:tc>
        <w:tc>
          <w:tcPr>
            <w:tcW w:w="992" w:type="dxa"/>
            <w:tcBorders>
              <w:top w:val="nil"/>
              <w:left w:val="nil"/>
              <w:bottom w:val="single" w:sz="4" w:space="0" w:color="auto"/>
              <w:right w:val="single" w:sz="4" w:space="0" w:color="auto"/>
            </w:tcBorders>
            <w:shd w:val="clear" w:color="auto" w:fill="auto"/>
            <w:noWrap/>
            <w:vAlign w:val="center"/>
          </w:tcPr>
          <w:p w14:paraId="30723062" w14:textId="3C538C5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670.839</w:t>
            </w:r>
          </w:p>
        </w:tc>
        <w:tc>
          <w:tcPr>
            <w:tcW w:w="851" w:type="dxa"/>
            <w:tcBorders>
              <w:top w:val="nil"/>
              <w:left w:val="nil"/>
              <w:bottom w:val="single" w:sz="4" w:space="0" w:color="auto"/>
              <w:right w:val="single" w:sz="4" w:space="0" w:color="auto"/>
            </w:tcBorders>
            <w:shd w:val="clear" w:color="auto" w:fill="auto"/>
            <w:noWrap/>
            <w:vAlign w:val="center"/>
          </w:tcPr>
          <w:p w14:paraId="27B6F89E" w14:textId="3C5CD4A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109.589</w:t>
            </w:r>
          </w:p>
        </w:tc>
        <w:tc>
          <w:tcPr>
            <w:tcW w:w="992" w:type="dxa"/>
            <w:tcBorders>
              <w:top w:val="nil"/>
              <w:left w:val="nil"/>
              <w:bottom w:val="single" w:sz="4" w:space="0" w:color="auto"/>
              <w:right w:val="single" w:sz="4" w:space="0" w:color="auto"/>
            </w:tcBorders>
            <w:shd w:val="clear" w:color="auto" w:fill="auto"/>
            <w:noWrap/>
            <w:vAlign w:val="center"/>
          </w:tcPr>
          <w:p w14:paraId="316C9725" w14:textId="45B0AD4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127.652</w:t>
            </w:r>
          </w:p>
        </w:tc>
        <w:tc>
          <w:tcPr>
            <w:tcW w:w="992" w:type="dxa"/>
            <w:tcBorders>
              <w:top w:val="nil"/>
              <w:left w:val="nil"/>
              <w:bottom w:val="single" w:sz="4" w:space="0" w:color="auto"/>
              <w:right w:val="single" w:sz="4" w:space="0" w:color="auto"/>
            </w:tcBorders>
            <w:shd w:val="clear" w:color="auto" w:fill="auto"/>
            <w:noWrap/>
            <w:vAlign w:val="center"/>
          </w:tcPr>
          <w:p w14:paraId="2DEF46CD" w14:textId="7F29802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908.081</w:t>
            </w:r>
          </w:p>
        </w:tc>
      </w:tr>
      <w:tr w:rsidR="005E36B7" w:rsidRPr="005E36B7" w14:paraId="08590A1F"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0C929E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SE-N_21</w:t>
            </w:r>
          </w:p>
        </w:tc>
        <w:tc>
          <w:tcPr>
            <w:tcW w:w="5103" w:type="dxa"/>
            <w:tcBorders>
              <w:top w:val="nil"/>
              <w:left w:val="nil"/>
              <w:bottom w:val="single" w:sz="4" w:space="0" w:color="auto"/>
              <w:right w:val="single" w:sz="4" w:space="0" w:color="auto"/>
            </w:tcBorders>
            <w:shd w:val="clear" w:color="auto" w:fill="auto"/>
            <w:noWrap/>
            <w:vAlign w:val="center"/>
            <w:hideMark/>
          </w:tcPr>
          <w:p w14:paraId="2058FEA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Diego de Almagro</w:t>
            </w:r>
          </w:p>
        </w:tc>
        <w:tc>
          <w:tcPr>
            <w:tcW w:w="992" w:type="dxa"/>
            <w:tcBorders>
              <w:top w:val="nil"/>
              <w:left w:val="nil"/>
              <w:bottom w:val="single" w:sz="4" w:space="0" w:color="auto"/>
              <w:right w:val="single" w:sz="4" w:space="0" w:color="auto"/>
            </w:tcBorders>
            <w:shd w:val="clear" w:color="auto" w:fill="auto"/>
            <w:noWrap/>
            <w:vAlign w:val="center"/>
          </w:tcPr>
          <w:p w14:paraId="112DF296" w14:textId="308D5D2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2.205.113</w:t>
            </w:r>
          </w:p>
        </w:tc>
        <w:tc>
          <w:tcPr>
            <w:tcW w:w="851" w:type="dxa"/>
            <w:tcBorders>
              <w:top w:val="nil"/>
              <w:left w:val="nil"/>
              <w:bottom w:val="single" w:sz="4" w:space="0" w:color="auto"/>
              <w:right w:val="single" w:sz="4" w:space="0" w:color="auto"/>
            </w:tcBorders>
            <w:shd w:val="clear" w:color="auto" w:fill="auto"/>
            <w:noWrap/>
            <w:vAlign w:val="center"/>
          </w:tcPr>
          <w:p w14:paraId="2AC01486" w14:textId="2A3AEEF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275.002</w:t>
            </w:r>
          </w:p>
        </w:tc>
        <w:tc>
          <w:tcPr>
            <w:tcW w:w="992" w:type="dxa"/>
            <w:tcBorders>
              <w:top w:val="nil"/>
              <w:left w:val="nil"/>
              <w:bottom w:val="single" w:sz="4" w:space="0" w:color="auto"/>
              <w:right w:val="single" w:sz="4" w:space="0" w:color="auto"/>
            </w:tcBorders>
            <w:shd w:val="clear" w:color="auto" w:fill="auto"/>
            <w:noWrap/>
            <w:vAlign w:val="center"/>
          </w:tcPr>
          <w:p w14:paraId="25E01CB7" w14:textId="14D10F6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276.320</w:t>
            </w:r>
          </w:p>
        </w:tc>
        <w:tc>
          <w:tcPr>
            <w:tcW w:w="992" w:type="dxa"/>
            <w:tcBorders>
              <w:top w:val="nil"/>
              <w:left w:val="nil"/>
              <w:bottom w:val="single" w:sz="4" w:space="0" w:color="auto"/>
              <w:right w:val="single" w:sz="4" w:space="0" w:color="auto"/>
            </w:tcBorders>
            <w:shd w:val="clear" w:color="auto" w:fill="auto"/>
            <w:noWrap/>
            <w:vAlign w:val="center"/>
          </w:tcPr>
          <w:p w14:paraId="21BA6FA0" w14:textId="012FD4F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2.756.435</w:t>
            </w:r>
          </w:p>
        </w:tc>
      </w:tr>
      <w:tr w:rsidR="005E36B7" w:rsidRPr="005E36B7" w14:paraId="34338946"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AE5F53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SE-N_22</w:t>
            </w:r>
          </w:p>
        </w:tc>
        <w:tc>
          <w:tcPr>
            <w:tcW w:w="5103" w:type="dxa"/>
            <w:tcBorders>
              <w:top w:val="nil"/>
              <w:left w:val="nil"/>
              <w:bottom w:val="single" w:sz="4" w:space="0" w:color="auto"/>
              <w:right w:val="single" w:sz="4" w:space="0" w:color="auto"/>
            </w:tcBorders>
            <w:shd w:val="clear" w:color="auto" w:fill="auto"/>
            <w:noWrap/>
            <w:vAlign w:val="center"/>
            <w:hideMark/>
          </w:tcPr>
          <w:p w14:paraId="42FC3FE7"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Don Goyo</w:t>
            </w:r>
          </w:p>
        </w:tc>
        <w:tc>
          <w:tcPr>
            <w:tcW w:w="992" w:type="dxa"/>
            <w:tcBorders>
              <w:top w:val="nil"/>
              <w:left w:val="nil"/>
              <w:bottom w:val="single" w:sz="4" w:space="0" w:color="auto"/>
              <w:right w:val="single" w:sz="4" w:space="0" w:color="auto"/>
            </w:tcBorders>
            <w:shd w:val="clear" w:color="auto" w:fill="auto"/>
            <w:noWrap/>
            <w:vAlign w:val="center"/>
          </w:tcPr>
          <w:p w14:paraId="622C585C" w14:textId="2018B65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63.554</w:t>
            </w:r>
          </w:p>
        </w:tc>
        <w:tc>
          <w:tcPr>
            <w:tcW w:w="851" w:type="dxa"/>
            <w:tcBorders>
              <w:top w:val="nil"/>
              <w:left w:val="nil"/>
              <w:bottom w:val="single" w:sz="4" w:space="0" w:color="auto"/>
              <w:right w:val="single" w:sz="4" w:space="0" w:color="auto"/>
            </w:tcBorders>
            <w:shd w:val="clear" w:color="auto" w:fill="auto"/>
            <w:noWrap/>
            <w:vAlign w:val="center"/>
          </w:tcPr>
          <w:p w14:paraId="5A469A49" w14:textId="5947A28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19.959</w:t>
            </w:r>
          </w:p>
        </w:tc>
        <w:tc>
          <w:tcPr>
            <w:tcW w:w="992" w:type="dxa"/>
            <w:tcBorders>
              <w:top w:val="nil"/>
              <w:left w:val="nil"/>
              <w:bottom w:val="single" w:sz="4" w:space="0" w:color="auto"/>
              <w:right w:val="single" w:sz="4" w:space="0" w:color="auto"/>
            </w:tcBorders>
            <w:shd w:val="clear" w:color="auto" w:fill="auto"/>
            <w:noWrap/>
            <w:vAlign w:val="center"/>
          </w:tcPr>
          <w:p w14:paraId="6199CCB1" w14:textId="1AD4816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9.746</w:t>
            </w:r>
          </w:p>
        </w:tc>
        <w:tc>
          <w:tcPr>
            <w:tcW w:w="992" w:type="dxa"/>
            <w:tcBorders>
              <w:top w:val="nil"/>
              <w:left w:val="nil"/>
              <w:bottom w:val="single" w:sz="4" w:space="0" w:color="auto"/>
              <w:right w:val="single" w:sz="4" w:space="0" w:color="auto"/>
            </w:tcBorders>
            <w:shd w:val="clear" w:color="auto" w:fill="auto"/>
            <w:noWrap/>
            <w:vAlign w:val="center"/>
          </w:tcPr>
          <w:p w14:paraId="644E8AE6" w14:textId="58C854F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93.258</w:t>
            </w:r>
          </w:p>
        </w:tc>
      </w:tr>
      <w:tr w:rsidR="005E36B7" w:rsidRPr="005E36B7" w14:paraId="00260D3E"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26159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SE-N_23</w:t>
            </w:r>
          </w:p>
        </w:tc>
        <w:tc>
          <w:tcPr>
            <w:tcW w:w="5103" w:type="dxa"/>
            <w:tcBorders>
              <w:top w:val="nil"/>
              <w:left w:val="nil"/>
              <w:bottom w:val="single" w:sz="4" w:space="0" w:color="auto"/>
              <w:right w:val="single" w:sz="4" w:space="0" w:color="auto"/>
            </w:tcBorders>
            <w:shd w:val="clear" w:color="auto" w:fill="auto"/>
            <w:noWrap/>
            <w:vAlign w:val="center"/>
            <w:hideMark/>
          </w:tcPr>
          <w:p w14:paraId="2817804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Don Hector</w:t>
            </w:r>
          </w:p>
        </w:tc>
        <w:tc>
          <w:tcPr>
            <w:tcW w:w="992" w:type="dxa"/>
            <w:tcBorders>
              <w:top w:val="nil"/>
              <w:left w:val="nil"/>
              <w:bottom w:val="single" w:sz="4" w:space="0" w:color="auto"/>
              <w:right w:val="single" w:sz="4" w:space="0" w:color="auto"/>
            </w:tcBorders>
            <w:shd w:val="clear" w:color="auto" w:fill="auto"/>
            <w:noWrap/>
            <w:vAlign w:val="center"/>
          </w:tcPr>
          <w:p w14:paraId="289FDFC8" w14:textId="3DCE8FB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202.289</w:t>
            </w:r>
          </w:p>
        </w:tc>
        <w:tc>
          <w:tcPr>
            <w:tcW w:w="851" w:type="dxa"/>
            <w:tcBorders>
              <w:top w:val="nil"/>
              <w:left w:val="nil"/>
              <w:bottom w:val="single" w:sz="4" w:space="0" w:color="auto"/>
              <w:right w:val="single" w:sz="4" w:space="0" w:color="auto"/>
            </w:tcBorders>
            <w:shd w:val="clear" w:color="auto" w:fill="auto"/>
            <w:noWrap/>
            <w:vAlign w:val="center"/>
          </w:tcPr>
          <w:p w14:paraId="1858CEE8" w14:textId="303DD2A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38.462</w:t>
            </w:r>
          </w:p>
        </w:tc>
        <w:tc>
          <w:tcPr>
            <w:tcW w:w="992" w:type="dxa"/>
            <w:tcBorders>
              <w:top w:val="nil"/>
              <w:left w:val="nil"/>
              <w:bottom w:val="single" w:sz="4" w:space="0" w:color="auto"/>
              <w:right w:val="single" w:sz="4" w:space="0" w:color="auto"/>
            </w:tcBorders>
            <w:shd w:val="clear" w:color="auto" w:fill="auto"/>
            <w:noWrap/>
            <w:vAlign w:val="center"/>
          </w:tcPr>
          <w:p w14:paraId="22064631" w14:textId="3C262B2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28.994</w:t>
            </w:r>
          </w:p>
        </w:tc>
        <w:tc>
          <w:tcPr>
            <w:tcW w:w="992" w:type="dxa"/>
            <w:tcBorders>
              <w:top w:val="nil"/>
              <w:left w:val="nil"/>
              <w:bottom w:val="single" w:sz="4" w:space="0" w:color="auto"/>
              <w:right w:val="single" w:sz="4" w:space="0" w:color="auto"/>
            </w:tcBorders>
            <w:shd w:val="clear" w:color="auto" w:fill="auto"/>
            <w:noWrap/>
            <w:vAlign w:val="center"/>
          </w:tcPr>
          <w:p w14:paraId="65BF8A35" w14:textId="0A522B3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269.745</w:t>
            </w:r>
          </w:p>
        </w:tc>
      </w:tr>
      <w:tr w:rsidR="005E36B7" w:rsidRPr="005E36B7" w14:paraId="371D573C"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D6ABE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SE-N_24</w:t>
            </w:r>
          </w:p>
        </w:tc>
        <w:tc>
          <w:tcPr>
            <w:tcW w:w="5103" w:type="dxa"/>
            <w:tcBorders>
              <w:top w:val="nil"/>
              <w:left w:val="nil"/>
              <w:bottom w:val="single" w:sz="4" w:space="0" w:color="auto"/>
              <w:right w:val="single" w:sz="4" w:space="0" w:color="auto"/>
            </w:tcBorders>
            <w:shd w:val="clear" w:color="auto" w:fill="auto"/>
            <w:noWrap/>
            <w:vAlign w:val="center"/>
            <w:hideMark/>
          </w:tcPr>
          <w:p w14:paraId="1C8DDFD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Duqueco</w:t>
            </w:r>
          </w:p>
        </w:tc>
        <w:tc>
          <w:tcPr>
            <w:tcW w:w="992" w:type="dxa"/>
            <w:tcBorders>
              <w:top w:val="nil"/>
              <w:left w:val="nil"/>
              <w:bottom w:val="single" w:sz="4" w:space="0" w:color="auto"/>
              <w:right w:val="single" w:sz="4" w:space="0" w:color="auto"/>
            </w:tcBorders>
            <w:shd w:val="clear" w:color="auto" w:fill="auto"/>
            <w:noWrap/>
            <w:vAlign w:val="center"/>
          </w:tcPr>
          <w:p w14:paraId="09D01272" w14:textId="52C6106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450.192</w:t>
            </w:r>
          </w:p>
        </w:tc>
        <w:tc>
          <w:tcPr>
            <w:tcW w:w="851" w:type="dxa"/>
            <w:tcBorders>
              <w:top w:val="nil"/>
              <w:left w:val="nil"/>
              <w:bottom w:val="single" w:sz="4" w:space="0" w:color="auto"/>
              <w:right w:val="single" w:sz="4" w:space="0" w:color="auto"/>
            </w:tcBorders>
            <w:shd w:val="clear" w:color="auto" w:fill="auto"/>
            <w:noWrap/>
            <w:vAlign w:val="center"/>
          </w:tcPr>
          <w:p w14:paraId="0E6057C3" w14:textId="276CCCF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79.745</w:t>
            </w:r>
          </w:p>
        </w:tc>
        <w:tc>
          <w:tcPr>
            <w:tcW w:w="992" w:type="dxa"/>
            <w:tcBorders>
              <w:top w:val="nil"/>
              <w:left w:val="nil"/>
              <w:bottom w:val="single" w:sz="4" w:space="0" w:color="auto"/>
              <w:right w:val="single" w:sz="4" w:space="0" w:color="auto"/>
            </w:tcBorders>
            <w:shd w:val="clear" w:color="auto" w:fill="auto"/>
            <w:noWrap/>
            <w:vAlign w:val="center"/>
          </w:tcPr>
          <w:p w14:paraId="21139E19" w14:textId="588467D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72.667</w:t>
            </w:r>
          </w:p>
        </w:tc>
        <w:tc>
          <w:tcPr>
            <w:tcW w:w="992" w:type="dxa"/>
            <w:tcBorders>
              <w:top w:val="nil"/>
              <w:left w:val="nil"/>
              <w:bottom w:val="single" w:sz="4" w:space="0" w:color="auto"/>
              <w:right w:val="single" w:sz="4" w:space="0" w:color="auto"/>
            </w:tcBorders>
            <w:shd w:val="clear" w:color="auto" w:fill="auto"/>
            <w:noWrap/>
            <w:vAlign w:val="center"/>
          </w:tcPr>
          <w:p w14:paraId="08A4D8C9" w14:textId="5CA1C6E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602.604</w:t>
            </w:r>
          </w:p>
        </w:tc>
      </w:tr>
      <w:tr w:rsidR="005E36B7" w:rsidRPr="005E36B7" w14:paraId="5EDE271E"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A865D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SE-N_25</w:t>
            </w:r>
          </w:p>
        </w:tc>
        <w:tc>
          <w:tcPr>
            <w:tcW w:w="5103" w:type="dxa"/>
            <w:tcBorders>
              <w:top w:val="nil"/>
              <w:left w:val="nil"/>
              <w:bottom w:val="single" w:sz="4" w:space="0" w:color="auto"/>
              <w:right w:val="single" w:sz="4" w:space="0" w:color="auto"/>
            </w:tcBorders>
            <w:shd w:val="clear" w:color="auto" w:fill="auto"/>
            <w:noWrap/>
            <w:vAlign w:val="center"/>
            <w:hideMark/>
          </w:tcPr>
          <w:p w14:paraId="06571F0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El Cobre</w:t>
            </w:r>
          </w:p>
        </w:tc>
        <w:tc>
          <w:tcPr>
            <w:tcW w:w="992" w:type="dxa"/>
            <w:tcBorders>
              <w:top w:val="nil"/>
              <w:left w:val="nil"/>
              <w:bottom w:val="single" w:sz="4" w:space="0" w:color="auto"/>
              <w:right w:val="single" w:sz="4" w:space="0" w:color="auto"/>
            </w:tcBorders>
            <w:shd w:val="clear" w:color="auto" w:fill="auto"/>
            <w:noWrap/>
            <w:vAlign w:val="center"/>
          </w:tcPr>
          <w:p w14:paraId="574D2AA0" w14:textId="49B7979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234.255</w:t>
            </w:r>
          </w:p>
        </w:tc>
        <w:tc>
          <w:tcPr>
            <w:tcW w:w="851" w:type="dxa"/>
            <w:tcBorders>
              <w:top w:val="nil"/>
              <w:left w:val="nil"/>
              <w:bottom w:val="single" w:sz="4" w:space="0" w:color="auto"/>
              <w:right w:val="single" w:sz="4" w:space="0" w:color="auto"/>
            </w:tcBorders>
            <w:shd w:val="clear" w:color="auto" w:fill="auto"/>
            <w:noWrap/>
            <w:vAlign w:val="center"/>
          </w:tcPr>
          <w:p w14:paraId="46691DFB" w14:textId="3894AA8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42.330</w:t>
            </w:r>
          </w:p>
        </w:tc>
        <w:tc>
          <w:tcPr>
            <w:tcW w:w="992" w:type="dxa"/>
            <w:tcBorders>
              <w:top w:val="nil"/>
              <w:left w:val="nil"/>
              <w:bottom w:val="single" w:sz="4" w:space="0" w:color="auto"/>
              <w:right w:val="single" w:sz="4" w:space="0" w:color="auto"/>
            </w:tcBorders>
            <w:shd w:val="clear" w:color="auto" w:fill="auto"/>
            <w:noWrap/>
            <w:vAlign w:val="center"/>
          </w:tcPr>
          <w:p w14:paraId="49B00890" w14:textId="5D33B52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37.538</w:t>
            </w:r>
          </w:p>
        </w:tc>
        <w:tc>
          <w:tcPr>
            <w:tcW w:w="992" w:type="dxa"/>
            <w:tcBorders>
              <w:top w:val="nil"/>
              <w:left w:val="nil"/>
              <w:bottom w:val="single" w:sz="4" w:space="0" w:color="auto"/>
              <w:right w:val="single" w:sz="4" w:space="0" w:color="auto"/>
            </w:tcBorders>
            <w:shd w:val="clear" w:color="auto" w:fill="auto"/>
            <w:noWrap/>
            <w:vAlign w:val="center"/>
          </w:tcPr>
          <w:p w14:paraId="0145691D" w14:textId="29A10E1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314.123</w:t>
            </w:r>
          </w:p>
        </w:tc>
      </w:tr>
      <w:tr w:rsidR="005E36B7" w:rsidRPr="005E36B7" w14:paraId="40D2F27D"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8FA2D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SE-N_26</w:t>
            </w:r>
          </w:p>
        </w:tc>
        <w:tc>
          <w:tcPr>
            <w:tcW w:w="5103" w:type="dxa"/>
            <w:tcBorders>
              <w:top w:val="nil"/>
              <w:left w:val="nil"/>
              <w:bottom w:val="single" w:sz="4" w:space="0" w:color="auto"/>
              <w:right w:val="single" w:sz="4" w:space="0" w:color="auto"/>
            </w:tcBorders>
            <w:shd w:val="clear" w:color="auto" w:fill="auto"/>
            <w:noWrap/>
            <w:vAlign w:val="center"/>
            <w:hideMark/>
          </w:tcPr>
          <w:p w14:paraId="2066B12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Encuentro</w:t>
            </w:r>
          </w:p>
        </w:tc>
        <w:tc>
          <w:tcPr>
            <w:tcW w:w="992" w:type="dxa"/>
            <w:tcBorders>
              <w:top w:val="nil"/>
              <w:left w:val="nil"/>
              <w:bottom w:val="single" w:sz="4" w:space="0" w:color="auto"/>
              <w:right w:val="single" w:sz="4" w:space="0" w:color="auto"/>
            </w:tcBorders>
            <w:shd w:val="clear" w:color="auto" w:fill="auto"/>
            <w:noWrap/>
            <w:vAlign w:val="center"/>
          </w:tcPr>
          <w:p w14:paraId="1EA5FA1C" w14:textId="601297E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649.947</w:t>
            </w:r>
          </w:p>
        </w:tc>
        <w:tc>
          <w:tcPr>
            <w:tcW w:w="851" w:type="dxa"/>
            <w:tcBorders>
              <w:top w:val="nil"/>
              <w:left w:val="nil"/>
              <w:bottom w:val="single" w:sz="4" w:space="0" w:color="auto"/>
              <w:right w:val="single" w:sz="4" w:space="0" w:color="auto"/>
            </w:tcBorders>
            <w:shd w:val="clear" w:color="auto" w:fill="auto"/>
            <w:noWrap/>
            <w:vAlign w:val="center"/>
          </w:tcPr>
          <w:p w14:paraId="6078C3B6" w14:textId="313AAE6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111.337</w:t>
            </w:r>
          </w:p>
        </w:tc>
        <w:tc>
          <w:tcPr>
            <w:tcW w:w="992" w:type="dxa"/>
            <w:tcBorders>
              <w:top w:val="nil"/>
              <w:left w:val="nil"/>
              <w:bottom w:val="single" w:sz="4" w:space="0" w:color="auto"/>
              <w:right w:val="single" w:sz="4" w:space="0" w:color="auto"/>
            </w:tcBorders>
            <w:shd w:val="clear" w:color="auto" w:fill="auto"/>
            <w:noWrap/>
            <w:vAlign w:val="center"/>
          </w:tcPr>
          <w:p w14:paraId="13F8F828" w14:textId="63488A9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144.991</w:t>
            </w:r>
          </w:p>
        </w:tc>
        <w:tc>
          <w:tcPr>
            <w:tcW w:w="992" w:type="dxa"/>
            <w:tcBorders>
              <w:top w:val="nil"/>
              <w:left w:val="nil"/>
              <w:bottom w:val="single" w:sz="4" w:space="0" w:color="auto"/>
              <w:right w:val="single" w:sz="4" w:space="0" w:color="auto"/>
            </w:tcBorders>
            <w:shd w:val="clear" w:color="auto" w:fill="auto"/>
            <w:noWrap/>
            <w:vAlign w:val="center"/>
          </w:tcPr>
          <w:p w14:paraId="5154E49B" w14:textId="431730E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906.274</w:t>
            </w:r>
          </w:p>
        </w:tc>
      </w:tr>
      <w:tr w:rsidR="005E36B7" w:rsidRPr="005E36B7" w14:paraId="66F50147"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7AD79A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SE-N_27</w:t>
            </w:r>
          </w:p>
        </w:tc>
        <w:tc>
          <w:tcPr>
            <w:tcW w:w="5103" w:type="dxa"/>
            <w:tcBorders>
              <w:top w:val="nil"/>
              <w:left w:val="nil"/>
              <w:bottom w:val="single" w:sz="4" w:space="0" w:color="auto"/>
              <w:right w:val="single" w:sz="4" w:space="0" w:color="auto"/>
            </w:tcBorders>
            <w:shd w:val="clear" w:color="auto" w:fill="auto"/>
            <w:noWrap/>
            <w:vAlign w:val="center"/>
            <w:hideMark/>
          </w:tcPr>
          <w:p w14:paraId="551FF59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Esperanza SING</w:t>
            </w:r>
          </w:p>
        </w:tc>
        <w:tc>
          <w:tcPr>
            <w:tcW w:w="992" w:type="dxa"/>
            <w:tcBorders>
              <w:top w:val="nil"/>
              <w:left w:val="nil"/>
              <w:bottom w:val="single" w:sz="4" w:space="0" w:color="auto"/>
              <w:right w:val="single" w:sz="4" w:space="0" w:color="auto"/>
            </w:tcBorders>
            <w:shd w:val="clear" w:color="auto" w:fill="auto"/>
            <w:noWrap/>
            <w:vAlign w:val="center"/>
          </w:tcPr>
          <w:p w14:paraId="461EB066" w14:textId="05A79DD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5.696</w:t>
            </w:r>
          </w:p>
        </w:tc>
        <w:tc>
          <w:tcPr>
            <w:tcW w:w="851" w:type="dxa"/>
            <w:tcBorders>
              <w:top w:val="nil"/>
              <w:left w:val="nil"/>
              <w:bottom w:val="single" w:sz="4" w:space="0" w:color="auto"/>
              <w:right w:val="single" w:sz="4" w:space="0" w:color="auto"/>
            </w:tcBorders>
            <w:shd w:val="clear" w:color="auto" w:fill="auto"/>
            <w:noWrap/>
            <w:vAlign w:val="center"/>
          </w:tcPr>
          <w:p w14:paraId="22621884" w14:textId="0359456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44.061</w:t>
            </w:r>
          </w:p>
        </w:tc>
        <w:tc>
          <w:tcPr>
            <w:tcW w:w="992" w:type="dxa"/>
            <w:tcBorders>
              <w:top w:val="nil"/>
              <w:left w:val="nil"/>
              <w:bottom w:val="single" w:sz="4" w:space="0" w:color="auto"/>
              <w:right w:val="single" w:sz="4" w:space="0" w:color="auto"/>
            </w:tcBorders>
            <w:shd w:val="clear" w:color="auto" w:fill="auto"/>
            <w:noWrap/>
            <w:vAlign w:val="center"/>
          </w:tcPr>
          <w:p w14:paraId="2853432A" w14:textId="7D2C3A2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1.006</w:t>
            </w:r>
          </w:p>
        </w:tc>
        <w:tc>
          <w:tcPr>
            <w:tcW w:w="992" w:type="dxa"/>
            <w:tcBorders>
              <w:top w:val="nil"/>
              <w:left w:val="nil"/>
              <w:bottom w:val="single" w:sz="4" w:space="0" w:color="auto"/>
              <w:right w:val="single" w:sz="4" w:space="0" w:color="auto"/>
            </w:tcBorders>
            <w:shd w:val="clear" w:color="auto" w:fill="auto"/>
            <w:noWrap/>
            <w:vAlign w:val="center"/>
          </w:tcPr>
          <w:p w14:paraId="1D44797A" w14:textId="5E336F3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50.764</w:t>
            </w:r>
          </w:p>
        </w:tc>
      </w:tr>
      <w:tr w:rsidR="005E36B7" w:rsidRPr="005E36B7" w14:paraId="75CF7D3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03EF75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SE-N_28</w:t>
            </w:r>
          </w:p>
        </w:tc>
        <w:tc>
          <w:tcPr>
            <w:tcW w:w="5103" w:type="dxa"/>
            <w:tcBorders>
              <w:top w:val="nil"/>
              <w:left w:val="nil"/>
              <w:bottom w:val="single" w:sz="4" w:space="0" w:color="auto"/>
              <w:right w:val="single" w:sz="4" w:space="0" w:color="auto"/>
            </w:tcBorders>
            <w:shd w:val="clear" w:color="auto" w:fill="auto"/>
            <w:noWrap/>
            <w:vAlign w:val="center"/>
            <w:hideMark/>
          </w:tcPr>
          <w:p w14:paraId="6AA338F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Hualpen</w:t>
            </w:r>
          </w:p>
        </w:tc>
        <w:tc>
          <w:tcPr>
            <w:tcW w:w="992" w:type="dxa"/>
            <w:tcBorders>
              <w:top w:val="nil"/>
              <w:left w:val="nil"/>
              <w:bottom w:val="single" w:sz="4" w:space="0" w:color="auto"/>
              <w:right w:val="single" w:sz="4" w:space="0" w:color="auto"/>
            </w:tcBorders>
            <w:shd w:val="clear" w:color="auto" w:fill="auto"/>
            <w:noWrap/>
            <w:vAlign w:val="center"/>
          </w:tcPr>
          <w:p w14:paraId="12CE3C32" w14:textId="55AE53C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366.490</w:t>
            </w:r>
          </w:p>
        </w:tc>
        <w:tc>
          <w:tcPr>
            <w:tcW w:w="851" w:type="dxa"/>
            <w:tcBorders>
              <w:top w:val="nil"/>
              <w:left w:val="nil"/>
              <w:bottom w:val="single" w:sz="4" w:space="0" w:color="auto"/>
              <w:right w:val="single" w:sz="4" w:space="0" w:color="auto"/>
            </w:tcBorders>
            <w:shd w:val="clear" w:color="auto" w:fill="auto"/>
            <w:noWrap/>
            <w:vAlign w:val="center"/>
          </w:tcPr>
          <w:p w14:paraId="0CE80E6D" w14:textId="34B0D77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52.161</w:t>
            </w:r>
          </w:p>
        </w:tc>
        <w:tc>
          <w:tcPr>
            <w:tcW w:w="992" w:type="dxa"/>
            <w:tcBorders>
              <w:top w:val="nil"/>
              <w:left w:val="nil"/>
              <w:bottom w:val="single" w:sz="4" w:space="0" w:color="auto"/>
              <w:right w:val="single" w:sz="4" w:space="0" w:color="auto"/>
            </w:tcBorders>
            <w:shd w:val="clear" w:color="auto" w:fill="auto"/>
            <w:noWrap/>
            <w:vAlign w:val="center"/>
          </w:tcPr>
          <w:p w14:paraId="3D7E3148" w14:textId="7E52411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86.483</w:t>
            </w:r>
          </w:p>
        </w:tc>
        <w:tc>
          <w:tcPr>
            <w:tcW w:w="992" w:type="dxa"/>
            <w:tcBorders>
              <w:top w:val="nil"/>
              <w:left w:val="nil"/>
              <w:bottom w:val="single" w:sz="4" w:space="0" w:color="auto"/>
              <w:right w:val="single" w:sz="4" w:space="0" w:color="auto"/>
            </w:tcBorders>
            <w:shd w:val="clear" w:color="auto" w:fill="auto"/>
            <w:noWrap/>
            <w:vAlign w:val="center"/>
          </w:tcPr>
          <w:p w14:paraId="2D356E26" w14:textId="77E511F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505.134</w:t>
            </w:r>
          </w:p>
        </w:tc>
      </w:tr>
      <w:tr w:rsidR="005E36B7" w:rsidRPr="005E36B7" w14:paraId="48412362"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03D03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SE-N_29</w:t>
            </w:r>
          </w:p>
        </w:tc>
        <w:tc>
          <w:tcPr>
            <w:tcW w:w="5103" w:type="dxa"/>
            <w:tcBorders>
              <w:top w:val="nil"/>
              <w:left w:val="nil"/>
              <w:bottom w:val="single" w:sz="4" w:space="0" w:color="auto"/>
              <w:right w:val="single" w:sz="4" w:space="0" w:color="auto"/>
            </w:tcBorders>
            <w:shd w:val="clear" w:color="auto" w:fill="auto"/>
            <w:noWrap/>
            <w:vAlign w:val="center"/>
            <w:hideMark/>
          </w:tcPr>
          <w:p w14:paraId="1158C0F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Itahue</w:t>
            </w:r>
          </w:p>
        </w:tc>
        <w:tc>
          <w:tcPr>
            <w:tcW w:w="992" w:type="dxa"/>
            <w:tcBorders>
              <w:top w:val="nil"/>
              <w:left w:val="nil"/>
              <w:bottom w:val="single" w:sz="4" w:space="0" w:color="auto"/>
              <w:right w:val="single" w:sz="4" w:space="0" w:color="auto"/>
            </w:tcBorders>
            <w:shd w:val="clear" w:color="auto" w:fill="auto"/>
            <w:noWrap/>
            <w:vAlign w:val="center"/>
          </w:tcPr>
          <w:p w14:paraId="14EF0FBC" w14:textId="6208417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956.321</w:t>
            </w:r>
          </w:p>
        </w:tc>
        <w:tc>
          <w:tcPr>
            <w:tcW w:w="851" w:type="dxa"/>
            <w:tcBorders>
              <w:top w:val="nil"/>
              <w:left w:val="nil"/>
              <w:bottom w:val="single" w:sz="4" w:space="0" w:color="auto"/>
              <w:right w:val="single" w:sz="4" w:space="0" w:color="auto"/>
            </w:tcBorders>
            <w:shd w:val="clear" w:color="auto" w:fill="auto"/>
            <w:noWrap/>
            <w:vAlign w:val="center"/>
          </w:tcPr>
          <w:p w14:paraId="323B5087" w14:textId="3173DD7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157.091</w:t>
            </w:r>
          </w:p>
        </w:tc>
        <w:tc>
          <w:tcPr>
            <w:tcW w:w="992" w:type="dxa"/>
            <w:tcBorders>
              <w:top w:val="nil"/>
              <w:left w:val="nil"/>
              <w:bottom w:val="single" w:sz="4" w:space="0" w:color="auto"/>
              <w:right w:val="single" w:sz="4" w:space="0" w:color="auto"/>
            </w:tcBorders>
            <w:shd w:val="clear" w:color="auto" w:fill="auto"/>
            <w:noWrap/>
            <w:vAlign w:val="center"/>
          </w:tcPr>
          <w:p w14:paraId="288D0B7C" w14:textId="4BF9040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143.795</w:t>
            </w:r>
          </w:p>
        </w:tc>
        <w:tc>
          <w:tcPr>
            <w:tcW w:w="992" w:type="dxa"/>
            <w:tcBorders>
              <w:top w:val="nil"/>
              <w:left w:val="nil"/>
              <w:bottom w:val="single" w:sz="4" w:space="0" w:color="auto"/>
              <w:right w:val="single" w:sz="4" w:space="0" w:color="auto"/>
            </w:tcBorders>
            <w:shd w:val="clear" w:color="auto" w:fill="auto"/>
            <w:noWrap/>
            <w:vAlign w:val="center"/>
          </w:tcPr>
          <w:p w14:paraId="45FE4F9D" w14:textId="6132CE3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1.257.207</w:t>
            </w:r>
          </w:p>
        </w:tc>
      </w:tr>
      <w:tr w:rsidR="005E36B7" w:rsidRPr="005E36B7" w14:paraId="61621224"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5F74F4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SE-N_30</w:t>
            </w:r>
          </w:p>
        </w:tc>
        <w:tc>
          <w:tcPr>
            <w:tcW w:w="5103" w:type="dxa"/>
            <w:tcBorders>
              <w:top w:val="nil"/>
              <w:left w:val="nil"/>
              <w:bottom w:val="single" w:sz="4" w:space="0" w:color="auto"/>
              <w:right w:val="single" w:sz="4" w:space="0" w:color="auto"/>
            </w:tcBorders>
            <w:shd w:val="clear" w:color="auto" w:fill="auto"/>
            <w:noWrap/>
            <w:vAlign w:val="center"/>
            <w:hideMark/>
          </w:tcPr>
          <w:p w14:paraId="7BA9271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Kapatur</w:t>
            </w:r>
          </w:p>
        </w:tc>
        <w:tc>
          <w:tcPr>
            <w:tcW w:w="992" w:type="dxa"/>
            <w:tcBorders>
              <w:top w:val="nil"/>
              <w:left w:val="nil"/>
              <w:bottom w:val="single" w:sz="4" w:space="0" w:color="auto"/>
              <w:right w:val="single" w:sz="4" w:space="0" w:color="auto"/>
            </w:tcBorders>
            <w:shd w:val="clear" w:color="auto" w:fill="auto"/>
            <w:noWrap/>
            <w:vAlign w:val="center"/>
          </w:tcPr>
          <w:p w14:paraId="234E78F3" w14:textId="3AE013D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370.789</w:t>
            </w:r>
          </w:p>
        </w:tc>
        <w:tc>
          <w:tcPr>
            <w:tcW w:w="851" w:type="dxa"/>
            <w:tcBorders>
              <w:top w:val="nil"/>
              <w:left w:val="nil"/>
              <w:bottom w:val="single" w:sz="4" w:space="0" w:color="auto"/>
              <w:right w:val="single" w:sz="4" w:space="0" w:color="auto"/>
            </w:tcBorders>
            <w:shd w:val="clear" w:color="auto" w:fill="auto"/>
            <w:noWrap/>
            <w:vAlign w:val="center"/>
          </w:tcPr>
          <w:p w14:paraId="1482CE08" w14:textId="1F93C27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48.722</w:t>
            </w:r>
          </w:p>
        </w:tc>
        <w:tc>
          <w:tcPr>
            <w:tcW w:w="992" w:type="dxa"/>
            <w:tcBorders>
              <w:top w:val="nil"/>
              <w:left w:val="nil"/>
              <w:bottom w:val="single" w:sz="4" w:space="0" w:color="auto"/>
              <w:right w:val="single" w:sz="4" w:space="0" w:color="auto"/>
            </w:tcBorders>
            <w:shd w:val="clear" w:color="auto" w:fill="auto"/>
            <w:noWrap/>
            <w:vAlign w:val="center"/>
          </w:tcPr>
          <w:p w14:paraId="7926D4E1" w14:textId="7C2DE1B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47.072</w:t>
            </w:r>
          </w:p>
        </w:tc>
        <w:tc>
          <w:tcPr>
            <w:tcW w:w="992" w:type="dxa"/>
            <w:tcBorders>
              <w:top w:val="nil"/>
              <w:left w:val="nil"/>
              <w:bottom w:val="single" w:sz="4" w:space="0" w:color="auto"/>
              <w:right w:val="single" w:sz="4" w:space="0" w:color="auto"/>
            </w:tcBorders>
            <w:shd w:val="clear" w:color="auto" w:fill="auto"/>
            <w:noWrap/>
            <w:vAlign w:val="center"/>
          </w:tcPr>
          <w:p w14:paraId="61C1C2FB" w14:textId="13BF1D5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466.583</w:t>
            </w:r>
          </w:p>
        </w:tc>
      </w:tr>
      <w:tr w:rsidR="005E36B7" w:rsidRPr="005E36B7" w14:paraId="2902FD51"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A5ECBB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SE-N_31</w:t>
            </w:r>
          </w:p>
        </w:tc>
        <w:tc>
          <w:tcPr>
            <w:tcW w:w="5103" w:type="dxa"/>
            <w:tcBorders>
              <w:top w:val="nil"/>
              <w:left w:val="nil"/>
              <w:bottom w:val="single" w:sz="4" w:space="0" w:color="auto"/>
              <w:right w:val="single" w:sz="4" w:space="0" w:color="auto"/>
            </w:tcBorders>
            <w:shd w:val="clear" w:color="auto" w:fill="auto"/>
            <w:noWrap/>
            <w:vAlign w:val="center"/>
            <w:hideMark/>
          </w:tcPr>
          <w:p w14:paraId="71B90C4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 Cebada</w:t>
            </w:r>
          </w:p>
        </w:tc>
        <w:tc>
          <w:tcPr>
            <w:tcW w:w="992" w:type="dxa"/>
            <w:tcBorders>
              <w:top w:val="nil"/>
              <w:left w:val="nil"/>
              <w:bottom w:val="single" w:sz="4" w:space="0" w:color="auto"/>
              <w:right w:val="single" w:sz="4" w:space="0" w:color="auto"/>
            </w:tcBorders>
            <w:shd w:val="clear" w:color="auto" w:fill="auto"/>
            <w:noWrap/>
            <w:vAlign w:val="center"/>
          </w:tcPr>
          <w:p w14:paraId="63181A57" w14:textId="7C8203C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44.936</w:t>
            </w:r>
          </w:p>
        </w:tc>
        <w:tc>
          <w:tcPr>
            <w:tcW w:w="851" w:type="dxa"/>
            <w:tcBorders>
              <w:top w:val="nil"/>
              <w:left w:val="nil"/>
              <w:bottom w:val="single" w:sz="4" w:space="0" w:color="auto"/>
              <w:right w:val="single" w:sz="4" w:space="0" w:color="auto"/>
            </w:tcBorders>
            <w:shd w:val="clear" w:color="auto" w:fill="auto"/>
            <w:noWrap/>
            <w:vAlign w:val="center"/>
          </w:tcPr>
          <w:p w14:paraId="2EB757D8" w14:textId="386BB03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26.480</w:t>
            </w:r>
          </w:p>
        </w:tc>
        <w:tc>
          <w:tcPr>
            <w:tcW w:w="992" w:type="dxa"/>
            <w:tcBorders>
              <w:top w:val="nil"/>
              <w:left w:val="nil"/>
              <w:bottom w:val="single" w:sz="4" w:space="0" w:color="auto"/>
              <w:right w:val="single" w:sz="4" w:space="0" w:color="auto"/>
            </w:tcBorders>
            <w:shd w:val="clear" w:color="auto" w:fill="auto"/>
            <w:noWrap/>
            <w:vAlign w:val="center"/>
          </w:tcPr>
          <w:p w14:paraId="4AB1C3F2" w14:textId="3E27DA6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6.894</w:t>
            </w:r>
          </w:p>
        </w:tc>
        <w:tc>
          <w:tcPr>
            <w:tcW w:w="992" w:type="dxa"/>
            <w:tcBorders>
              <w:top w:val="nil"/>
              <w:left w:val="nil"/>
              <w:bottom w:val="single" w:sz="4" w:space="0" w:color="auto"/>
              <w:right w:val="single" w:sz="4" w:space="0" w:color="auto"/>
            </w:tcBorders>
            <w:shd w:val="clear" w:color="auto" w:fill="auto"/>
            <w:noWrap/>
            <w:vAlign w:val="center"/>
          </w:tcPr>
          <w:p w14:paraId="20B709E3" w14:textId="1B3DD50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78.309</w:t>
            </w:r>
          </w:p>
        </w:tc>
      </w:tr>
      <w:tr w:rsidR="005E36B7" w:rsidRPr="005E36B7" w14:paraId="394D5B8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BCDA9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SE-N_32</w:t>
            </w:r>
          </w:p>
        </w:tc>
        <w:tc>
          <w:tcPr>
            <w:tcW w:w="5103" w:type="dxa"/>
            <w:tcBorders>
              <w:top w:val="nil"/>
              <w:left w:val="nil"/>
              <w:bottom w:val="single" w:sz="4" w:space="0" w:color="auto"/>
              <w:right w:val="single" w:sz="4" w:space="0" w:color="auto"/>
            </w:tcBorders>
            <w:shd w:val="clear" w:color="auto" w:fill="auto"/>
            <w:noWrap/>
            <w:vAlign w:val="center"/>
            <w:hideMark/>
          </w:tcPr>
          <w:p w14:paraId="521A248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Laberinto</w:t>
            </w:r>
          </w:p>
        </w:tc>
        <w:tc>
          <w:tcPr>
            <w:tcW w:w="992" w:type="dxa"/>
            <w:tcBorders>
              <w:top w:val="nil"/>
              <w:left w:val="nil"/>
              <w:bottom w:val="single" w:sz="4" w:space="0" w:color="auto"/>
              <w:right w:val="single" w:sz="4" w:space="0" w:color="auto"/>
            </w:tcBorders>
            <w:shd w:val="clear" w:color="auto" w:fill="auto"/>
            <w:noWrap/>
            <w:vAlign w:val="center"/>
          </w:tcPr>
          <w:p w14:paraId="4FF90578" w14:textId="56FBBB9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104.438</w:t>
            </w:r>
          </w:p>
        </w:tc>
        <w:tc>
          <w:tcPr>
            <w:tcW w:w="851" w:type="dxa"/>
            <w:tcBorders>
              <w:top w:val="nil"/>
              <w:left w:val="nil"/>
              <w:bottom w:val="single" w:sz="4" w:space="0" w:color="auto"/>
              <w:right w:val="single" w:sz="4" w:space="0" w:color="auto"/>
            </w:tcBorders>
            <w:shd w:val="clear" w:color="auto" w:fill="auto"/>
            <w:noWrap/>
            <w:vAlign w:val="center"/>
          </w:tcPr>
          <w:p w14:paraId="1F53BB0A" w14:textId="0A6AD2B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42.826</w:t>
            </w:r>
          </w:p>
        </w:tc>
        <w:tc>
          <w:tcPr>
            <w:tcW w:w="992" w:type="dxa"/>
            <w:tcBorders>
              <w:top w:val="nil"/>
              <w:left w:val="nil"/>
              <w:bottom w:val="single" w:sz="4" w:space="0" w:color="auto"/>
              <w:right w:val="single" w:sz="4" w:space="0" w:color="auto"/>
            </w:tcBorders>
            <w:shd w:val="clear" w:color="auto" w:fill="auto"/>
            <w:noWrap/>
            <w:vAlign w:val="center"/>
          </w:tcPr>
          <w:p w14:paraId="6A3B3E6E" w14:textId="5254525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16.733</w:t>
            </w:r>
          </w:p>
        </w:tc>
        <w:tc>
          <w:tcPr>
            <w:tcW w:w="992" w:type="dxa"/>
            <w:tcBorders>
              <w:top w:val="nil"/>
              <w:left w:val="nil"/>
              <w:bottom w:val="single" w:sz="4" w:space="0" w:color="auto"/>
              <w:right w:val="single" w:sz="4" w:space="0" w:color="auto"/>
            </w:tcBorders>
            <w:shd w:val="clear" w:color="auto" w:fill="auto"/>
            <w:noWrap/>
            <w:vAlign w:val="center"/>
          </w:tcPr>
          <w:p w14:paraId="7DD6ECF5" w14:textId="5000C0D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163.997</w:t>
            </w:r>
          </w:p>
        </w:tc>
      </w:tr>
      <w:tr w:rsidR="005E36B7" w:rsidRPr="005E36B7" w14:paraId="5F134835"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7BD32D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SE-N_33</w:t>
            </w:r>
          </w:p>
        </w:tc>
        <w:tc>
          <w:tcPr>
            <w:tcW w:w="5103" w:type="dxa"/>
            <w:tcBorders>
              <w:top w:val="nil"/>
              <w:left w:val="nil"/>
              <w:bottom w:val="single" w:sz="4" w:space="0" w:color="auto"/>
              <w:right w:val="single" w:sz="4" w:space="0" w:color="auto"/>
            </w:tcBorders>
            <w:shd w:val="clear" w:color="auto" w:fill="auto"/>
            <w:noWrap/>
            <w:vAlign w:val="center"/>
            <w:hideMark/>
          </w:tcPr>
          <w:p w14:paraId="60554CE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Lagunas</w:t>
            </w:r>
          </w:p>
        </w:tc>
        <w:tc>
          <w:tcPr>
            <w:tcW w:w="992" w:type="dxa"/>
            <w:tcBorders>
              <w:top w:val="nil"/>
              <w:left w:val="nil"/>
              <w:bottom w:val="single" w:sz="4" w:space="0" w:color="auto"/>
              <w:right w:val="single" w:sz="4" w:space="0" w:color="auto"/>
            </w:tcBorders>
            <w:shd w:val="clear" w:color="auto" w:fill="auto"/>
            <w:noWrap/>
            <w:vAlign w:val="center"/>
          </w:tcPr>
          <w:p w14:paraId="43744D74" w14:textId="46A142C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528.713</w:t>
            </w:r>
          </w:p>
        </w:tc>
        <w:tc>
          <w:tcPr>
            <w:tcW w:w="851" w:type="dxa"/>
            <w:tcBorders>
              <w:top w:val="nil"/>
              <w:left w:val="nil"/>
              <w:bottom w:val="single" w:sz="4" w:space="0" w:color="auto"/>
              <w:right w:val="single" w:sz="4" w:space="0" w:color="auto"/>
            </w:tcBorders>
            <w:shd w:val="clear" w:color="auto" w:fill="auto"/>
            <w:noWrap/>
            <w:vAlign w:val="center"/>
          </w:tcPr>
          <w:p w14:paraId="5FCC2791" w14:textId="1F2C62D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78.889</w:t>
            </w:r>
          </w:p>
        </w:tc>
        <w:tc>
          <w:tcPr>
            <w:tcW w:w="992" w:type="dxa"/>
            <w:tcBorders>
              <w:top w:val="nil"/>
              <w:left w:val="nil"/>
              <w:bottom w:val="single" w:sz="4" w:space="0" w:color="auto"/>
              <w:right w:val="single" w:sz="4" w:space="0" w:color="auto"/>
            </w:tcBorders>
            <w:shd w:val="clear" w:color="auto" w:fill="auto"/>
            <w:noWrap/>
            <w:vAlign w:val="center"/>
          </w:tcPr>
          <w:p w14:paraId="3616CA01" w14:textId="045AF65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82.078</w:t>
            </w:r>
          </w:p>
        </w:tc>
        <w:tc>
          <w:tcPr>
            <w:tcW w:w="992" w:type="dxa"/>
            <w:tcBorders>
              <w:top w:val="nil"/>
              <w:left w:val="nil"/>
              <w:bottom w:val="single" w:sz="4" w:space="0" w:color="auto"/>
              <w:right w:val="single" w:sz="4" w:space="0" w:color="auto"/>
            </w:tcBorders>
            <w:shd w:val="clear" w:color="auto" w:fill="auto"/>
            <w:noWrap/>
            <w:vAlign w:val="center"/>
          </w:tcPr>
          <w:p w14:paraId="23506A85" w14:textId="6865E26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689.681</w:t>
            </w:r>
          </w:p>
        </w:tc>
      </w:tr>
      <w:tr w:rsidR="005E36B7" w:rsidRPr="005E36B7" w14:paraId="6B5718CE"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1C5F59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SE-N_34</w:t>
            </w:r>
          </w:p>
        </w:tc>
        <w:tc>
          <w:tcPr>
            <w:tcW w:w="5103" w:type="dxa"/>
            <w:tcBorders>
              <w:top w:val="nil"/>
              <w:left w:val="nil"/>
              <w:bottom w:val="single" w:sz="4" w:space="0" w:color="auto"/>
              <w:right w:val="single" w:sz="4" w:space="0" w:color="auto"/>
            </w:tcBorders>
            <w:shd w:val="clear" w:color="auto" w:fill="auto"/>
            <w:noWrap/>
            <w:vAlign w:val="center"/>
            <w:hideMark/>
          </w:tcPr>
          <w:p w14:paraId="226A8D2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Lagunillas</w:t>
            </w:r>
          </w:p>
        </w:tc>
        <w:tc>
          <w:tcPr>
            <w:tcW w:w="992" w:type="dxa"/>
            <w:tcBorders>
              <w:top w:val="nil"/>
              <w:left w:val="nil"/>
              <w:bottom w:val="single" w:sz="4" w:space="0" w:color="auto"/>
              <w:right w:val="single" w:sz="4" w:space="0" w:color="auto"/>
            </w:tcBorders>
            <w:shd w:val="clear" w:color="auto" w:fill="auto"/>
            <w:noWrap/>
            <w:vAlign w:val="center"/>
          </w:tcPr>
          <w:p w14:paraId="6CB4C91C" w14:textId="7872A57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464.307</w:t>
            </w:r>
          </w:p>
        </w:tc>
        <w:tc>
          <w:tcPr>
            <w:tcW w:w="851" w:type="dxa"/>
            <w:tcBorders>
              <w:top w:val="nil"/>
              <w:left w:val="nil"/>
              <w:bottom w:val="single" w:sz="4" w:space="0" w:color="auto"/>
              <w:right w:val="single" w:sz="4" w:space="0" w:color="auto"/>
            </w:tcBorders>
            <w:shd w:val="clear" w:color="auto" w:fill="auto"/>
            <w:noWrap/>
            <w:vAlign w:val="center"/>
          </w:tcPr>
          <w:p w14:paraId="6E9428C3" w14:textId="50CAA95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64.080</w:t>
            </w:r>
          </w:p>
        </w:tc>
        <w:tc>
          <w:tcPr>
            <w:tcW w:w="992" w:type="dxa"/>
            <w:tcBorders>
              <w:top w:val="nil"/>
              <w:left w:val="nil"/>
              <w:bottom w:val="single" w:sz="4" w:space="0" w:color="auto"/>
              <w:right w:val="single" w:sz="4" w:space="0" w:color="auto"/>
            </w:tcBorders>
            <w:shd w:val="clear" w:color="auto" w:fill="auto"/>
            <w:noWrap/>
            <w:vAlign w:val="center"/>
          </w:tcPr>
          <w:p w14:paraId="44ECA8C4" w14:textId="5DD081C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94.664</w:t>
            </w:r>
          </w:p>
        </w:tc>
        <w:tc>
          <w:tcPr>
            <w:tcW w:w="992" w:type="dxa"/>
            <w:tcBorders>
              <w:top w:val="nil"/>
              <w:left w:val="nil"/>
              <w:bottom w:val="single" w:sz="4" w:space="0" w:color="auto"/>
              <w:right w:val="single" w:sz="4" w:space="0" w:color="auto"/>
            </w:tcBorders>
            <w:shd w:val="clear" w:color="auto" w:fill="auto"/>
            <w:noWrap/>
            <w:vAlign w:val="center"/>
          </w:tcPr>
          <w:p w14:paraId="46133EA5" w14:textId="092E5B8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623.050</w:t>
            </w:r>
          </w:p>
        </w:tc>
      </w:tr>
      <w:tr w:rsidR="005E36B7" w:rsidRPr="005E36B7" w14:paraId="5BEAE79C"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5F810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SE-N_35</w:t>
            </w:r>
          </w:p>
        </w:tc>
        <w:tc>
          <w:tcPr>
            <w:tcW w:w="5103" w:type="dxa"/>
            <w:tcBorders>
              <w:top w:val="nil"/>
              <w:left w:val="nil"/>
              <w:bottom w:val="single" w:sz="4" w:space="0" w:color="auto"/>
              <w:right w:val="single" w:sz="4" w:space="0" w:color="auto"/>
            </w:tcBorders>
            <w:shd w:val="clear" w:color="auto" w:fill="auto"/>
            <w:noWrap/>
            <w:vAlign w:val="center"/>
            <w:hideMark/>
          </w:tcPr>
          <w:p w14:paraId="75E5126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Las Palmas</w:t>
            </w:r>
          </w:p>
        </w:tc>
        <w:tc>
          <w:tcPr>
            <w:tcW w:w="992" w:type="dxa"/>
            <w:tcBorders>
              <w:top w:val="nil"/>
              <w:left w:val="nil"/>
              <w:bottom w:val="single" w:sz="4" w:space="0" w:color="auto"/>
              <w:right w:val="single" w:sz="4" w:space="0" w:color="auto"/>
            </w:tcBorders>
            <w:shd w:val="clear" w:color="auto" w:fill="auto"/>
            <w:noWrap/>
            <w:vAlign w:val="center"/>
          </w:tcPr>
          <w:p w14:paraId="6FFFC9BD" w14:textId="2839FFF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280.274</w:t>
            </w:r>
          </w:p>
        </w:tc>
        <w:tc>
          <w:tcPr>
            <w:tcW w:w="851" w:type="dxa"/>
            <w:tcBorders>
              <w:top w:val="nil"/>
              <w:left w:val="nil"/>
              <w:bottom w:val="single" w:sz="4" w:space="0" w:color="auto"/>
              <w:right w:val="single" w:sz="4" w:space="0" w:color="auto"/>
            </w:tcBorders>
            <w:shd w:val="clear" w:color="auto" w:fill="auto"/>
            <w:noWrap/>
            <w:vAlign w:val="center"/>
          </w:tcPr>
          <w:p w14:paraId="42EB4D13" w14:textId="778CF10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43.833</w:t>
            </w:r>
          </w:p>
        </w:tc>
        <w:tc>
          <w:tcPr>
            <w:tcW w:w="992" w:type="dxa"/>
            <w:tcBorders>
              <w:top w:val="nil"/>
              <w:left w:val="nil"/>
              <w:bottom w:val="single" w:sz="4" w:space="0" w:color="auto"/>
              <w:right w:val="single" w:sz="4" w:space="0" w:color="auto"/>
            </w:tcBorders>
            <w:shd w:val="clear" w:color="auto" w:fill="auto"/>
            <w:noWrap/>
            <w:vAlign w:val="center"/>
          </w:tcPr>
          <w:p w14:paraId="57F89DA7" w14:textId="321A420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40.992</w:t>
            </w:r>
          </w:p>
        </w:tc>
        <w:tc>
          <w:tcPr>
            <w:tcW w:w="992" w:type="dxa"/>
            <w:tcBorders>
              <w:top w:val="nil"/>
              <w:left w:val="nil"/>
              <w:bottom w:val="single" w:sz="4" w:space="0" w:color="auto"/>
              <w:right w:val="single" w:sz="4" w:space="0" w:color="auto"/>
            </w:tcBorders>
            <w:shd w:val="clear" w:color="auto" w:fill="auto"/>
            <w:noWrap/>
            <w:vAlign w:val="center"/>
          </w:tcPr>
          <w:p w14:paraId="77C50201" w14:textId="1237A3A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365.099</w:t>
            </w:r>
          </w:p>
        </w:tc>
      </w:tr>
      <w:tr w:rsidR="005E36B7" w:rsidRPr="005E36B7" w14:paraId="6BD7973A"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DC4204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SE-N_36</w:t>
            </w:r>
          </w:p>
        </w:tc>
        <w:tc>
          <w:tcPr>
            <w:tcW w:w="5103" w:type="dxa"/>
            <w:tcBorders>
              <w:top w:val="nil"/>
              <w:left w:val="nil"/>
              <w:bottom w:val="single" w:sz="4" w:space="0" w:color="auto"/>
              <w:right w:val="single" w:sz="4" w:space="0" w:color="auto"/>
            </w:tcBorders>
            <w:shd w:val="clear" w:color="auto" w:fill="auto"/>
            <w:noWrap/>
            <w:vAlign w:val="center"/>
            <w:hideMark/>
          </w:tcPr>
          <w:p w14:paraId="4816AD5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 Aguirre</w:t>
            </w:r>
          </w:p>
        </w:tc>
        <w:tc>
          <w:tcPr>
            <w:tcW w:w="992" w:type="dxa"/>
            <w:tcBorders>
              <w:top w:val="nil"/>
              <w:left w:val="nil"/>
              <w:bottom w:val="single" w:sz="4" w:space="0" w:color="auto"/>
              <w:right w:val="single" w:sz="4" w:space="0" w:color="auto"/>
            </w:tcBorders>
            <w:shd w:val="clear" w:color="auto" w:fill="auto"/>
            <w:noWrap/>
            <w:vAlign w:val="center"/>
          </w:tcPr>
          <w:p w14:paraId="2903C362" w14:textId="10549F8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106B60F8" w14:textId="304889F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273BFD2" w14:textId="79C2CE9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2D9297D5" w14:textId="5484C43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04013D8E"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8D17C8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SE-N_37</w:t>
            </w:r>
          </w:p>
        </w:tc>
        <w:tc>
          <w:tcPr>
            <w:tcW w:w="5103" w:type="dxa"/>
            <w:tcBorders>
              <w:top w:val="nil"/>
              <w:left w:val="nil"/>
              <w:bottom w:val="single" w:sz="4" w:space="0" w:color="auto"/>
              <w:right w:val="single" w:sz="4" w:space="0" w:color="auto"/>
            </w:tcBorders>
            <w:shd w:val="clear" w:color="auto" w:fill="auto"/>
            <w:noWrap/>
            <w:vAlign w:val="center"/>
            <w:hideMark/>
          </w:tcPr>
          <w:p w14:paraId="27A3865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Changos</w:t>
            </w:r>
          </w:p>
        </w:tc>
        <w:tc>
          <w:tcPr>
            <w:tcW w:w="992" w:type="dxa"/>
            <w:tcBorders>
              <w:top w:val="nil"/>
              <w:left w:val="nil"/>
              <w:bottom w:val="single" w:sz="4" w:space="0" w:color="auto"/>
              <w:right w:val="single" w:sz="4" w:space="0" w:color="auto"/>
            </w:tcBorders>
            <w:shd w:val="clear" w:color="auto" w:fill="auto"/>
            <w:noWrap/>
            <w:vAlign w:val="center"/>
          </w:tcPr>
          <w:p w14:paraId="476560AB" w14:textId="299FF49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1.626.470</w:t>
            </w:r>
          </w:p>
        </w:tc>
        <w:tc>
          <w:tcPr>
            <w:tcW w:w="851" w:type="dxa"/>
            <w:tcBorders>
              <w:top w:val="nil"/>
              <w:left w:val="nil"/>
              <w:bottom w:val="single" w:sz="4" w:space="0" w:color="auto"/>
              <w:right w:val="single" w:sz="4" w:space="0" w:color="auto"/>
            </w:tcBorders>
            <w:shd w:val="clear" w:color="auto" w:fill="auto"/>
            <w:noWrap/>
            <w:vAlign w:val="center"/>
          </w:tcPr>
          <w:p w14:paraId="173A4848" w14:textId="3425801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170.409</w:t>
            </w:r>
          </w:p>
        </w:tc>
        <w:tc>
          <w:tcPr>
            <w:tcW w:w="992" w:type="dxa"/>
            <w:tcBorders>
              <w:top w:val="nil"/>
              <w:left w:val="nil"/>
              <w:bottom w:val="single" w:sz="4" w:space="0" w:color="auto"/>
              <w:right w:val="single" w:sz="4" w:space="0" w:color="auto"/>
            </w:tcBorders>
            <w:shd w:val="clear" w:color="auto" w:fill="auto"/>
            <w:noWrap/>
            <w:vAlign w:val="center"/>
          </w:tcPr>
          <w:p w14:paraId="31F3A290" w14:textId="72A85A0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279.327</w:t>
            </w:r>
          </w:p>
        </w:tc>
        <w:tc>
          <w:tcPr>
            <w:tcW w:w="992" w:type="dxa"/>
            <w:tcBorders>
              <w:top w:val="nil"/>
              <w:left w:val="nil"/>
              <w:bottom w:val="single" w:sz="4" w:space="0" w:color="auto"/>
              <w:right w:val="single" w:sz="4" w:space="0" w:color="auto"/>
            </w:tcBorders>
            <w:shd w:val="clear" w:color="auto" w:fill="auto"/>
            <w:noWrap/>
            <w:vAlign w:val="center"/>
          </w:tcPr>
          <w:p w14:paraId="6AB02ED3" w14:textId="6D5E5BE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2.076.205</w:t>
            </w:r>
          </w:p>
        </w:tc>
      </w:tr>
      <w:tr w:rsidR="005E36B7" w:rsidRPr="005E36B7" w14:paraId="67B38527"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A32F7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SE-N_38</w:t>
            </w:r>
          </w:p>
        </w:tc>
        <w:tc>
          <w:tcPr>
            <w:tcW w:w="5103" w:type="dxa"/>
            <w:tcBorders>
              <w:top w:val="nil"/>
              <w:left w:val="nil"/>
              <w:bottom w:val="single" w:sz="4" w:space="0" w:color="auto"/>
              <w:right w:val="single" w:sz="4" w:space="0" w:color="auto"/>
            </w:tcBorders>
            <w:shd w:val="clear" w:color="auto" w:fill="auto"/>
            <w:noWrap/>
            <w:vAlign w:val="center"/>
            <w:hideMark/>
          </w:tcPr>
          <w:p w14:paraId="156037D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Maquis</w:t>
            </w:r>
          </w:p>
        </w:tc>
        <w:tc>
          <w:tcPr>
            <w:tcW w:w="992" w:type="dxa"/>
            <w:tcBorders>
              <w:top w:val="nil"/>
              <w:left w:val="nil"/>
              <w:bottom w:val="single" w:sz="4" w:space="0" w:color="auto"/>
              <w:right w:val="single" w:sz="4" w:space="0" w:color="auto"/>
            </w:tcBorders>
            <w:shd w:val="clear" w:color="auto" w:fill="auto"/>
            <w:noWrap/>
            <w:vAlign w:val="center"/>
          </w:tcPr>
          <w:p w14:paraId="274A8CD2" w14:textId="68FC74E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123.491</w:t>
            </w:r>
          </w:p>
        </w:tc>
        <w:tc>
          <w:tcPr>
            <w:tcW w:w="851" w:type="dxa"/>
            <w:tcBorders>
              <w:top w:val="nil"/>
              <w:left w:val="nil"/>
              <w:bottom w:val="single" w:sz="4" w:space="0" w:color="auto"/>
              <w:right w:val="single" w:sz="4" w:space="0" w:color="auto"/>
            </w:tcBorders>
            <w:shd w:val="clear" w:color="auto" w:fill="auto"/>
            <w:noWrap/>
            <w:vAlign w:val="center"/>
          </w:tcPr>
          <w:p w14:paraId="72090EBB" w14:textId="5AD4B06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31.608</w:t>
            </w:r>
          </w:p>
        </w:tc>
        <w:tc>
          <w:tcPr>
            <w:tcW w:w="992" w:type="dxa"/>
            <w:tcBorders>
              <w:top w:val="nil"/>
              <w:left w:val="nil"/>
              <w:bottom w:val="single" w:sz="4" w:space="0" w:color="auto"/>
              <w:right w:val="single" w:sz="4" w:space="0" w:color="auto"/>
            </w:tcBorders>
            <w:shd w:val="clear" w:color="auto" w:fill="auto"/>
            <w:noWrap/>
            <w:vAlign w:val="center"/>
          </w:tcPr>
          <w:p w14:paraId="60870FD9" w14:textId="3F68F43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23.854</w:t>
            </w:r>
          </w:p>
        </w:tc>
        <w:tc>
          <w:tcPr>
            <w:tcW w:w="992" w:type="dxa"/>
            <w:tcBorders>
              <w:top w:val="nil"/>
              <w:left w:val="nil"/>
              <w:bottom w:val="single" w:sz="4" w:space="0" w:color="auto"/>
              <w:right w:val="single" w:sz="4" w:space="0" w:color="auto"/>
            </w:tcBorders>
            <w:shd w:val="clear" w:color="auto" w:fill="auto"/>
            <w:noWrap/>
            <w:vAlign w:val="center"/>
          </w:tcPr>
          <w:p w14:paraId="3877D1AC" w14:textId="4701301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178.953</w:t>
            </w:r>
          </w:p>
        </w:tc>
      </w:tr>
      <w:tr w:rsidR="005E36B7" w:rsidRPr="005E36B7" w14:paraId="466711CD"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D0828E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SE-N_39</w:t>
            </w:r>
          </w:p>
        </w:tc>
        <w:tc>
          <w:tcPr>
            <w:tcW w:w="5103" w:type="dxa"/>
            <w:tcBorders>
              <w:top w:val="nil"/>
              <w:left w:val="nil"/>
              <w:bottom w:val="single" w:sz="4" w:space="0" w:color="auto"/>
              <w:right w:val="single" w:sz="4" w:space="0" w:color="auto"/>
            </w:tcBorders>
            <w:shd w:val="clear" w:color="auto" w:fill="auto"/>
            <w:noWrap/>
            <w:vAlign w:val="center"/>
            <w:hideMark/>
          </w:tcPr>
          <w:p w14:paraId="6D16B3F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Peumos</w:t>
            </w:r>
          </w:p>
        </w:tc>
        <w:tc>
          <w:tcPr>
            <w:tcW w:w="992" w:type="dxa"/>
            <w:tcBorders>
              <w:top w:val="nil"/>
              <w:left w:val="nil"/>
              <w:bottom w:val="single" w:sz="4" w:space="0" w:color="auto"/>
              <w:right w:val="single" w:sz="4" w:space="0" w:color="auto"/>
            </w:tcBorders>
            <w:shd w:val="clear" w:color="auto" w:fill="auto"/>
            <w:noWrap/>
            <w:vAlign w:val="center"/>
          </w:tcPr>
          <w:p w14:paraId="1B02B01F" w14:textId="2348CCC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466.691</w:t>
            </w:r>
          </w:p>
        </w:tc>
        <w:tc>
          <w:tcPr>
            <w:tcW w:w="851" w:type="dxa"/>
            <w:tcBorders>
              <w:top w:val="nil"/>
              <w:left w:val="nil"/>
              <w:bottom w:val="single" w:sz="4" w:space="0" w:color="auto"/>
              <w:right w:val="single" w:sz="4" w:space="0" w:color="auto"/>
            </w:tcBorders>
            <w:shd w:val="clear" w:color="auto" w:fill="auto"/>
            <w:noWrap/>
            <w:vAlign w:val="center"/>
          </w:tcPr>
          <w:p w14:paraId="512B6150" w14:textId="5FD9AFA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68.077</w:t>
            </w:r>
          </w:p>
        </w:tc>
        <w:tc>
          <w:tcPr>
            <w:tcW w:w="992" w:type="dxa"/>
            <w:tcBorders>
              <w:top w:val="nil"/>
              <w:left w:val="nil"/>
              <w:bottom w:val="single" w:sz="4" w:space="0" w:color="auto"/>
              <w:right w:val="single" w:sz="4" w:space="0" w:color="auto"/>
            </w:tcBorders>
            <w:shd w:val="clear" w:color="auto" w:fill="auto"/>
            <w:noWrap/>
            <w:vAlign w:val="center"/>
          </w:tcPr>
          <w:p w14:paraId="084121EB" w14:textId="017356A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149.905</w:t>
            </w:r>
          </w:p>
        </w:tc>
        <w:tc>
          <w:tcPr>
            <w:tcW w:w="992" w:type="dxa"/>
            <w:tcBorders>
              <w:top w:val="nil"/>
              <w:left w:val="nil"/>
              <w:bottom w:val="single" w:sz="4" w:space="0" w:color="auto"/>
              <w:right w:val="single" w:sz="4" w:space="0" w:color="auto"/>
            </w:tcBorders>
            <w:shd w:val="clear" w:color="auto" w:fill="auto"/>
            <w:noWrap/>
            <w:vAlign w:val="center"/>
          </w:tcPr>
          <w:p w14:paraId="45BEDE68" w14:textId="77E7B0F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684.674</w:t>
            </w:r>
          </w:p>
        </w:tc>
      </w:tr>
      <w:tr w:rsidR="005E36B7" w:rsidRPr="005E36B7" w14:paraId="52FF904F"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22AD07"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SE-N_40</w:t>
            </w:r>
          </w:p>
        </w:tc>
        <w:tc>
          <w:tcPr>
            <w:tcW w:w="5103" w:type="dxa"/>
            <w:tcBorders>
              <w:top w:val="nil"/>
              <w:left w:val="nil"/>
              <w:bottom w:val="single" w:sz="4" w:space="0" w:color="auto"/>
              <w:right w:val="single" w:sz="4" w:space="0" w:color="auto"/>
            </w:tcBorders>
            <w:shd w:val="clear" w:color="auto" w:fill="auto"/>
            <w:noWrap/>
            <w:vAlign w:val="center"/>
            <w:hideMark/>
          </w:tcPr>
          <w:p w14:paraId="7C54D14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Vilos</w:t>
            </w:r>
          </w:p>
        </w:tc>
        <w:tc>
          <w:tcPr>
            <w:tcW w:w="992" w:type="dxa"/>
            <w:tcBorders>
              <w:top w:val="nil"/>
              <w:left w:val="nil"/>
              <w:bottom w:val="single" w:sz="4" w:space="0" w:color="auto"/>
              <w:right w:val="single" w:sz="4" w:space="0" w:color="auto"/>
            </w:tcBorders>
            <w:shd w:val="clear" w:color="auto" w:fill="auto"/>
            <w:noWrap/>
            <w:vAlign w:val="center"/>
          </w:tcPr>
          <w:p w14:paraId="5CEDE583" w14:textId="521B444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240.615</w:t>
            </w:r>
          </w:p>
        </w:tc>
        <w:tc>
          <w:tcPr>
            <w:tcW w:w="851" w:type="dxa"/>
            <w:tcBorders>
              <w:top w:val="nil"/>
              <w:left w:val="nil"/>
              <w:bottom w:val="single" w:sz="4" w:space="0" w:color="auto"/>
              <w:right w:val="single" w:sz="4" w:space="0" w:color="auto"/>
            </w:tcBorders>
            <w:shd w:val="clear" w:color="auto" w:fill="auto"/>
            <w:noWrap/>
            <w:vAlign w:val="center"/>
          </w:tcPr>
          <w:p w14:paraId="2D8AC681" w14:textId="43CF45E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59.107</w:t>
            </w:r>
          </w:p>
        </w:tc>
        <w:tc>
          <w:tcPr>
            <w:tcW w:w="992" w:type="dxa"/>
            <w:tcBorders>
              <w:top w:val="nil"/>
              <w:left w:val="nil"/>
              <w:bottom w:val="single" w:sz="4" w:space="0" w:color="auto"/>
              <w:right w:val="single" w:sz="4" w:space="0" w:color="auto"/>
            </w:tcBorders>
            <w:shd w:val="clear" w:color="auto" w:fill="auto"/>
            <w:noWrap/>
            <w:vAlign w:val="center"/>
          </w:tcPr>
          <w:p w14:paraId="3FEE1CA1" w14:textId="530BB30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37.597</w:t>
            </w:r>
          </w:p>
        </w:tc>
        <w:tc>
          <w:tcPr>
            <w:tcW w:w="992" w:type="dxa"/>
            <w:tcBorders>
              <w:top w:val="nil"/>
              <w:left w:val="nil"/>
              <w:bottom w:val="single" w:sz="4" w:space="0" w:color="auto"/>
              <w:right w:val="single" w:sz="4" w:space="0" w:color="auto"/>
            </w:tcBorders>
            <w:shd w:val="clear" w:color="auto" w:fill="auto"/>
            <w:noWrap/>
            <w:vAlign w:val="center"/>
          </w:tcPr>
          <w:p w14:paraId="2CCD1731" w14:textId="627D7E7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337.319</w:t>
            </w:r>
          </w:p>
        </w:tc>
      </w:tr>
      <w:tr w:rsidR="005E36B7" w:rsidRPr="005E36B7" w14:paraId="794D6C3D"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501AE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SE-N_41</w:t>
            </w:r>
          </w:p>
        </w:tc>
        <w:tc>
          <w:tcPr>
            <w:tcW w:w="5103" w:type="dxa"/>
            <w:tcBorders>
              <w:top w:val="nil"/>
              <w:left w:val="nil"/>
              <w:bottom w:val="single" w:sz="4" w:space="0" w:color="auto"/>
              <w:right w:val="single" w:sz="4" w:space="0" w:color="auto"/>
            </w:tcBorders>
            <w:shd w:val="clear" w:color="auto" w:fill="auto"/>
            <w:noWrap/>
            <w:vAlign w:val="center"/>
            <w:hideMark/>
          </w:tcPr>
          <w:p w14:paraId="6925524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Maipo</w:t>
            </w:r>
          </w:p>
        </w:tc>
        <w:tc>
          <w:tcPr>
            <w:tcW w:w="992" w:type="dxa"/>
            <w:tcBorders>
              <w:top w:val="nil"/>
              <w:left w:val="nil"/>
              <w:bottom w:val="single" w:sz="4" w:space="0" w:color="auto"/>
              <w:right w:val="single" w:sz="4" w:space="0" w:color="auto"/>
            </w:tcBorders>
            <w:shd w:val="clear" w:color="auto" w:fill="auto"/>
            <w:noWrap/>
            <w:vAlign w:val="center"/>
          </w:tcPr>
          <w:p w14:paraId="57D274BD" w14:textId="03D08D4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629.806</w:t>
            </w:r>
          </w:p>
        </w:tc>
        <w:tc>
          <w:tcPr>
            <w:tcW w:w="851" w:type="dxa"/>
            <w:tcBorders>
              <w:top w:val="nil"/>
              <w:left w:val="nil"/>
              <w:bottom w:val="single" w:sz="4" w:space="0" w:color="auto"/>
              <w:right w:val="single" w:sz="4" w:space="0" w:color="auto"/>
            </w:tcBorders>
            <w:shd w:val="clear" w:color="auto" w:fill="auto"/>
            <w:noWrap/>
            <w:vAlign w:val="center"/>
          </w:tcPr>
          <w:p w14:paraId="3FD555AB" w14:textId="0C2F4AF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79.852</w:t>
            </w:r>
          </w:p>
        </w:tc>
        <w:tc>
          <w:tcPr>
            <w:tcW w:w="992" w:type="dxa"/>
            <w:tcBorders>
              <w:top w:val="nil"/>
              <w:left w:val="nil"/>
              <w:bottom w:val="single" w:sz="4" w:space="0" w:color="auto"/>
              <w:right w:val="single" w:sz="4" w:space="0" w:color="auto"/>
            </w:tcBorders>
            <w:shd w:val="clear" w:color="auto" w:fill="auto"/>
            <w:noWrap/>
            <w:vAlign w:val="center"/>
          </w:tcPr>
          <w:p w14:paraId="7644673F" w14:textId="381B73B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104.911</w:t>
            </w:r>
          </w:p>
        </w:tc>
        <w:tc>
          <w:tcPr>
            <w:tcW w:w="992" w:type="dxa"/>
            <w:tcBorders>
              <w:top w:val="nil"/>
              <w:left w:val="nil"/>
              <w:bottom w:val="single" w:sz="4" w:space="0" w:color="auto"/>
              <w:right w:val="single" w:sz="4" w:space="0" w:color="auto"/>
            </w:tcBorders>
            <w:shd w:val="clear" w:color="auto" w:fill="auto"/>
            <w:noWrap/>
            <w:vAlign w:val="center"/>
          </w:tcPr>
          <w:p w14:paraId="3939CBD5" w14:textId="276C98C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814.570</w:t>
            </w:r>
          </w:p>
        </w:tc>
      </w:tr>
      <w:tr w:rsidR="005E36B7" w:rsidRPr="005E36B7" w14:paraId="0A4DAC6C"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A3E5367"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SE-N_42</w:t>
            </w:r>
          </w:p>
        </w:tc>
        <w:tc>
          <w:tcPr>
            <w:tcW w:w="5103" w:type="dxa"/>
            <w:tcBorders>
              <w:top w:val="nil"/>
              <w:left w:val="nil"/>
              <w:bottom w:val="single" w:sz="4" w:space="0" w:color="auto"/>
              <w:right w:val="single" w:sz="4" w:space="0" w:color="auto"/>
            </w:tcBorders>
            <w:shd w:val="clear" w:color="auto" w:fill="auto"/>
            <w:noWrap/>
            <w:vAlign w:val="center"/>
            <w:hideMark/>
          </w:tcPr>
          <w:p w14:paraId="341257F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Maitencillo</w:t>
            </w:r>
          </w:p>
        </w:tc>
        <w:tc>
          <w:tcPr>
            <w:tcW w:w="992" w:type="dxa"/>
            <w:tcBorders>
              <w:top w:val="nil"/>
              <w:left w:val="nil"/>
              <w:bottom w:val="single" w:sz="4" w:space="0" w:color="auto"/>
              <w:right w:val="single" w:sz="4" w:space="0" w:color="auto"/>
            </w:tcBorders>
            <w:shd w:val="clear" w:color="auto" w:fill="auto"/>
            <w:noWrap/>
            <w:vAlign w:val="center"/>
          </w:tcPr>
          <w:p w14:paraId="3EC60F8D" w14:textId="6E4438C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1.568.287</w:t>
            </w:r>
          </w:p>
        </w:tc>
        <w:tc>
          <w:tcPr>
            <w:tcW w:w="851" w:type="dxa"/>
            <w:tcBorders>
              <w:top w:val="nil"/>
              <w:left w:val="nil"/>
              <w:bottom w:val="single" w:sz="4" w:space="0" w:color="auto"/>
              <w:right w:val="single" w:sz="4" w:space="0" w:color="auto"/>
            </w:tcBorders>
            <w:shd w:val="clear" w:color="auto" w:fill="auto"/>
            <w:noWrap/>
            <w:vAlign w:val="center"/>
          </w:tcPr>
          <w:p w14:paraId="4F4F661E" w14:textId="137C19E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227.170</w:t>
            </w:r>
          </w:p>
        </w:tc>
        <w:tc>
          <w:tcPr>
            <w:tcW w:w="992" w:type="dxa"/>
            <w:tcBorders>
              <w:top w:val="nil"/>
              <w:left w:val="nil"/>
              <w:bottom w:val="single" w:sz="4" w:space="0" w:color="auto"/>
              <w:right w:val="single" w:sz="4" w:space="0" w:color="auto"/>
            </w:tcBorders>
            <w:shd w:val="clear" w:color="auto" w:fill="auto"/>
            <w:noWrap/>
            <w:vAlign w:val="center"/>
          </w:tcPr>
          <w:p w14:paraId="340D7B32" w14:textId="3DAB796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202.123</w:t>
            </w:r>
          </w:p>
        </w:tc>
        <w:tc>
          <w:tcPr>
            <w:tcW w:w="992" w:type="dxa"/>
            <w:tcBorders>
              <w:top w:val="nil"/>
              <w:left w:val="nil"/>
              <w:bottom w:val="single" w:sz="4" w:space="0" w:color="auto"/>
              <w:right w:val="single" w:sz="4" w:space="0" w:color="auto"/>
            </w:tcBorders>
            <w:shd w:val="clear" w:color="auto" w:fill="auto"/>
            <w:noWrap/>
            <w:vAlign w:val="center"/>
          </w:tcPr>
          <w:p w14:paraId="043BEF08" w14:textId="546BB23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1.997.580</w:t>
            </w:r>
          </w:p>
        </w:tc>
      </w:tr>
      <w:tr w:rsidR="005E36B7" w:rsidRPr="005E36B7" w14:paraId="04A52B14"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0DC6CA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SE-N_43</w:t>
            </w:r>
          </w:p>
        </w:tc>
        <w:tc>
          <w:tcPr>
            <w:tcW w:w="5103" w:type="dxa"/>
            <w:tcBorders>
              <w:top w:val="nil"/>
              <w:left w:val="nil"/>
              <w:bottom w:val="single" w:sz="4" w:space="0" w:color="auto"/>
              <w:right w:val="single" w:sz="4" w:space="0" w:color="auto"/>
            </w:tcBorders>
            <w:shd w:val="clear" w:color="auto" w:fill="auto"/>
            <w:noWrap/>
            <w:vAlign w:val="center"/>
            <w:hideMark/>
          </w:tcPr>
          <w:p w14:paraId="0340E5B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Maria Elena</w:t>
            </w:r>
          </w:p>
        </w:tc>
        <w:tc>
          <w:tcPr>
            <w:tcW w:w="992" w:type="dxa"/>
            <w:tcBorders>
              <w:top w:val="nil"/>
              <w:left w:val="nil"/>
              <w:bottom w:val="single" w:sz="4" w:space="0" w:color="auto"/>
              <w:right w:val="single" w:sz="4" w:space="0" w:color="auto"/>
            </w:tcBorders>
            <w:shd w:val="clear" w:color="auto" w:fill="auto"/>
            <w:noWrap/>
            <w:vAlign w:val="center"/>
          </w:tcPr>
          <w:p w14:paraId="6BBA376F" w14:textId="4661F9A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364.158</w:t>
            </w:r>
          </w:p>
        </w:tc>
        <w:tc>
          <w:tcPr>
            <w:tcW w:w="851" w:type="dxa"/>
            <w:tcBorders>
              <w:top w:val="nil"/>
              <w:left w:val="nil"/>
              <w:bottom w:val="single" w:sz="4" w:space="0" w:color="auto"/>
              <w:right w:val="single" w:sz="4" w:space="0" w:color="auto"/>
            </w:tcBorders>
            <w:shd w:val="clear" w:color="auto" w:fill="auto"/>
            <w:noWrap/>
            <w:vAlign w:val="center"/>
          </w:tcPr>
          <w:p w14:paraId="61ED8ADF" w14:textId="57650D2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64.098</w:t>
            </w:r>
          </w:p>
        </w:tc>
        <w:tc>
          <w:tcPr>
            <w:tcW w:w="992" w:type="dxa"/>
            <w:tcBorders>
              <w:top w:val="nil"/>
              <w:left w:val="nil"/>
              <w:bottom w:val="single" w:sz="4" w:space="0" w:color="auto"/>
              <w:right w:val="single" w:sz="4" w:space="0" w:color="auto"/>
            </w:tcBorders>
            <w:shd w:val="clear" w:color="auto" w:fill="auto"/>
            <w:noWrap/>
            <w:vAlign w:val="center"/>
          </w:tcPr>
          <w:p w14:paraId="70F56CFE" w14:textId="1BFE906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42.727</w:t>
            </w:r>
          </w:p>
        </w:tc>
        <w:tc>
          <w:tcPr>
            <w:tcW w:w="992" w:type="dxa"/>
            <w:tcBorders>
              <w:top w:val="nil"/>
              <w:left w:val="nil"/>
              <w:bottom w:val="single" w:sz="4" w:space="0" w:color="auto"/>
              <w:right w:val="single" w:sz="4" w:space="0" w:color="auto"/>
            </w:tcBorders>
            <w:shd w:val="clear" w:color="auto" w:fill="auto"/>
            <w:noWrap/>
            <w:vAlign w:val="center"/>
          </w:tcPr>
          <w:p w14:paraId="12634044" w14:textId="249BC07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470.982</w:t>
            </w:r>
          </w:p>
        </w:tc>
      </w:tr>
      <w:tr w:rsidR="005E36B7" w:rsidRPr="005E36B7" w14:paraId="20487C1B"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723E7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SE-N_44</w:t>
            </w:r>
          </w:p>
        </w:tc>
        <w:tc>
          <w:tcPr>
            <w:tcW w:w="5103" w:type="dxa"/>
            <w:tcBorders>
              <w:top w:val="nil"/>
              <w:left w:val="nil"/>
              <w:bottom w:val="single" w:sz="4" w:space="0" w:color="auto"/>
              <w:right w:val="single" w:sz="4" w:space="0" w:color="auto"/>
            </w:tcBorders>
            <w:shd w:val="clear" w:color="auto" w:fill="auto"/>
            <w:noWrap/>
            <w:vAlign w:val="center"/>
            <w:hideMark/>
          </w:tcPr>
          <w:p w14:paraId="6CD3F8E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Melipulli</w:t>
            </w:r>
          </w:p>
        </w:tc>
        <w:tc>
          <w:tcPr>
            <w:tcW w:w="992" w:type="dxa"/>
            <w:tcBorders>
              <w:top w:val="nil"/>
              <w:left w:val="nil"/>
              <w:bottom w:val="single" w:sz="4" w:space="0" w:color="auto"/>
              <w:right w:val="single" w:sz="4" w:space="0" w:color="auto"/>
            </w:tcBorders>
            <w:shd w:val="clear" w:color="auto" w:fill="auto"/>
            <w:noWrap/>
            <w:vAlign w:val="center"/>
          </w:tcPr>
          <w:p w14:paraId="1B01B328" w14:textId="7BBAB3E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445.175</w:t>
            </w:r>
          </w:p>
        </w:tc>
        <w:tc>
          <w:tcPr>
            <w:tcW w:w="851" w:type="dxa"/>
            <w:tcBorders>
              <w:top w:val="nil"/>
              <w:left w:val="nil"/>
              <w:bottom w:val="single" w:sz="4" w:space="0" w:color="auto"/>
              <w:right w:val="single" w:sz="4" w:space="0" w:color="auto"/>
            </w:tcBorders>
            <w:shd w:val="clear" w:color="auto" w:fill="auto"/>
            <w:noWrap/>
            <w:vAlign w:val="center"/>
          </w:tcPr>
          <w:p w14:paraId="2B42C034" w14:textId="2B9CEA0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71.460</w:t>
            </w:r>
          </w:p>
        </w:tc>
        <w:tc>
          <w:tcPr>
            <w:tcW w:w="992" w:type="dxa"/>
            <w:tcBorders>
              <w:top w:val="nil"/>
              <w:left w:val="nil"/>
              <w:bottom w:val="single" w:sz="4" w:space="0" w:color="auto"/>
              <w:right w:val="single" w:sz="4" w:space="0" w:color="auto"/>
            </w:tcBorders>
            <w:shd w:val="clear" w:color="auto" w:fill="auto"/>
            <w:noWrap/>
            <w:vAlign w:val="center"/>
          </w:tcPr>
          <w:p w14:paraId="3AD446FC" w14:textId="165F655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66.908</w:t>
            </w:r>
          </w:p>
        </w:tc>
        <w:tc>
          <w:tcPr>
            <w:tcW w:w="992" w:type="dxa"/>
            <w:tcBorders>
              <w:top w:val="nil"/>
              <w:left w:val="nil"/>
              <w:bottom w:val="single" w:sz="4" w:space="0" w:color="auto"/>
              <w:right w:val="single" w:sz="4" w:space="0" w:color="auto"/>
            </w:tcBorders>
            <w:shd w:val="clear" w:color="auto" w:fill="auto"/>
            <w:noWrap/>
            <w:vAlign w:val="center"/>
          </w:tcPr>
          <w:p w14:paraId="7CB3FEF2" w14:textId="1577BA5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583.543</w:t>
            </w:r>
          </w:p>
        </w:tc>
      </w:tr>
      <w:tr w:rsidR="005E36B7" w:rsidRPr="005E36B7" w14:paraId="6B12531D"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CDEAC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SE-N_45</w:t>
            </w:r>
          </w:p>
        </w:tc>
        <w:tc>
          <w:tcPr>
            <w:tcW w:w="5103" w:type="dxa"/>
            <w:tcBorders>
              <w:top w:val="nil"/>
              <w:left w:val="nil"/>
              <w:bottom w:val="single" w:sz="4" w:space="0" w:color="auto"/>
              <w:right w:val="single" w:sz="4" w:space="0" w:color="auto"/>
            </w:tcBorders>
            <w:shd w:val="clear" w:color="auto" w:fill="auto"/>
            <w:noWrap/>
            <w:vAlign w:val="center"/>
            <w:hideMark/>
          </w:tcPr>
          <w:p w14:paraId="51B3CAE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Miraje</w:t>
            </w:r>
          </w:p>
        </w:tc>
        <w:tc>
          <w:tcPr>
            <w:tcW w:w="992" w:type="dxa"/>
            <w:tcBorders>
              <w:top w:val="nil"/>
              <w:left w:val="nil"/>
              <w:bottom w:val="single" w:sz="4" w:space="0" w:color="auto"/>
              <w:right w:val="single" w:sz="4" w:space="0" w:color="auto"/>
            </w:tcBorders>
            <w:shd w:val="clear" w:color="auto" w:fill="auto"/>
            <w:noWrap/>
            <w:vAlign w:val="center"/>
          </w:tcPr>
          <w:p w14:paraId="797AC844" w14:textId="36EDAF1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166.226</w:t>
            </w:r>
          </w:p>
        </w:tc>
        <w:tc>
          <w:tcPr>
            <w:tcW w:w="851" w:type="dxa"/>
            <w:tcBorders>
              <w:top w:val="nil"/>
              <w:left w:val="nil"/>
              <w:bottom w:val="single" w:sz="4" w:space="0" w:color="auto"/>
              <w:right w:val="single" w:sz="4" w:space="0" w:color="auto"/>
            </w:tcBorders>
            <w:shd w:val="clear" w:color="auto" w:fill="auto"/>
            <w:noWrap/>
            <w:vAlign w:val="center"/>
          </w:tcPr>
          <w:p w14:paraId="7661D12F" w14:textId="75F3F85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34.492</w:t>
            </w:r>
          </w:p>
        </w:tc>
        <w:tc>
          <w:tcPr>
            <w:tcW w:w="992" w:type="dxa"/>
            <w:tcBorders>
              <w:top w:val="nil"/>
              <w:left w:val="nil"/>
              <w:bottom w:val="single" w:sz="4" w:space="0" w:color="auto"/>
              <w:right w:val="single" w:sz="4" w:space="0" w:color="auto"/>
            </w:tcBorders>
            <w:shd w:val="clear" w:color="auto" w:fill="auto"/>
            <w:noWrap/>
            <w:vAlign w:val="center"/>
          </w:tcPr>
          <w:p w14:paraId="21A2FB47" w14:textId="6B7E421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23.172</w:t>
            </w:r>
          </w:p>
        </w:tc>
        <w:tc>
          <w:tcPr>
            <w:tcW w:w="992" w:type="dxa"/>
            <w:tcBorders>
              <w:top w:val="nil"/>
              <w:left w:val="nil"/>
              <w:bottom w:val="single" w:sz="4" w:space="0" w:color="auto"/>
              <w:right w:val="single" w:sz="4" w:space="0" w:color="auto"/>
            </w:tcBorders>
            <w:shd w:val="clear" w:color="auto" w:fill="auto"/>
            <w:noWrap/>
            <w:vAlign w:val="center"/>
          </w:tcPr>
          <w:p w14:paraId="048E885F" w14:textId="485D0C1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223.891</w:t>
            </w:r>
          </w:p>
        </w:tc>
      </w:tr>
      <w:tr w:rsidR="005E36B7" w:rsidRPr="005E36B7" w14:paraId="0883D311"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90B7EF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SE-N_46</w:t>
            </w:r>
          </w:p>
        </w:tc>
        <w:tc>
          <w:tcPr>
            <w:tcW w:w="5103" w:type="dxa"/>
            <w:tcBorders>
              <w:top w:val="nil"/>
              <w:left w:val="nil"/>
              <w:bottom w:val="single" w:sz="4" w:space="0" w:color="auto"/>
              <w:right w:val="single" w:sz="4" w:space="0" w:color="auto"/>
            </w:tcBorders>
            <w:shd w:val="clear" w:color="auto" w:fill="auto"/>
            <w:noWrap/>
            <w:vAlign w:val="center"/>
            <w:hideMark/>
          </w:tcPr>
          <w:p w14:paraId="091388B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Mulchen</w:t>
            </w:r>
          </w:p>
        </w:tc>
        <w:tc>
          <w:tcPr>
            <w:tcW w:w="992" w:type="dxa"/>
            <w:tcBorders>
              <w:top w:val="nil"/>
              <w:left w:val="nil"/>
              <w:bottom w:val="single" w:sz="4" w:space="0" w:color="auto"/>
              <w:right w:val="single" w:sz="4" w:space="0" w:color="auto"/>
            </w:tcBorders>
            <w:shd w:val="clear" w:color="auto" w:fill="auto"/>
            <w:noWrap/>
            <w:vAlign w:val="center"/>
          </w:tcPr>
          <w:p w14:paraId="4D701E3B" w14:textId="523AF77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208.628</w:t>
            </w:r>
          </w:p>
        </w:tc>
        <w:tc>
          <w:tcPr>
            <w:tcW w:w="851" w:type="dxa"/>
            <w:tcBorders>
              <w:top w:val="nil"/>
              <w:left w:val="nil"/>
              <w:bottom w:val="single" w:sz="4" w:space="0" w:color="auto"/>
              <w:right w:val="single" w:sz="4" w:space="0" w:color="auto"/>
            </w:tcBorders>
            <w:shd w:val="clear" w:color="auto" w:fill="auto"/>
            <w:noWrap/>
            <w:vAlign w:val="center"/>
          </w:tcPr>
          <w:p w14:paraId="6144AA27" w14:textId="4BEB852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56.801</w:t>
            </w:r>
          </w:p>
        </w:tc>
        <w:tc>
          <w:tcPr>
            <w:tcW w:w="992" w:type="dxa"/>
            <w:tcBorders>
              <w:top w:val="nil"/>
              <w:left w:val="nil"/>
              <w:bottom w:val="single" w:sz="4" w:space="0" w:color="auto"/>
              <w:right w:val="single" w:sz="4" w:space="0" w:color="auto"/>
            </w:tcBorders>
            <w:shd w:val="clear" w:color="auto" w:fill="auto"/>
            <w:noWrap/>
            <w:vAlign w:val="center"/>
          </w:tcPr>
          <w:p w14:paraId="22408983" w14:textId="1F6C2C0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37.179</w:t>
            </w:r>
          </w:p>
        </w:tc>
        <w:tc>
          <w:tcPr>
            <w:tcW w:w="992" w:type="dxa"/>
            <w:tcBorders>
              <w:top w:val="nil"/>
              <w:left w:val="nil"/>
              <w:bottom w:val="single" w:sz="4" w:space="0" w:color="auto"/>
              <w:right w:val="single" w:sz="4" w:space="0" w:color="auto"/>
            </w:tcBorders>
            <w:shd w:val="clear" w:color="auto" w:fill="auto"/>
            <w:noWrap/>
            <w:vAlign w:val="center"/>
          </w:tcPr>
          <w:p w14:paraId="20E83D49" w14:textId="469D6E4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302.609</w:t>
            </w:r>
          </w:p>
        </w:tc>
      </w:tr>
      <w:tr w:rsidR="005E36B7" w:rsidRPr="005E36B7" w14:paraId="4F78661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444F9D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SE-N_47</w:t>
            </w:r>
          </w:p>
        </w:tc>
        <w:tc>
          <w:tcPr>
            <w:tcW w:w="5103" w:type="dxa"/>
            <w:tcBorders>
              <w:top w:val="nil"/>
              <w:left w:val="nil"/>
              <w:bottom w:val="single" w:sz="4" w:space="0" w:color="auto"/>
              <w:right w:val="single" w:sz="4" w:space="0" w:color="auto"/>
            </w:tcBorders>
            <w:shd w:val="clear" w:color="auto" w:fill="auto"/>
            <w:noWrap/>
            <w:vAlign w:val="center"/>
            <w:hideMark/>
          </w:tcPr>
          <w:p w14:paraId="2531453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Neptuno</w:t>
            </w:r>
          </w:p>
        </w:tc>
        <w:tc>
          <w:tcPr>
            <w:tcW w:w="992" w:type="dxa"/>
            <w:tcBorders>
              <w:top w:val="nil"/>
              <w:left w:val="nil"/>
              <w:bottom w:val="single" w:sz="4" w:space="0" w:color="auto"/>
              <w:right w:val="single" w:sz="4" w:space="0" w:color="auto"/>
            </w:tcBorders>
            <w:shd w:val="clear" w:color="auto" w:fill="auto"/>
            <w:noWrap/>
            <w:vAlign w:val="center"/>
          </w:tcPr>
          <w:p w14:paraId="6E39D501" w14:textId="2C188A8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123.816</w:t>
            </w:r>
          </w:p>
        </w:tc>
        <w:tc>
          <w:tcPr>
            <w:tcW w:w="851" w:type="dxa"/>
            <w:tcBorders>
              <w:top w:val="nil"/>
              <w:left w:val="nil"/>
              <w:bottom w:val="single" w:sz="4" w:space="0" w:color="auto"/>
              <w:right w:val="single" w:sz="4" w:space="0" w:color="auto"/>
            </w:tcBorders>
            <w:shd w:val="clear" w:color="auto" w:fill="auto"/>
            <w:noWrap/>
            <w:vAlign w:val="center"/>
          </w:tcPr>
          <w:p w14:paraId="3BAD68C5" w14:textId="01C16C8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24.693</w:t>
            </w:r>
          </w:p>
        </w:tc>
        <w:tc>
          <w:tcPr>
            <w:tcW w:w="992" w:type="dxa"/>
            <w:tcBorders>
              <w:top w:val="nil"/>
              <w:left w:val="nil"/>
              <w:bottom w:val="single" w:sz="4" w:space="0" w:color="auto"/>
              <w:right w:val="single" w:sz="4" w:space="0" w:color="auto"/>
            </w:tcBorders>
            <w:shd w:val="clear" w:color="auto" w:fill="auto"/>
            <w:noWrap/>
            <w:vAlign w:val="center"/>
          </w:tcPr>
          <w:p w14:paraId="06992C81" w14:textId="2345C2F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18.319</w:t>
            </w:r>
          </w:p>
        </w:tc>
        <w:tc>
          <w:tcPr>
            <w:tcW w:w="992" w:type="dxa"/>
            <w:tcBorders>
              <w:top w:val="nil"/>
              <w:left w:val="nil"/>
              <w:bottom w:val="single" w:sz="4" w:space="0" w:color="auto"/>
              <w:right w:val="single" w:sz="4" w:space="0" w:color="auto"/>
            </w:tcBorders>
            <w:shd w:val="clear" w:color="auto" w:fill="auto"/>
            <w:noWrap/>
            <w:vAlign w:val="center"/>
          </w:tcPr>
          <w:p w14:paraId="3D4D09A9" w14:textId="28B2B58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166.828</w:t>
            </w:r>
          </w:p>
        </w:tc>
      </w:tr>
      <w:tr w:rsidR="005E36B7" w:rsidRPr="005E36B7" w14:paraId="4426A2DC"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8F18E6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SE-N_48</w:t>
            </w:r>
          </w:p>
        </w:tc>
        <w:tc>
          <w:tcPr>
            <w:tcW w:w="5103" w:type="dxa"/>
            <w:tcBorders>
              <w:top w:val="nil"/>
              <w:left w:val="nil"/>
              <w:bottom w:val="single" w:sz="4" w:space="0" w:color="auto"/>
              <w:right w:val="single" w:sz="4" w:space="0" w:color="auto"/>
            </w:tcBorders>
            <w:shd w:val="clear" w:color="auto" w:fill="auto"/>
            <w:noWrap/>
            <w:vAlign w:val="center"/>
            <w:hideMark/>
          </w:tcPr>
          <w:p w14:paraId="45F187B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Nogales</w:t>
            </w:r>
          </w:p>
        </w:tc>
        <w:tc>
          <w:tcPr>
            <w:tcW w:w="992" w:type="dxa"/>
            <w:tcBorders>
              <w:top w:val="nil"/>
              <w:left w:val="nil"/>
              <w:bottom w:val="single" w:sz="4" w:space="0" w:color="auto"/>
              <w:right w:val="single" w:sz="4" w:space="0" w:color="auto"/>
            </w:tcBorders>
            <w:shd w:val="clear" w:color="auto" w:fill="auto"/>
            <w:noWrap/>
            <w:vAlign w:val="center"/>
          </w:tcPr>
          <w:p w14:paraId="5DEF95EC" w14:textId="4F2A449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159.453</w:t>
            </w:r>
          </w:p>
        </w:tc>
        <w:tc>
          <w:tcPr>
            <w:tcW w:w="851" w:type="dxa"/>
            <w:tcBorders>
              <w:top w:val="nil"/>
              <w:left w:val="nil"/>
              <w:bottom w:val="single" w:sz="4" w:space="0" w:color="auto"/>
              <w:right w:val="single" w:sz="4" w:space="0" w:color="auto"/>
            </w:tcBorders>
            <w:shd w:val="clear" w:color="auto" w:fill="auto"/>
            <w:noWrap/>
            <w:vAlign w:val="center"/>
          </w:tcPr>
          <w:p w14:paraId="4B576BE8" w14:textId="7B276C1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46.051</w:t>
            </w:r>
          </w:p>
        </w:tc>
        <w:tc>
          <w:tcPr>
            <w:tcW w:w="992" w:type="dxa"/>
            <w:tcBorders>
              <w:top w:val="nil"/>
              <w:left w:val="nil"/>
              <w:bottom w:val="single" w:sz="4" w:space="0" w:color="auto"/>
              <w:right w:val="single" w:sz="4" w:space="0" w:color="auto"/>
            </w:tcBorders>
            <w:shd w:val="clear" w:color="auto" w:fill="auto"/>
            <w:noWrap/>
            <w:vAlign w:val="center"/>
          </w:tcPr>
          <w:p w14:paraId="73D36FB5" w14:textId="24FE808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26.758</w:t>
            </w:r>
          </w:p>
        </w:tc>
        <w:tc>
          <w:tcPr>
            <w:tcW w:w="992" w:type="dxa"/>
            <w:tcBorders>
              <w:top w:val="nil"/>
              <w:left w:val="nil"/>
              <w:bottom w:val="single" w:sz="4" w:space="0" w:color="auto"/>
              <w:right w:val="single" w:sz="4" w:space="0" w:color="auto"/>
            </w:tcBorders>
            <w:shd w:val="clear" w:color="auto" w:fill="auto"/>
            <w:noWrap/>
            <w:vAlign w:val="center"/>
          </w:tcPr>
          <w:p w14:paraId="11715716" w14:textId="383C5F9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232.263</w:t>
            </w:r>
          </w:p>
        </w:tc>
      </w:tr>
      <w:tr w:rsidR="005E36B7" w:rsidRPr="005E36B7" w14:paraId="25A74875"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942B0C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SE-N_49</w:t>
            </w:r>
          </w:p>
        </w:tc>
        <w:tc>
          <w:tcPr>
            <w:tcW w:w="5103" w:type="dxa"/>
            <w:tcBorders>
              <w:top w:val="nil"/>
              <w:left w:val="nil"/>
              <w:bottom w:val="single" w:sz="4" w:space="0" w:color="auto"/>
              <w:right w:val="single" w:sz="4" w:space="0" w:color="auto"/>
            </w:tcBorders>
            <w:shd w:val="clear" w:color="auto" w:fill="auto"/>
            <w:noWrap/>
            <w:vAlign w:val="center"/>
            <w:hideMark/>
          </w:tcPr>
          <w:p w14:paraId="2E84C0D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Alto Melipilla</w:t>
            </w:r>
          </w:p>
        </w:tc>
        <w:tc>
          <w:tcPr>
            <w:tcW w:w="992" w:type="dxa"/>
            <w:tcBorders>
              <w:top w:val="nil"/>
              <w:left w:val="nil"/>
              <w:bottom w:val="single" w:sz="4" w:space="0" w:color="auto"/>
              <w:right w:val="single" w:sz="4" w:space="0" w:color="auto"/>
            </w:tcBorders>
            <w:shd w:val="clear" w:color="auto" w:fill="auto"/>
            <w:noWrap/>
            <w:vAlign w:val="center"/>
          </w:tcPr>
          <w:p w14:paraId="35E716A8" w14:textId="6F52E01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7D5CEBFE" w14:textId="0B845EF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70D65B9E" w14:textId="21E9F04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6A85AF69" w14:textId="6AAB049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060401C9"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D9366E7"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SE-N_50</w:t>
            </w:r>
          </w:p>
        </w:tc>
        <w:tc>
          <w:tcPr>
            <w:tcW w:w="5103" w:type="dxa"/>
            <w:tcBorders>
              <w:top w:val="nil"/>
              <w:left w:val="nil"/>
              <w:bottom w:val="single" w:sz="4" w:space="0" w:color="auto"/>
              <w:right w:val="single" w:sz="4" w:space="0" w:color="auto"/>
            </w:tcBorders>
            <w:shd w:val="clear" w:color="auto" w:fill="auto"/>
            <w:noWrap/>
            <w:vAlign w:val="center"/>
            <w:hideMark/>
          </w:tcPr>
          <w:p w14:paraId="3ADF80D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Cardones</w:t>
            </w:r>
          </w:p>
        </w:tc>
        <w:tc>
          <w:tcPr>
            <w:tcW w:w="992" w:type="dxa"/>
            <w:tcBorders>
              <w:top w:val="nil"/>
              <w:left w:val="nil"/>
              <w:bottom w:val="single" w:sz="4" w:space="0" w:color="auto"/>
              <w:right w:val="single" w:sz="4" w:space="0" w:color="auto"/>
            </w:tcBorders>
            <w:shd w:val="clear" w:color="auto" w:fill="auto"/>
            <w:noWrap/>
            <w:vAlign w:val="center"/>
          </w:tcPr>
          <w:p w14:paraId="2B5D7DAF" w14:textId="45FA233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930.781</w:t>
            </w:r>
          </w:p>
        </w:tc>
        <w:tc>
          <w:tcPr>
            <w:tcW w:w="851" w:type="dxa"/>
            <w:tcBorders>
              <w:top w:val="nil"/>
              <w:left w:val="nil"/>
              <w:bottom w:val="single" w:sz="4" w:space="0" w:color="auto"/>
              <w:right w:val="single" w:sz="4" w:space="0" w:color="auto"/>
            </w:tcBorders>
            <w:shd w:val="clear" w:color="auto" w:fill="auto"/>
            <w:noWrap/>
            <w:vAlign w:val="center"/>
          </w:tcPr>
          <w:p w14:paraId="3CAB7F69" w14:textId="6721789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110.179</w:t>
            </w:r>
          </w:p>
        </w:tc>
        <w:tc>
          <w:tcPr>
            <w:tcW w:w="992" w:type="dxa"/>
            <w:tcBorders>
              <w:top w:val="nil"/>
              <w:left w:val="nil"/>
              <w:bottom w:val="single" w:sz="4" w:space="0" w:color="auto"/>
              <w:right w:val="single" w:sz="4" w:space="0" w:color="auto"/>
            </w:tcBorders>
            <w:shd w:val="clear" w:color="auto" w:fill="auto"/>
            <w:noWrap/>
            <w:vAlign w:val="center"/>
          </w:tcPr>
          <w:p w14:paraId="1A43BB02" w14:textId="646FE4D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150.351</w:t>
            </w:r>
          </w:p>
        </w:tc>
        <w:tc>
          <w:tcPr>
            <w:tcW w:w="992" w:type="dxa"/>
            <w:tcBorders>
              <w:top w:val="nil"/>
              <w:left w:val="nil"/>
              <w:bottom w:val="single" w:sz="4" w:space="0" w:color="auto"/>
              <w:right w:val="single" w:sz="4" w:space="0" w:color="auto"/>
            </w:tcBorders>
            <w:shd w:val="clear" w:color="auto" w:fill="auto"/>
            <w:noWrap/>
            <w:vAlign w:val="center"/>
          </w:tcPr>
          <w:p w14:paraId="336A09BA" w14:textId="215793B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1.191.311</w:t>
            </w:r>
          </w:p>
        </w:tc>
      </w:tr>
      <w:tr w:rsidR="005E36B7" w:rsidRPr="005E36B7" w14:paraId="4B07D88F"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C52DF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SE-N_51</w:t>
            </w:r>
          </w:p>
        </w:tc>
        <w:tc>
          <w:tcPr>
            <w:tcW w:w="5103" w:type="dxa"/>
            <w:tcBorders>
              <w:top w:val="nil"/>
              <w:left w:val="nil"/>
              <w:bottom w:val="single" w:sz="4" w:space="0" w:color="auto"/>
              <w:right w:val="single" w:sz="4" w:space="0" w:color="auto"/>
            </w:tcBorders>
            <w:shd w:val="clear" w:color="auto" w:fill="auto"/>
            <w:noWrap/>
            <w:vAlign w:val="center"/>
            <w:hideMark/>
          </w:tcPr>
          <w:p w14:paraId="41826F6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Pichirropulli</w:t>
            </w:r>
          </w:p>
        </w:tc>
        <w:tc>
          <w:tcPr>
            <w:tcW w:w="992" w:type="dxa"/>
            <w:tcBorders>
              <w:top w:val="nil"/>
              <w:left w:val="nil"/>
              <w:bottom w:val="single" w:sz="4" w:space="0" w:color="auto"/>
              <w:right w:val="single" w:sz="4" w:space="0" w:color="auto"/>
            </w:tcBorders>
            <w:shd w:val="clear" w:color="auto" w:fill="auto"/>
            <w:noWrap/>
            <w:vAlign w:val="center"/>
          </w:tcPr>
          <w:p w14:paraId="43F854C7" w14:textId="0AB7BF0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453.839</w:t>
            </w:r>
          </w:p>
        </w:tc>
        <w:tc>
          <w:tcPr>
            <w:tcW w:w="851" w:type="dxa"/>
            <w:tcBorders>
              <w:top w:val="nil"/>
              <w:left w:val="nil"/>
              <w:bottom w:val="single" w:sz="4" w:space="0" w:color="auto"/>
              <w:right w:val="single" w:sz="4" w:space="0" w:color="auto"/>
            </w:tcBorders>
            <w:shd w:val="clear" w:color="auto" w:fill="auto"/>
            <w:noWrap/>
            <w:vAlign w:val="center"/>
          </w:tcPr>
          <w:p w14:paraId="28D91D07" w14:textId="6AEB4F0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75.204</w:t>
            </w:r>
          </w:p>
        </w:tc>
        <w:tc>
          <w:tcPr>
            <w:tcW w:w="992" w:type="dxa"/>
            <w:tcBorders>
              <w:top w:val="nil"/>
              <w:left w:val="nil"/>
              <w:bottom w:val="single" w:sz="4" w:space="0" w:color="auto"/>
              <w:right w:val="single" w:sz="4" w:space="0" w:color="auto"/>
            </w:tcBorders>
            <w:shd w:val="clear" w:color="auto" w:fill="auto"/>
            <w:noWrap/>
            <w:vAlign w:val="center"/>
          </w:tcPr>
          <w:p w14:paraId="2C3B5B01" w14:textId="412EAE6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54.351</w:t>
            </w:r>
          </w:p>
        </w:tc>
        <w:tc>
          <w:tcPr>
            <w:tcW w:w="992" w:type="dxa"/>
            <w:tcBorders>
              <w:top w:val="nil"/>
              <w:left w:val="nil"/>
              <w:bottom w:val="single" w:sz="4" w:space="0" w:color="auto"/>
              <w:right w:val="single" w:sz="4" w:space="0" w:color="auto"/>
            </w:tcBorders>
            <w:shd w:val="clear" w:color="auto" w:fill="auto"/>
            <w:noWrap/>
            <w:vAlign w:val="center"/>
          </w:tcPr>
          <w:p w14:paraId="7C1EF772" w14:textId="348B2D1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583.394</w:t>
            </w:r>
          </w:p>
        </w:tc>
      </w:tr>
      <w:tr w:rsidR="005E36B7" w:rsidRPr="005E36B7" w14:paraId="178A4652"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0BC171"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SE-N_52</w:t>
            </w:r>
          </w:p>
        </w:tc>
        <w:tc>
          <w:tcPr>
            <w:tcW w:w="5103" w:type="dxa"/>
            <w:tcBorders>
              <w:top w:val="nil"/>
              <w:left w:val="nil"/>
              <w:bottom w:val="single" w:sz="4" w:space="0" w:color="auto"/>
              <w:right w:val="single" w:sz="4" w:space="0" w:color="auto"/>
            </w:tcBorders>
            <w:shd w:val="clear" w:color="auto" w:fill="auto"/>
            <w:noWrap/>
            <w:vAlign w:val="center"/>
            <w:hideMark/>
          </w:tcPr>
          <w:p w14:paraId="6908B73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Victoria</w:t>
            </w:r>
          </w:p>
        </w:tc>
        <w:tc>
          <w:tcPr>
            <w:tcW w:w="992" w:type="dxa"/>
            <w:tcBorders>
              <w:top w:val="nil"/>
              <w:left w:val="nil"/>
              <w:bottom w:val="single" w:sz="4" w:space="0" w:color="auto"/>
              <w:right w:val="single" w:sz="4" w:space="0" w:color="auto"/>
            </w:tcBorders>
            <w:shd w:val="clear" w:color="auto" w:fill="auto"/>
            <w:noWrap/>
            <w:vAlign w:val="center"/>
          </w:tcPr>
          <w:p w14:paraId="0E695E13" w14:textId="573E7B6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7B4AAF01" w14:textId="1C9DFA8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7B28AABA" w14:textId="05B98DB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622A9B07" w14:textId="2A811B6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1C2F1579"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B8650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SE-N_53</w:t>
            </w:r>
          </w:p>
        </w:tc>
        <w:tc>
          <w:tcPr>
            <w:tcW w:w="5103" w:type="dxa"/>
            <w:tcBorders>
              <w:top w:val="nil"/>
              <w:left w:val="nil"/>
              <w:bottom w:val="single" w:sz="4" w:space="0" w:color="auto"/>
              <w:right w:val="single" w:sz="4" w:space="0" w:color="auto"/>
            </w:tcBorders>
            <w:shd w:val="clear" w:color="auto" w:fill="auto"/>
            <w:noWrap/>
            <w:vAlign w:val="center"/>
            <w:hideMark/>
          </w:tcPr>
          <w:p w14:paraId="73094C1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O Higgins</w:t>
            </w:r>
          </w:p>
        </w:tc>
        <w:tc>
          <w:tcPr>
            <w:tcW w:w="992" w:type="dxa"/>
            <w:tcBorders>
              <w:top w:val="nil"/>
              <w:left w:val="nil"/>
              <w:bottom w:val="single" w:sz="4" w:space="0" w:color="auto"/>
              <w:right w:val="single" w:sz="4" w:space="0" w:color="auto"/>
            </w:tcBorders>
            <w:shd w:val="clear" w:color="auto" w:fill="auto"/>
            <w:noWrap/>
            <w:vAlign w:val="center"/>
          </w:tcPr>
          <w:p w14:paraId="46B9A457" w14:textId="750BC38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65.101</w:t>
            </w:r>
          </w:p>
        </w:tc>
        <w:tc>
          <w:tcPr>
            <w:tcW w:w="851" w:type="dxa"/>
            <w:tcBorders>
              <w:top w:val="nil"/>
              <w:left w:val="nil"/>
              <w:bottom w:val="single" w:sz="4" w:space="0" w:color="auto"/>
              <w:right w:val="single" w:sz="4" w:space="0" w:color="auto"/>
            </w:tcBorders>
            <w:shd w:val="clear" w:color="auto" w:fill="auto"/>
            <w:noWrap/>
            <w:vAlign w:val="center"/>
          </w:tcPr>
          <w:p w14:paraId="5AE2733F" w14:textId="67B03E5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40.637</w:t>
            </w:r>
          </w:p>
        </w:tc>
        <w:tc>
          <w:tcPr>
            <w:tcW w:w="992" w:type="dxa"/>
            <w:tcBorders>
              <w:top w:val="nil"/>
              <w:left w:val="nil"/>
              <w:bottom w:val="single" w:sz="4" w:space="0" w:color="auto"/>
              <w:right w:val="single" w:sz="4" w:space="0" w:color="auto"/>
            </w:tcBorders>
            <w:shd w:val="clear" w:color="auto" w:fill="auto"/>
            <w:noWrap/>
            <w:vAlign w:val="center"/>
          </w:tcPr>
          <w:p w14:paraId="3C6C2954" w14:textId="01C8C22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9.309</w:t>
            </w:r>
          </w:p>
        </w:tc>
        <w:tc>
          <w:tcPr>
            <w:tcW w:w="992" w:type="dxa"/>
            <w:tcBorders>
              <w:top w:val="nil"/>
              <w:left w:val="nil"/>
              <w:bottom w:val="single" w:sz="4" w:space="0" w:color="auto"/>
              <w:right w:val="single" w:sz="4" w:space="0" w:color="auto"/>
            </w:tcBorders>
            <w:shd w:val="clear" w:color="auto" w:fill="auto"/>
            <w:noWrap/>
            <w:vAlign w:val="center"/>
          </w:tcPr>
          <w:p w14:paraId="1C7A5582" w14:textId="63D2BB1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115.047</w:t>
            </w:r>
          </w:p>
        </w:tc>
      </w:tr>
      <w:tr w:rsidR="005E36B7" w:rsidRPr="005E36B7" w14:paraId="715C063F"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57941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SE-N_54</w:t>
            </w:r>
          </w:p>
        </w:tc>
        <w:tc>
          <w:tcPr>
            <w:tcW w:w="5103" w:type="dxa"/>
            <w:tcBorders>
              <w:top w:val="nil"/>
              <w:left w:val="nil"/>
              <w:bottom w:val="single" w:sz="4" w:space="0" w:color="auto"/>
              <w:right w:val="single" w:sz="4" w:space="0" w:color="auto"/>
            </w:tcBorders>
            <w:shd w:val="clear" w:color="auto" w:fill="auto"/>
            <w:noWrap/>
            <w:vAlign w:val="center"/>
            <w:hideMark/>
          </w:tcPr>
          <w:p w14:paraId="1BD99EC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Pan de Azucar</w:t>
            </w:r>
          </w:p>
        </w:tc>
        <w:tc>
          <w:tcPr>
            <w:tcW w:w="992" w:type="dxa"/>
            <w:tcBorders>
              <w:top w:val="nil"/>
              <w:left w:val="nil"/>
              <w:bottom w:val="single" w:sz="4" w:space="0" w:color="auto"/>
              <w:right w:val="single" w:sz="4" w:space="0" w:color="auto"/>
            </w:tcBorders>
            <w:shd w:val="clear" w:color="auto" w:fill="auto"/>
            <w:noWrap/>
            <w:vAlign w:val="center"/>
          </w:tcPr>
          <w:p w14:paraId="06AD49BC" w14:textId="031189E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2.812.763</w:t>
            </w:r>
          </w:p>
        </w:tc>
        <w:tc>
          <w:tcPr>
            <w:tcW w:w="851" w:type="dxa"/>
            <w:tcBorders>
              <w:top w:val="nil"/>
              <w:left w:val="nil"/>
              <w:bottom w:val="single" w:sz="4" w:space="0" w:color="auto"/>
              <w:right w:val="single" w:sz="4" w:space="0" w:color="auto"/>
            </w:tcBorders>
            <w:shd w:val="clear" w:color="auto" w:fill="auto"/>
            <w:noWrap/>
            <w:vAlign w:val="center"/>
          </w:tcPr>
          <w:p w14:paraId="40F25410" w14:textId="7DFA872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402.778</w:t>
            </w:r>
          </w:p>
        </w:tc>
        <w:tc>
          <w:tcPr>
            <w:tcW w:w="992" w:type="dxa"/>
            <w:tcBorders>
              <w:top w:val="nil"/>
              <w:left w:val="nil"/>
              <w:bottom w:val="single" w:sz="4" w:space="0" w:color="auto"/>
              <w:right w:val="single" w:sz="4" w:space="0" w:color="auto"/>
            </w:tcBorders>
            <w:shd w:val="clear" w:color="auto" w:fill="auto"/>
            <w:noWrap/>
            <w:vAlign w:val="center"/>
          </w:tcPr>
          <w:p w14:paraId="2B8FCE71" w14:textId="7784FC1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384.954</w:t>
            </w:r>
          </w:p>
        </w:tc>
        <w:tc>
          <w:tcPr>
            <w:tcW w:w="992" w:type="dxa"/>
            <w:tcBorders>
              <w:top w:val="nil"/>
              <w:left w:val="nil"/>
              <w:bottom w:val="single" w:sz="4" w:space="0" w:color="auto"/>
              <w:right w:val="single" w:sz="4" w:space="0" w:color="auto"/>
            </w:tcBorders>
            <w:shd w:val="clear" w:color="auto" w:fill="auto"/>
            <w:noWrap/>
            <w:vAlign w:val="center"/>
          </w:tcPr>
          <w:p w14:paraId="46EF9CB7" w14:textId="7F3AB6E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3.600.494</w:t>
            </w:r>
          </w:p>
        </w:tc>
      </w:tr>
      <w:tr w:rsidR="005E36B7" w:rsidRPr="005E36B7" w14:paraId="562CE10C"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68A30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SE-N_55</w:t>
            </w:r>
          </w:p>
        </w:tc>
        <w:tc>
          <w:tcPr>
            <w:tcW w:w="5103" w:type="dxa"/>
            <w:tcBorders>
              <w:top w:val="nil"/>
              <w:left w:val="nil"/>
              <w:bottom w:val="single" w:sz="4" w:space="0" w:color="auto"/>
              <w:right w:val="single" w:sz="4" w:space="0" w:color="auto"/>
            </w:tcBorders>
            <w:shd w:val="clear" w:color="auto" w:fill="auto"/>
            <w:noWrap/>
            <w:vAlign w:val="center"/>
            <w:hideMark/>
          </w:tcPr>
          <w:p w14:paraId="3344602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Parinacota</w:t>
            </w:r>
          </w:p>
        </w:tc>
        <w:tc>
          <w:tcPr>
            <w:tcW w:w="992" w:type="dxa"/>
            <w:tcBorders>
              <w:top w:val="nil"/>
              <w:left w:val="nil"/>
              <w:bottom w:val="single" w:sz="4" w:space="0" w:color="auto"/>
              <w:right w:val="single" w:sz="4" w:space="0" w:color="auto"/>
            </w:tcBorders>
            <w:shd w:val="clear" w:color="auto" w:fill="auto"/>
            <w:noWrap/>
            <w:vAlign w:val="center"/>
          </w:tcPr>
          <w:p w14:paraId="612A5D36" w14:textId="13F566D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346.613</w:t>
            </w:r>
          </w:p>
        </w:tc>
        <w:tc>
          <w:tcPr>
            <w:tcW w:w="851" w:type="dxa"/>
            <w:tcBorders>
              <w:top w:val="nil"/>
              <w:left w:val="nil"/>
              <w:bottom w:val="single" w:sz="4" w:space="0" w:color="auto"/>
              <w:right w:val="single" w:sz="4" w:space="0" w:color="auto"/>
            </w:tcBorders>
            <w:shd w:val="clear" w:color="auto" w:fill="auto"/>
            <w:noWrap/>
            <w:vAlign w:val="center"/>
          </w:tcPr>
          <w:p w14:paraId="3146C9AB" w14:textId="1440DE1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69.263</w:t>
            </w:r>
          </w:p>
        </w:tc>
        <w:tc>
          <w:tcPr>
            <w:tcW w:w="992" w:type="dxa"/>
            <w:tcBorders>
              <w:top w:val="nil"/>
              <w:left w:val="nil"/>
              <w:bottom w:val="single" w:sz="4" w:space="0" w:color="auto"/>
              <w:right w:val="single" w:sz="4" w:space="0" w:color="auto"/>
            </w:tcBorders>
            <w:shd w:val="clear" w:color="auto" w:fill="auto"/>
            <w:noWrap/>
            <w:vAlign w:val="center"/>
          </w:tcPr>
          <w:p w14:paraId="03B371ED" w14:textId="60E9FC2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70.557</w:t>
            </w:r>
          </w:p>
        </w:tc>
        <w:tc>
          <w:tcPr>
            <w:tcW w:w="992" w:type="dxa"/>
            <w:tcBorders>
              <w:top w:val="nil"/>
              <w:left w:val="nil"/>
              <w:bottom w:val="single" w:sz="4" w:space="0" w:color="auto"/>
              <w:right w:val="single" w:sz="4" w:space="0" w:color="auto"/>
            </w:tcBorders>
            <w:shd w:val="clear" w:color="auto" w:fill="auto"/>
            <w:noWrap/>
            <w:vAlign w:val="center"/>
          </w:tcPr>
          <w:p w14:paraId="16264B8B" w14:textId="1603167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486.433</w:t>
            </w:r>
          </w:p>
        </w:tc>
      </w:tr>
      <w:tr w:rsidR="005E36B7" w:rsidRPr="005E36B7" w14:paraId="23D2681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C2632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SE-N_56</w:t>
            </w:r>
          </w:p>
        </w:tc>
        <w:tc>
          <w:tcPr>
            <w:tcW w:w="5103" w:type="dxa"/>
            <w:tcBorders>
              <w:top w:val="nil"/>
              <w:left w:val="nil"/>
              <w:bottom w:val="single" w:sz="4" w:space="0" w:color="auto"/>
              <w:right w:val="single" w:sz="4" w:space="0" w:color="auto"/>
            </w:tcBorders>
            <w:shd w:val="clear" w:color="auto" w:fill="auto"/>
            <w:noWrap/>
            <w:vAlign w:val="center"/>
            <w:hideMark/>
          </w:tcPr>
          <w:p w14:paraId="46618D5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Polpaico</w:t>
            </w:r>
          </w:p>
        </w:tc>
        <w:tc>
          <w:tcPr>
            <w:tcW w:w="992" w:type="dxa"/>
            <w:tcBorders>
              <w:top w:val="nil"/>
              <w:left w:val="nil"/>
              <w:bottom w:val="single" w:sz="4" w:space="0" w:color="auto"/>
              <w:right w:val="single" w:sz="4" w:space="0" w:color="auto"/>
            </w:tcBorders>
            <w:shd w:val="clear" w:color="auto" w:fill="auto"/>
            <w:noWrap/>
            <w:vAlign w:val="center"/>
          </w:tcPr>
          <w:p w14:paraId="2777AD07" w14:textId="1E8039A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3.493.441</w:t>
            </w:r>
          </w:p>
        </w:tc>
        <w:tc>
          <w:tcPr>
            <w:tcW w:w="851" w:type="dxa"/>
            <w:tcBorders>
              <w:top w:val="nil"/>
              <w:left w:val="nil"/>
              <w:bottom w:val="single" w:sz="4" w:space="0" w:color="auto"/>
              <w:right w:val="single" w:sz="4" w:space="0" w:color="auto"/>
            </w:tcBorders>
            <w:shd w:val="clear" w:color="auto" w:fill="auto"/>
            <w:noWrap/>
            <w:vAlign w:val="center"/>
          </w:tcPr>
          <w:p w14:paraId="3535B365" w14:textId="0D289CA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407.446</w:t>
            </w:r>
          </w:p>
        </w:tc>
        <w:tc>
          <w:tcPr>
            <w:tcW w:w="992" w:type="dxa"/>
            <w:tcBorders>
              <w:top w:val="nil"/>
              <w:left w:val="nil"/>
              <w:bottom w:val="single" w:sz="4" w:space="0" w:color="auto"/>
              <w:right w:val="single" w:sz="4" w:space="0" w:color="auto"/>
            </w:tcBorders>
            <w:shd w:val="clear" w:color="auto" w:fill="auto"/>
            <w:noWrap/>
            <w:vAlign w:val="center"/>
          </w:tcPr>
          <w:p w14:paraId="682FF8F7" w14:textId="3CEBAD4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468.080</w:t>
            </w:r>
          </w:p>
        </w:tc>
        <w:tc>
          <w:tcPr>
            <w:tcW w:w="992" w:type="dxa"/>
            <w:tcBorders>
              <w:top w:val="nil"/>
              <w:left w:val="nil"/>
              <w:bottom w:val="single" w:sz="4" w:space="0" w:color="auto"/>
              <w:right w:val="single" w:sz="4" w:space="0" w:color="auto"/>
            </w:tcBorders>
            <w:shd w:val="clear" w:color="auto" w:fill="auto"/>
            <w:noWrap/>
            <w:vAlign w:val="center"/>
          </w:tcPr>
          <w:p w14:paraId="136EFC51" w14:textId="4D7F586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4.368.967</w:t>
            </w:r>
          </w:p>
        </w:tc>
      </w:tr>
      <w:tr w:rsidR="005E36B7" w:rsidRPr="005E36B7" w14:paraId="64712F32"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EF60A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SE-N_57</w:t>
            </w:r>
          </w:p>
        </w:tc>
        <w:tc>
          <w:tcPr>
            <w:tcW w:w="5103" w:type="dxa"/>
            <w:tcBorders>
              <w:top w:val="nil"/>
              <w:left w:val="nil"/>
              <w:bottom w:val="single" w:sz="4" w:space="0" w:color="auto"/>
              <w:right w:val="single" w:sz="4" w:space="0" w:color="auto"/>
            </w:tcBorders>
            <w:shd w:val="clear" w:color="auto" w:fill="auto"/>
            <w:noWrap/>
            <w:vAlign w:val="center"/>
            <w:hideMark/>
          </w:tcPr>
          <w:p w14:paraId="4F5C49B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Pozo Almonte</w:t>
            </w:r>
          </w:p>
        </w:tc>
        <w:tc>
          <w:tcPr>
            <w:tcW w:w="992" w:type="dxa"/>
            <w:tcBorders>
              <w:top w:val="nil"/>
              <w:left w:val="nil"/>
              <w:bottom w:val="single" w:sz="4" w:space="0" w:color="auto"/>
              <w:right w:val="single" w:sz="4" w:space="0" w:color="auto"/>
            </w:tcBorders>
            <w:shd w:val="clear" w:color="auto" w:fill="auto"/>
            <w:noWrap/>
            <w:vAlign w:val="center"/>
          </w:tcPr>
          <w:p w14:paraId="2284401B" w14:textId="4AA9534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171.424</w:t>
            </w:r>
          </w:p>
        </w:tc>
        <w:tc>
          <w:tcPr>
            <w:tcW w:w="851" w:type="dxa"/>
            <w:tcBorders>
              <w:top w:val="nil"/>
              <w:left w:val="nil"/>
              <w:bottom w:val="single" w:sz="4" w:space="0" w:color="auto"/>
              <w:right w:val="single" w:sz="4" w:space="0" w:color="auto"/>
            </w:tcBorders>
            <w:shd w:val="clear" w:color="auto" w:fill="auto"/>
            <w:noWrap/>
            <w:vAlign w:val="center"/>
          </w:tcPr>
          <w:p w14:paraId="469C0AC0" w14:textId="72AA48C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51.765</w:t>
            </w:r>
          </w:p>
        </w:tc>
        <w:tc>
          <w:tcPr>
            <w:tcW w:w="992" w:type="dxa"/>
            <w:tcBorders>
              <w:top w:val="nil"/>
              <w:left w:val="nil"/>
              <w:bottom w:val="single" w:sz="4" w:space="0" w:color="auto"/>
              <w:right w:val="single" w:sz="4" w:space="0" w:color="auto"/>
            </w:tcBorders>
            <w:shd w:val="clear" w:color="auto" w:fill="auto"/>
            <w:noWrap/>
            <w:vAlign w:val="center"/>
          </w:tcPr>
          <w:p w14:paraId="6B553167" w14:textId="6F77EFE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30.220</w:t>
            </w:r>
          </w:p>
        </w:tc>
        <w:tc>
          <w:tcPr>
            <w:tcW w:w="992" w:type="dxa"/>
            <w:tcBorders>
              <w:top w:val="nil"/>
              <w:left w:val="nil"/>
              <w:bottom w:val="single" w:sz="4" w:space="0" w:color="auto"/>
              <w:right w:val="single" w:sz="4" w:space="0" w:color="auto"/>
            </w:tcBorders>
            <w:shd w:val="clear" w:color="auto" w:fill="auto"/>
            <w:noWrap/>
            <w:vAlign w:val="center"/>
          </w:tcPr>
          <w:p w14:paraId="3E552B76" w14:textId="6D922E0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253.409</w:t>
            </w:r>
          </w:p>
        </w:tc>
      </w:tr>
      <w:tr w:rsidR="005E36B7" w:rsidRPr="005E36B7" w14:paraId="2C18D691"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52C8F7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SE-N_58</w:t>
            </w:r>
          </w:p>
        </w:tc>
        <w:tc>
          <w:tcPr>
            <w:tcW w:w="5103" w:type="dxa"/>
            <w:tcBorders>
              <w:top w:val="nil"/>
              <w:left w:val="nil"/>
              <w:bottom w:val="single" w:sz="4" w:space="0" w:color="auto"/>
              <w:right w:val="single" w:sz="4" w:space="0" w:color="auto"/>
            </w:tcBorders>
            <w:shd w:val="clear" w:color="auto" w:fill="auto"/>
            <w:noWrap/>
            <w:vAlign w:val="center"/>
            <w:hideMark/>
          </w:tcPr>
          <w:p w14:paraId="7989B80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Puente Negro</w:t>
            </w:r>
          </w:p>
        </w:tc>
        <w:tc>
          <w:tcPr>
            <w:tcW w:w="992" w:type="dxa"/>
            <w:tcBorders>
              <w:top w:val="nil"/>
              <w:left w:val="nil"/>
              <w:bottom w:val="single" w:sz="4" w:space="0" w:color="auto"/>
              <w:right w:val="single" w:sz="4" w:space="0" w:color="auto"/>
            </w:tcBorders>
            <w:shd w:val="clear" w:color="auto" w:fill="auto"/>
            <w:noWrap/>
            <w:vAlign w:val="center"/>
          </w:tcPr>
          <w:p w14:paraId="3366BE6A" w14:textId="59DC5D8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07A3AD5F" w14:textId="7B94D56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2D3EC637" w14:textId="1FF011D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5C47085E" w14:textId="4B3D7E3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13F722A0"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EC390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SE-N_59</w:t>
            </w:r>
          </w:p>
        </w:tc>
        <w:tc>
          <w:tcPr>
            <w:tcW w:w="5103" w:type="dxa"/>
            <w:tcBorders>
              <w:top w:val="nil"/>
              <w:left w:val="nil"/>
              <w:bottom w:val="single" w:sz="4" w:space="0" w:color="auto"/>
              <w:right w:val="single" w:sz="4" w:space="0" w:color="auto"/>
            </w:tcBorders>
            <w:shd w:val="clear" w:color="auto" w:fill="auto"/>
            <w:noWrap/>
            <w:vAlign w:val="center"/>
            <w:hideMark/>
          </w:tcPr>
          <w:p w14:paraId="34550F9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Puerto Montt</w:t>
            </w:r>
          </w:p>
        </w:tc>
        <w:tc>
          <w:tcPr>
            <w:tcW w:w="992" w:type="dxa"/>
            <w:tcBorders>
              <w:top w:val="nil"/>
              <w:left w:val="nil"/>
              <w:bottom w:val="single" w:sz="4" w:space="0" w:color="auto"/>
              <w:right w:val="single" w:sz="4" w:space="0" w:color="auto"/>
            </w:tcBorders>
            <w:shd w:val="clear" w:color="auto" w:fill="auto"/>
            <w:noWrap/>
            <w:vAlign w:val="center"/>
          </w:tcPr>
          <w:p w14:paraId="3E4427B0" w14:textId="7E766C4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740.493</w:t>
            </w:r>
          </w:p>
        </w:tc>
        <w:tc>
          <w:tcPr>
            <w:tcW w:w="851" w:type="dxa"/>
            <w:tcBorders>
              <w:top w:val="nil"/>
              <w:left w:val="nil"/>
              <w:bottom w:val="single" w:sz="4" w:space="0" w:color="auto"/>
              <w:right w:val="single" w:sz="4" w:space="0" w:color="auto"/>
            </w:tcBorders>
            <w:shd w:val="clear" w:color="auto" w:fill="auto"/>
            <w:noWrap/>
            <w:vAlign w:val="center"/>
          </w:tcPr>
          <w:p w14:paraId="57B3733D" w14:textId="4701AE2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149.769</w:t>
            </w:r>
          </w:p>
        </w:tc>
        <w:tc>
          <w:tcPr>
            <w:tcW w:w="992" w:type="dxa"/>
            <w:tcBorders>
              <w:top w:val="nil"/>
              <w:left w:val="nil"/>
              <w:bottom w:val="single" w:sz="4" w:space="0" w:color="auto"/>
              <w:right w:val="single" w:sz="4" w:space="0" w:color="auto"/>
            </w:tcBorders>
            <w:shd w:val="clear" w:color="auto" w:fill="auto"/>
            <w:noWrap/>
            <w:vAlign w:val="center"/>
          </w:tcPr>
          <w:p w14:paraId="1A58BF02" w14:textId="7112037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142.380</w:t>
            </w:r>
          </w:p>
        </w:tc>
        <w:tc>
          <w:tcPr>
            <w:tcW w:w="992" w:type="dxa"/>
            <w:tcBorders>
              <w:top w:val="nil"/>
              <w:left w:val="nil"/>
              <w:bottom w:val="single" w:sz="4" w:space="0" w:color="auto"/>
              <w:right w:val="single" w:sz="4" w:space="0" w:color="auto"/>
            </w:tcBorders>
            <w:shd w:val="clear" w:color="auto" w:fill="auto"/>
            <w:noWrap/>
            <w:vAlign w:val="center"/>
          </w:tcPr>
          <w:p w14:paraId="59A46D04" w14:textId="774236D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1.032.641</w:t>
            </w:r>
          </w:p>
        </w:tc>
      </w:tr>
      <w:tr w:rsidR="005E36B7" w:rsidRPr="005E36B7" w14:paraId="42BE9FB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AF8046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SE-N_60</w:t>
            </w:r>
          </w:p>
        </w:tc>
        <w:tc>
          <w:tcPr>
            <w:tcW w:w="5103" w:type="dxa"/>
            <w:tcBorders>
              <w:top w:val="nil"/>
              <w:left w:val="nil"/>
              <w:bottom w:val="single" w:sz="4" w:space="0" w:color="auto"/>
              <w:right w:val="single" w:sz="4" w:space="0" w:color="auto"/>
            </w:tcBorders>
            <w:shd w:val="clear" w:color="auto" w:fill="auto"/>
            <w:noWrap/>
            <w:vAlign w:val="center"/>
            <w:hideMark/>
          </w:tcPr>
          <w:p w14:paraId="67CCD62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Punta Colorada</w:t>
            </w:r>
          </w:p>
        </w:tc>
        <w:tc>
          <w:tcPr>
            <w:tcW w:w="992" w:type="dxa"/>
            <w:tcBorders>
              <w:top w:val="nil"/>
              <w:left w:val="nil"/>
              <w:bottom w:val="single" w:sz="4" w:space="0" w:color="auto"/>
              <w:right w:val="single" w:sz="4" w:space="0" w:color="auto"/>
            </w:tcBorders>
            <w:shd w:val="clear" w:color="auto" w:fill="auto"/>
            <w:noWrap/>
            <w:vAlign w:val="center"/>
          </w:tcPr>
          <w:p w14:paraId="38416D7D" w14:textId="648CBF1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192.561</w:t>
            </w:r>
          </w:p>
        </w:tc>
        <w:tc>
          <w:tcPr>
            <w:tcW w:w="851" w:type="dxa"/>
            <w:tcBorders>
              <w:top w:val="nil"/>
              <w:left w:val="nil"/>
              <w:bottom w:val="single" w:sz="4" w:space="0" w:color="auto"/>
              <w:right w:val="single" w:sz="4" w:space="0" w:color="auto"/>
            </w:tcBorders>
            <w:shd w:val="clear" w:color="auto" w:fill="auto"/>
            <w:noWrap/>
            <w:vAlign w:val="center"/>
          </w:tcPr>
          <w:p w14:paraId="411238E4" w14:textId="48FDBCD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48.020</w:t>
            </w:r>
          </w:p>
        </w:tc>
        <w:tc>
          <w:tcPr>
            <w:tcW w:w="992" w:type="dxa"/>
            <w:tcBorders>
              <w:top w:val="nil"/>
              <w:left w:val="nil"/>
              <w:bottom w:val="single" w:sz="4" w:space="0" w:color="auto"/>
              <w:right w:val="single" w:sz="4" w:space="0" w:color="auto"/>
            </w:tcBorders>
            <w:shd w:val="clear" w:color="auto" w:fill="auto"/>
            <w:noWrap/>
            <w:vAlign w:val="center"/>
          </w:tcPr>
          <w:p w14:paraId="731D4C8E" w14:textId="0F605E0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27.122</w:t>
            </w:r>
          </w:p>
        </w:tc>
        <w:tc>
          <w:tcPr>
            <w:tcW w:w="992" w:type="dxa"/>
            <w:tcBorders>
              <w:top w:val="nil"/>
              <w:left w:val="nil"/>
              <w:bottom w:val="single" w:sz="4" w:space="0" w:color="auto"/>
              <w:right w:val="single" w:sz="4" w:space="0" w:color="auto"/>
            </w:tcBorders>
            <w:shd w:val="clear" w:color="auto" w:fill="auto"/>
            <w:noWrap/>
            <w:vAlign w:val="center"/>
          </w:tcPr>
          <w:p w14:paraId="460ED999" w14:textId="42E4000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267.703</w:t>
            </w:r>
          </w:p>
        </w:tc>
      </w:tr>
      <w:tr w:rsidR="005E36B7" w:rsidRPr="005E36B7" w14:paraId="0E8A0EE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02273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SE-N_61</w:t>
            </w:r>
          </w:p>
        </w:tc>
        <w:tc>
          <w:tcPr>
            <w:tcW w:w="5103" w:type="dxa"/>
            <w:tcBorders>
              <w:top w:val="nil"/>
              <w:left w:val="nil"/>
              <w:bottom w:val="single" w:sz="4" w:space="0" w:color="auto"/>
              <w:right w:val="single" w:sz="4" w:space="0" w:color="auto"/>
            </w:tcBorders>
            <w:shd w:val="clear" w:color="auto" w:fill="auto"/>
            <w:noWrap/>
            <w:vAlign w:val="center"/>
            <w:hideMark/>
          </w:tcPr>
          <w:p w14:paraId="3BA74CD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Punta Sierra</w:t>
            </w:r>
          </w:p>
        </w:tc>
        <w:tc>
          <w:tcPr>
            <w:tcW w:w="992" w:type="dxa"/>
            <w:tcBorders>
              <w:top w:val="nil"/>
              <w:left w:val="nil"/>
              <w:bottom w:val="single" w:sz="4" w:space="0" w:color="auto"/>
              <w:right w:val="single" w:sz="4" w:space="0" w:color="auto"/>
            </w:tcBorders>
            <w:shd w:val="clear" w:color="auto" w:fill="auto"/>
            <w:noWrap/>
            <w:vAlign w:val="center"/>
          </w:tcPr>
          <w:p w14:paraId="1C3C72A2" w14:textId="003803A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56067B1B" w14:textId="55CABC2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51AD94DF" w14:textId="7D1EF66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B351598" w14:textId="396B212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6157DF2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169C37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SE-N_62</w:t>
            </w:r>
          </w:p>
        </w:tc>
        <w:tc>
          <w:tcPr>
            <w:tcW w:w="5103" w:type="dxa"/>
            <w:tcBorders>
              <w:top w:val="nil"/>
              <w:left w:val="nil"/>
              <w:bottom w:val="single" w:sz="4" w:space="0" w:color="auto"/>
              <w:right w:val="single" w:sz="4" w:space="0" w:color="auto"/>
            </w:tcBorders>
            <w:shd w:val="clear" w:color="auto" w:fill="auto"/>
            <w:noWrap/>
            <w:vAlign w:val="center"/>
            <w:hideMark/>
          </w:tcPr>
          <w:p w14:paraId="317BFA5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Quilapilun</w:t>
            </w:r>
          </w:p>
        </w:tc>
        <w:tc>
          <w:tcPr>
            <w:tcW w:w="992" w:type="dxa"/>
            <w:tcBorders>
              <w:top w:val="nil"/>
              <w:left w:val="nil"/>
              <w:bottom w:val="single" w:sz="4" w:space="0" w:color="auto"/>
              <w:right w:val="single" w:sz="4" w:space="0" w:color="auto"/>
            </w:tcBorders>
            <w:shd w:val="clear" w:color="auto" w:fill="auto"/>
            <w:noWrap/>
            <w:vAlign w:val="center"/>
          </w:tcPr>
          <w:p w14:paraId="7C3F4366" w14:textId="0E514C1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29.704</w:t>
            </w:r>
          </w:p>
        </w:tc>
        <w:tc>
          <w:tcPr>
            <w:tcW w:w="851" w:type="dxa"/>
            <w:tcBorders>
              <w:top w:val="nil"/>
              <w:left w:val="nil"/>
              <w:bottom w:val="single" w:sz="4" w:space="0" w:color="auto"/>
              <w:right w:val="single" w:sz="4" w:space="0" w:color="auto"/>
            </w:tcBorders>
            <w:shd w:val="clear" w:color="auto" w:fill="auto"/>
            <w:noWrap/>
            <w:vAlign w:val="center"/>
          </w:tcPr>
          <w:p w14:paraId="2209ACEC" w14:textId="2B5637B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23.886</w:t>
            </w:r>
          </w:p>
        </w:tc>
        <w:tc>
          <w:tcPr>
            <w:tcW w:w="992" w:type="dxa"/>
            <w:tcBorders>
              <w:top w:val="nil"/>
              <w:left w:val="nil"/>
              <w:bottom w:val="single" w:sz="4" w:space="0" w:color="auto"/>
              <w:right w:val="single" w:sz="4" w:space="0" w:color="auto"/>
            </w:tcBorders>
            <w:shd w:val="clear" w:color="auto" w:fill="auto"/>
            <w:noWrap/>
            <w:vAlign w:val="center"/>
          </w:tcPr>
          <w:p w14:paraId="683B9FCA" w14:textId="06DDE66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5.231</w:t>
            </w:r>
          </w:p>
        </w:tc>
        <w:tc>
          <w:tcPr>
            <w:tcW w:w="992" w:type="dxa"/>
            <w:tcBorders>
              <w:top w:val="nil"/>
              <w:left w:val="nil"/>
              <w:bottom w:val="single" w:sz="4" w:space="0" w:color="auto"/>
              <w:right w:val="single" w:sz="4" w:space="0" w:color="auto"/>
            </w:tcBorders>
            <w:shd w:val="clear" w:color="auto" w:fill="auto"/>
            <w:noWrap/>
            <w:vAlign w:val="center"/>
          </w:tcPr>
          <w:p w14:paraId="526E0237" w14:textId="6FC0924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58.821</w:t>
            </w:r>
          </w:p>
        </w:tc>
      </w:tr>
      <w:tr w:rsidR="005E36B7" w:rsidRPr="005E36B7" w14:paraId="11E1564A"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18DFF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SE-N_63</w:t>
            </w:r>
          </w:p>
        </w:tc>
        <w:tc>
          <w:tcPr>
            <w:tcW w:w="5103" w:type="dxa"/>
            <w:tcBorders>
              <w:top w:val="nil"/>
              <w:left w:val="nil"/>
              <w:bottom w:val="single" w:sz="4" w:space="0" w:color="auto"/>
              <w:right w:val="single" w:sz="4" w:space="0" w:color="auto"/>
            </w:tcBorders>
            <w:shd w:val="clear" w:color="auto" w:fill="auto"/>
            <w:noWrap/>
            <w:vAlign w:val="center"/>
            <w:hideMark/>
          </w:tcPr>
          <w:p w14:paraId="6C53F54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Quillagua</w:t>
            </w:r>
          </w:p>
        </w:tc>
        <w:tc>
          <w:tcPr>
            <w:tcW w:w="992" w:type="dxa"/>
            <w:tcBorders>
              <w:top w:val="nil"/>
              <w:left w:val="nil"/>
              <w:bottom w:val="single" w:sz="4" w:space="0" w:color="auto"/>
              <w:right w:val="single" w:sz="4" w:space="0" w:color="auto"/>
            </w:tcBorders>
            <w:shd w:val="clear" w:color="auto" w:fill="auto"/>
            <w:noWrap/>
            <w:vAlign w:val="center"/>
          </w:tcPr>
          <w:p w14:paraId="6BF628CB" w14:textId="58FE76F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6.997</w:t>
            </w:r>
          </w:p>
        </w:tc>
        <w:tc>
          <w:tcPr>
            <w:tcW w:w="851" w:type="dxa"/>
            <w:tcBorders>
              <w:top w:val="nil"/>
              <w:left w:val="nil"/>
              <w:bottom w:val="single" w:sz="4" w:space="0" w:color="auto"/>
              <w:right w:val="single" w:sz="4" w:space="0" w:color="auto"/>
            </w:tcBorders>
            <w:shd w:val="clear" w:color="auto" w:fill="auto"/>
            <w:noWrap/>
            <w:vAlign w:val="center"/>
          </w:tcPr>
          <w:p w14:paraId="5D87EFE7" w14:textId="14B5368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30.271</w:t>
            </w:r>
          </w:p>
        </w:tc>
        <w:tc>
          <w:tcPr>
            <w:tcW w:w="992" w:type="dxa"/>
            <w:tcBorders>
              <w:top w:val="nil"/>
              <w:left w:val="nil"/>
              <w:bottom w:val="single" w:sz="4" w:space="0" w:color="auto"/>
              <w:right w:val="single" w:sz="4" w:space="0" w:color="auto"/>
            </w:tcBorders>
            <w:shd w:val="clear" w:color="auto" w:fill="auto"/>
            <w:noWrap/>
            <w:vAlign w:val="center"/>
          </w:tcPr>
          <w:p w14:paraId="430B4A02" w14:textId="3081E59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1.236</w:t>
            </w:r>
          </w:p>
        </w:tc>
        <w:tc>
          <w:tcPr>
            <w:tcW w:w="992" w:type="dxa"/>
            <w:tcBorders>
              <w:top w:val="nil"/>
              <w:left w:val="nil"/>
              <w:bottom w:val="single" w:sz="4" w:space="0" w:color="auto"/>
              <w:right w:val="single" w:sz="4" w:space="0" w:color="auto"/>
            </w:tcBorders>
            <w:shd w:val="clear" w:color="auto" w:fill="auto"/>
            <w:noWrap/>
            <w:vAlign w:val="center"/>
          </w:tcPr>
          <w:p w14:paraId="23230772" w14:textId="3706154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38.504</w:t>
            </w:r>
          </w:p>
        </w:tc>
      </w:tr>
      <w:tr w:rsidR="005E36B7" w:rsidRPr="005E36B7" w14:paraId="208B728B"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CB81F5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SE-N_64</w:t>
            </w:r>
          </w:p>
        </w:tc>
        <w:tc>
          <w:tcPr>
            <w:tcW w:w="5103" w:type="dxa"/>
            <w:tcBorders>
              <w:top w:val="nil"/>
              <w:left w:val="nil"/>
              <w:bottom w:val="single" w:sz="4" w:space="0" w:color="auto"/>
              <w:right w:val="single" w:sz="4" w:space="0" w:color="auto"/>
            </w:tcBorders>
            <w:shd w:val="clear" w:color="auto" w:fill="auto"/>
            <w:noWrap/>
            <w:vAlign w:val="center"/>
            <w:hideMark/>
          </w:tcPr>
          <w:p w14:paraId="0E97FB6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Quillota</w:t>
            </w:r>
          </w:p>
        </w:tc>
        <w:tc>
          <w:tcPr>
            <w:tcW w:w="992" w:type="dxa"/>
            <w:tcBorders>
              <w:top w:val="nil"/>
              <w:left w:val="nil"/>
              <w:bottom w:val="single" w:sz="4" w:space="0" w:color="auto"/>
              <w:right w:val="single" w:sz="4" w:space="0" w:color="auto"/>
            </w:tcBorders>
            <w:shd w:val="clear" w:color="auto" w:fill="auto"/>
            <w:noWrap/>
            <w:vAlign w:val="center"/>
          </w:tcPr>
          <w:p w14:paraId="7794058A" w14:textId="4A1605F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362.046</w:t>
            </w:r>
          </w:p>
        </w:tc>
        <w:tc>
          <w:tcPr>
            <w:tcW w:w="851" w:type="dxa"/>
            <w:tcBorders>
              <w:top w:val="nil"/>
              <w:left w:val="nil"/>
              <w:bottom w:val="single" w:sz="4" w:space="0" w:color="auto"/>
              <w:right w:val="single" w:sz="4" w:space="0" w:color="auto"/>
            </w:tcBorders>
            <w:shd w:val="clear" w:color="auto" w:fill="auto"/>
            <w:noWrap/>
            <w:vAlign w:val="center"/>
          </w:tcPr>
          <w:p w14:paraId="04A573A6" w14:textId="7654572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66.250</w:t>
            </w:r>
          </w:p>
        </w:tc>
        <w:tc>
          <w:tcPr>
            <w:tcW w:w="992" w:type="dxa"/>
            <w:tcBorders>
              <w:top w:val="nil"/>
              <w:left w:val="nil"/>
              <w:bottom w:val="single" w:sz="4" w:space="0" w:color="auto"/>
              <w:right w:val="single" w:sz="4" w:space="0" w:color="auto"/>
            </w:tcBorders>
            <w:shd w:val="clear" w:color="auto" w:fill="auto"/>
            <w:noWrap/>
            <w:vAlign w:val="center"/>
          </w:tcPr>
          <w:p w14:paraId="5A526C2A" w14:textId="00E1FEA1"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58.791</w:t>
            </w:r>
          </w:p>
        </w:tc>
        <w:tc>
          <w:tcPr>
            <w:tcW w:w="992" w:type="dxa"/>
            <w:tcBorders>
              <w:top w:val="nil"/>
              <w:left w:val="nil"/>
              <w:bottom w:val="single" w:sz="4" w:space="0" w:color="auto"/>
              <w:right w:val="single" w:sz="4" w:space="0" w:color="auto"/>
            </w:tcBorders>
            <w:shd w:val="clear" w:color="auto" w:fill="auto"/>
            <w:noWrap/>
            <w:vAlign w:val="center"/>
          </w:tcPr>
          <w:p w14:paraId="270C5E54" w14:textId="7B5C449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487.087</w:t>
            </w:r>
          </w:p>
        </w:tc>
      </w:tr>
      <w:tr w:rsidR="005E36B7" w:rsidRPr="005E36B7" w14:paraId="38A316C6"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0B5F08D"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SE-N_65</w:t>
            </w:r>
          </w:p>
        </w:tc>
        <w:tc>
          <w:tcPr>
            <w:tcW w:w="5103" w:type="dxa"/>
            <w:tcBorders>
              <w:top w:val="nil"/>
              <w:left w:val="nil"/>
              <w:bottom w:val="single" w:sz="4" w:space="0" w:color="auto"/>
              <w:right w:val="single" w:sz="4" w:space="0" w:color="auto"/>
            </w:tcBorders>
            <w:shd w:val="clear" w:color="auto" w:fill="auto"/>
            <w:noWrap/>
            <w:vAlign w:val="center"/>
            <w:hideMark/>
          </w:tcPr>
          <w:p w14:paraId="7EDA119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Rahue</w:t>
            </w:r>
          </w:p>
        </w:tc>
        <w:tc>
          <w:tcPr>
            <w:tcW w:w="992" w:type="dxa"/>
            <w:tcBorders>
              <w:top w:val="nil"/>
              <w:left w:val="nil"/>
              <w:bottom w:val="single" w:sz="4" w:space="0" w:color="auto"/>
              <w:right w:val="single" w:sz="4" w:space="0" w:color="auto"/>
            </w:tcBorders>
            <w:shd w:val="clear" w:color="auto" w:fill="auto"/>
            <w:noWrap/>
            <w:vAlign w:val="center"/>
          </w:tcPr>
          <w:p w14:paraId="0EE18275" w14:textId="67ED5A9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223.083</w:t>
            </w:r>
          </w:p>
        </w:tc>
        <w:tc>
          <w:tcPr>
            <w:tcW w:w="851" w:type="dxa"/>
            <w:tcBorders>
              <w:top w:val="nil"/>
              <w:left w:val="nil"/>
              <w:bottom w:val="single" w:sz="4" w:space="0" w:color="auto"/>
              <w:right w:val="single" w:sz="4" w:space="0" w:color="auto"/>
            </w:tcBorders>
            <w:shd w:val="clear" w:color="auto" w:fill="auto"/>
            <w:noWrap/>
            <w:vAlign w:val="center"/>
          </w:tcPr>
          <w:p w14:paraId="7C5689C2" w14:textId="24E61EC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51.550</w:t>
            </w:r>
          </w:p>
        </w:tc>
        <w:tc>
          <w:tcPr>
            <w:tcW w:w="992" w:type="dxa"/>
            <w:tcBorders>
              <w:top w:val="nil"/>
              <w:left w:val="nil"/>
              <w:bottom w:val="single" w:sz="4" w:space="0" w:color="auto"/>
              <w:right w:val="single" w:sz="4" w:space="0" w:color="auto"/>
            </w:tcBorders>
            <w:shd w:val="clear" w:color="auto" w:fill="auto"/>
            <w:noWrap/>
            <w:vAlign w:val="center"/>
          </w:tcPr>
          <w:p w14:paraId="1EEFCDB7" w14:textId="149C471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44.440</w:t>
            </w:r>
          </w:p>
        </w:tc>
        <w:tc>
          <w:tcPr>
            <w:tcW w:w="992" w:type="dxa"/>
            <w:tcBorders>
              <w:top w:val="nil"/>
              <w:left w:val="nil"/>
              <w:bottom w:val="single" w:sz="4" w:space="0" w:color="auto"/>
              <w:right w:val="single" w:sz="4" w:space="0" w:color="auto"/>
            </w:tcBorders>
            <w:shd w:val="clear" w:color="auto" w:fill="auto"/>
            <w:noWrap/>
            <w:vAlign w:val="center"/>
          </w:tcPr>
          <w:p w14:paraId="70B3B13B" w14:textId="4CD20EE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319.073</w:t>
            </w:r>
          </w:p>
        </w:tc>
      </w:tr>
      <w:tr w:rsidR="005E36B7" w:rsidRPr="005E36B7" w14:paraId="7BF8E52E"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3AD8AF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SE-N_66</w:t>
            </w:r>
          </w:p>
        </w:tc>
        <w:tc>
          <w:tcPr>
            <w:tcW w:w="5103" w:type="dxa"/>
            <w:tcBorders>
              <w:top w:val="nil"/>
              <w:left w:val="nil"/>
              <w:bottom w:val="single" w:sz="4" w:space="0" w:color="auto"/>
              <w:right w:val="single" w:sz="4" w:space="0" w:color="auto"/>
            </w:tcBorders>
            <w:shd w:val="clear" w:color="auto" w:fill="auto"/>
            <w:noWrap/>
            <w:vAlign w:val="center"/>
            <w:hideMark/>
          </w:tcPr>
          <w:p w14:paraId="13B8E1D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Rapel</w:t>
            </w:r>
          </w:p>
        </w:tc>
        <w:tc>
          <w:tcPr>
            <w:tcW w:w="992" w:type="dxa"/>
            <w:tcBorders>
              <w:top w:val="nil"/>
              <w:left w:val="nil"/>
              <w:bottom w:val="single" w:sz="4" w:space="0" w:color="auto"/>
              <w:right w:val="single" w:sz="4" w:space="0" w:color="auto"/>
            </w:tcBorders>
            <w:shd w:val="clear" w:color="auto" w:fill="auto"/>
            <w:noWrap/>
            <w:vAlign w:val="center"/>
          </w:tcPr>
          <w:p w14:paraId="36BC290E" w14:textId="69E8B7D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239.920</w:t>
            </w:r>
          </w:p>
        </w:tc>
        <w:tc>
          <w:tcPr>
            <w:tcW w:w="851" w:type="dxa"/>
            <w:tcBorders>
              <w:top w:val="nil"/>
              <w:left w:val="nil"/>
              <w:bottom w:val="single" w:sz="4" w:space="0" w:color="auto"/>
              <w:right w:val="single" w:sz="4" w:space="0" w:color="auto"/>
            </w:tcBorders>
            <w:shd w:val="clear" w:color="auto" w:fill="auto"/>
            <w:noWrap/>
            <w:vAlign w:val="center"/>
          </w:tcPr>
          <w:p w14:paraId="6B7FC9E9" w14:textId="0406917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57.727</w:t>
            </w:r>
          </w:p>
        </w:tc>
        <w:tc>
          <w:tcPr>
            <w:tcW w:w="992" w:type="dxa"/>
            <w:tcBorders>
              <w:top w:val="nil"/>
              <w:left w:val="nil"/>
              <w:bottom w:val="single" w:sz="4" w:space="0" w:color="auto"/>
              <w:right w:val="single" w:sz="4" w:space="0" w:color="auto"/>
            </w:tcBorders>
            <w:shd w:val="clear" w:color="auto" w:fill="auto"/>
            <w:noWrap/>
            <w:vAlign w:val="center"/>
          </w:tcPr>
          <w:p w14:paraId="2071E8F5" w14:textId="11D71E2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37.294</w:t>
            </w:r>
          </w:p>
        </w:tc>
        <w:tc>
          <w:tcPr>
            <w:tcW w:w="992" w:type="dxa"/>
            <w:tcBorders>
              <w:top w:val="nil"/>
              <w:left w:val="nil"/>
              <w:bottom w:val="single" w:sz="4" w:space="0" w:color="auto"/>
              <w:right w:val="single" w:sz="4" w:space="0" w:color="auto"/>
            </w:tcBorders>
            <w:shd w:val="clear" w:color="auto" w:fill="auto"/>
            <w:noWrap/>
            <w:vAlign w:val="center"/>
          </w:tcPr>
          <w:p w14:paraId="4D02B57A" w14:textId="63D6180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334.942</w:t>
            </w:r>
          </w:p>
        </w:tc>
      </w:tr>
      <w:tr w:rsidR="005E36B7" w:rsidRPr="005E36B7" w14:paraId="2C07B658"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7D0A1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SE-N_67</w:t>
            </w:r>
          </w:p>
        </w:tc>
        <w:tc>
          <w:tcPr>
            <w:tcW w:w="5103" w:type="dxa"/>
            <w:tcBorders>
              <w:top w:val="nil"/>
              <w:left w:val="nil"/>
              <w:bottom w:val="single" w:sz="4" w:space="0" w:color="auto"/>
              <w:right w:val="single" w:sz="4" w:space="0" w:color="auto"/>
            </w:tcBorders>
            <w:shd w:val="clear" w:color="auto" w:fill="auto"/>
            <w:noWrap/>
            <w:vAlign w:val="center"/>
            <w:hideMark/>
          </w:tcPr>
          <w:p w14:paraId="55F8583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 San Andres</w:t>
            </w:r>
          </w:p>
        </w:tc>
        <w:tc>
          <w:tcPr>
            <w:tcW w:w="992" w:type="dxa"/>
            <w:tcBorders>
              <w:top w:val="nil"/>
              <w:left w:val="nil"/>
              <w:bottom w:val="single" w:sz="4" w:space="0" w:color="auto"/>
              <w:right w:val="single" w:sz="4" w:space="0" w:color="auto"/>
            </w:tcBorders>
            <w:shd w:val="clear" w:color="auto" w:fill="auto"/>
            <w:noWrap/>
            <w:vAlign w:val="center"/>
          </w:tcPr>
          <w:p w14:paraId="335C08BF" w14:textId="6BE33A8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983.683</w:t>
            </w:r>
          </w:p>
        </w:tc>
        <w:tc>
          <w:tcPr>
            <w:tcW w:w="851" w:type="dxa"/>
            <w:tcBorders>
              <w:top w:val="nil"/>
              <w:left w:val="nil"/>
              <w:bottom w:val="single" w:sz="4" w:space="0" w:color="auto"/>
              <w:right w:val="single" w:sz="4" w:space="0" w:color="auto"/>
            </w:tcBorders>
            <w:shd w:val="clear" w:color="auto" w:fill="auto"/>
            <w:noWrap/>
            <w:vAlign w:val="center"/>
          </w:tcPr>
          <w:p w14:paraId="6CC86306" w14:textId="3E8AD47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101.365</w:t>
            </w:r>
          </w:p>
        </w:tc>
        <w:tc>
          <w:tcPr>
            <w:tcW w:w="992" w:type="dxa"/>
            <w:tcBorders>
              <w:top w:val="nil"/>
              <w:left w:val="nil"/>
              <w:bottom w:val="single" w:sz="4" w:space="0" w:color="auto"/>
              <w:right w:val="single" w:sz="4" w:space="0" w:color="auto"/>
            </w:tcBorders>
            <w:shd w:val="clear" w:color="auto" w:fill="auto"/>
            <w:noWrap/>
            <w:vAlign w:val="center"/>
          </w:tcPr>
          <w:p w14:paraId="5E8BBCA3" w14:textId="72C646A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287.998</w:t>
            </w:r>
          </w:p>
        </w:tc>
        <w:tc>
          <w:tcPr>
            <w:tcW w:w="992" w:type="dxa"/>
            <w:tcBorders>
              <w:top w:val="nil"/>
              <w:left w:val="nil"/>
              <w:bottom w:val="single" w:sz="4" w:space="0" w:color="auto"/>
              <w:right w:val="single" w:sz="4" w:space="0" w:color="auto"/>
            </w:tcBorders>
            <w:shd w:val="clear" w:color="auto" w:fill="auto"/>
            <w:noWrap/>
            <w:vAlign w:val="center"/>
          </w:tcPr>
          <w:p w14:paraId="31D0A2F1" w14:textId="2B0292A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1.373.045</w:t>
            </w:r>
          </w:p>
        </w:tc>
      </w:tr>
      <w:tr w:rsidR="005E36B7" w:rsidRPr="005E36B7" w14:paraId="19A4314D"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EB09B0"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SE-N_68</w:t>
            </w:r>
          </w:p>
        </w:tc>
        <w:tc>
          <w:tcPr>
            <w:tcW w:w="5103" w:type="dxa"/>
            <w:tcBorders>
              <w:top w:val="nil"/>
              <w:left w:val="nil"/>
              <w:bottom w:val="single" w:sz="4" w:space="0" w:color="auto"/>
              <w:right w:val="single" w:sz="4" w:space="0" w:color="auto"/>
            </w:tcBorders>
            <w:shd w:val="clear" w:color="auto" w:fill="auto"/>
            <w:noWrap/>
            <w:vAlign w:val="center"/>
            <w:hideMark/>
          </w:tcPr>
          <w:p w14:paraId="59DF75D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Salar</w:t>
            </w:r>
          </w:p>
        </w:tc>
        <w:tc>
          <w:tcPr>
            <w:tcW w:w="992" w:type="dxa"/>
            <w:tcBorders>
              <w:top w:val="nil"/>
              <w:left w:val="nil"/>
              <w:bottom w:val="single" w:sz="4" w:space="0" w:color="auto"/>
              <w:right w:val="single" w:sz="4" w:space="0" w:color="auto"/>
            </w:tcBorders>
            <w:shd w:val="clear" w:color="auto" w:fill="auto"/>
            <w:noWrap/>
            <w:vAlign w:val="center"/>
          </w:tcPr>
          <w:p w14:paraId="6CB9595A" w14:textId="3FB7F93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194.217</w:t>
            </w:r>
          </w:p>
        </w:tc>
        <w:tc>
          <w:tcPr>
            <w:tcW w:w="851" w:type="dxa"/>
            <w:tcBorders>
              <w:top w:val="nil"/>
              <w:left w:val="nil"/>
              <w:bottom w:val="single" w:sz="4" w:space="0" w:color="auto"/>
              <w:right w:val="single" w:sz="4" w:space="0" w:color="auto"/>
            </w:tcBorders>
            <w:shd w:val="clear" w:color="auto" w:fill="auto"/>
            <w:noWrap/>
            <w:vAlign w:val="center"/>
          </w:tcPr>
          <w:p w14:paraId="1DA5C922" w14:textId="18218D0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60.164</w:t>
            </w:r>
          </w:p>
        </w:tc>
        <w:tc>
          <w:tcPr>
            <w:tcW w:w="992" w:type="dxa"/>
            <w:tcBorders>
              <w:top w:val="nil"/>
              <w:left w:val="nil"/>
              <w:bottom w:val="single" w:sz="4" w:space="0" w:color="auto"/>
              <w:right w:val="single" w:sz="4" w:space="0" w:color="auto"/>
            </w:tcBorders>
            <w:shd w:val="clear" w:color="auto" w:fill="auto"/>
            <w:noWrap/>
            <w:vAlign w:val="center"/>
          </w:tcPr>
          <w:p w14:paraId="7C21E581" w14:textId="67C5BAE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25.236</w:t>
            </w:r>
          </w:p>
        </w:tc>
        <w:tc>
          <w:tcPr>
            <w:tcW w:w="992" w:type="dxa"/>
            <w:tcBorders>
              <w:top w:val="nil"/>
              <w:left w:val="nil"/>
              <w:bottom w:val="single" w:sz="4" w:space="0" w:color="auto"/>
              <w:right w:val="single" w:sz="4" w:space="0" w:color="auto"/>
            </w:tcBorders>
            <w:shd w:val="clear" w:color="auto" w:fill="auto"/>
            <w:noWrap/>
            <w:vAlign w:val="center"/>
          </w:tcPr>
          <w:p w14:paraId="3B6E82FF" w14:textId="4629950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279.618</w:t>
            </w:r>
          </w:p>
        </w:tc>
      </w:tr>
      <w:tr w:rsidR="005E36B7" w:rsidRPr="005E36B7" w14:paraId="581C430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B04277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SE-N_69</w:t>
            </w:r>
          </w:p>
        </w:tc>
        <w:tc>
          <w:tcPr>
            <w:tcW w:w="5103" w:type="dxa"/>
            <w:tcBorders>
              <w:top w:val="nil"/>
              <w:left w:val="nil"/>
              <w:bottom w:val="single" w:sz="4" w:space="0" w:color="auto"/>
              <w:right w:val="single" w:sz="4" w:space="0" w:color="auto"/>
            </w:tcBorders>
            <w:shd w:val="clear" w:color="auto" w:fill="auto"/>
            <w:noWrap/>
            <w:vAlign w:val="center"/>
            <w:hideMark/>
          </w:tcPr>
          <w:p w14:paraId="796A1D6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San Luis</w:t>
            </w:r>
          </w:p>
        </w:tc>
        <w:tc>
          <w:tcPr>
            <w:tcW w:w="992" w:type="dxa"/>
            <w:tcBorders>
              <w:top w:val="nil"/>
              <w:left w:val="nil"/>
              <w:bottom w:val="single" w:sz="4" w:space="0" w:color="auto"/>
              <w:right w:val="single" w:sz="4" w:space="0" w:color="auto"/>
            </w:tcBorders>
            <w:shd w:val="clear" w:color="auto" w:fill="auto"/>
            <w:noWrap/>
            <w:vAlign w:val="center"/>
          </w:tcPr>
          <w:p w14:paraId="76F6BBDA" w14:textId="77F53E1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149.175</w:t>
            </w:r>
          </w:p>
        </w:tc>
        <w:tc>
          <w:tcPr>
            <w:tcW w:w="851" w:type="dxa"/>
            <w:tcBorders>
              <w:top w:val="nil"/>
              <w:left w:val="nil"/>
              <w:bottom w:val="single" w:sz="4" w:space="0" w:color="auto"/>
              <w:right w:val="single" w:sz="4" w:space="0" w:color="auto"/>
            </w:tcBorders>
            <w:shd w:val="clear" w:color="auto" w:fill="auto"/>
            <w:noWrap/>
            <w:vAlign w:val="center"/>
          </w:tcPr>
          <w:p w14:paraId="72918650" w14:textId="7086C90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57.467</w:t>
            </w:r>
          </w:p>
        </w:tc>
        <w:tc>
          <w:tcPr>
            <w:tcW w:w="992" w:type="dxa"/>
            <w:tcBorders>
              <w:top w:val="nil"/>
              <w:left w:val="nil"/>
              <w:bottom w:val="single" w:sz="4" w:space="0" w:color="auto"/>
              <w:right w:val="single" w:sz="4" w:space="0" w:color="auto"/>
            </w:tcBorders>
            <w:shd w:val="clear" w:color="auto" w:fill="auto"/>
            <w:noWrap/>
            <w:vAlign w:val="center"/>
          </w:tcPr>
          <w:p w14:paraId="53DAAF76" w14:textId="764DE44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22.381</w:t>
            </w:r>
          </w:p>
        </w:tc>
        <w:tc>
          <w:tcPr>
            <w:tcW w:w="992" w:type="dxa"/>
            <w:tcBorders>
              <w:top w:val="nil"/>
              <w:left w:val="nil"/>
              <w:bottom w:val="single" w:sz="4" w:space="0" w:color="auto"/>
              <w:right w:val="single" w:sz="4" w:space="0" w:color="auto"/>
            </w:tcBorders>
            <w:shd w:val="clear" w:color="auto" w:fill="auto"/>
            <w:noWrap/>
            <w:vAlign w:val="center"/>
          </w:tcPr>
          <w:p w14:paraId="078A1A36" w14:textId="58B88E7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229.023</w:t>
            </w:r>
          </w:p>
        </w:tc>
      </w:tr>
      <w:tr w:rsidR="005E36B7" w:rsidRPr="005E36B7" w14:paraId="5C3E4580"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43A92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SE-N_70</w:t>
            </w:r>
          </w:p>
        </w:tc>
        <w:tc>
          <w:tcPr>
            <w:tcW w:w="5103" w:type="dxa"/>
            <w:tcBorders>
              <w:top w:val="nil"/>
              <w:left w:val="nil"/>
              <w:bottom w:val="single" w:sz="4" w:space="0" w:color="auto"/>
              <w:right w:val="single" w:sz="4" w:space="0" w:color="auto"/>
            </w:tcBorders>
            <w:shd w:val="clear" w:color="auto" w:fill="auto"/>
            <w:noWrap/>
            <w:vAlign w:val="center"/>
            <w:hideMark/>
          </w:tcPr>
          <w:p w14:paraId="71BDEA14"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San Simon</w:t>
            </w:r>
          </w:p>
        </w:tc>
        <w:tc>
          <w:tcPr>
            <w:tcW w:w="992" w:type="dxa"/>
            <w:tcBorders>
              <w:top w:val="nil"/>
              <w:left w:val="nil"/>
              <w:bottom w:val="single" w:sz="4" w:space="0" w:color="auto"/>
              <w:right w:val="single" w:sz="4" w:space="0" w:color="auto"/>
            </w:tcBorders>
            <w:shd w:val="clear" w:color="auto" w:fill="auto"/>
            <w:noWrap/>
            <w:vAlign w:val="center"/>
          </w:tcPr>
          <w:p w14:paraId="1DC9ED17" w14:textId="54672E6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66994D84" w14:textId="57DF16F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223FA9B4" w14:textId="76AC3B5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7F5E35AE" w14:textId="1BFC78F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7CEA6466"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BFD31E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SE-N_71</w:t>
            </w:r>
          </w:p>
        </w:tc>
        <w:tc>
          <w:tcPr>
            <w:tcW w:w="5103" w:type="dxa"/>
            <w:tcBorders>
              <w:top w:val="nil"/>
              <w:left w:val="nil"/>
              <w:bottom w:val="single" w:sz="4" w:space="0" w:color="auto"/>
              <w:right w:val="single" w:sz="4" w:space="0" w:color="auto"/>
            </w:tcBorders>
            <w:shd w:val="clear" w:color="auto" w:fill="auto"/>
            <w:noWrap/>
            <w:vAlign w:val="center"/>
            <w:hideMark/>
          </w:tcPr>
          <w:p w14:paraId="1B70C5DC"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Central Santa Marta</w:t>
            </w:r>
          </w:p>
        </w:tc>
        <w:tc>
          <w:tcPr>
            <w:tcW w:w="992" w:type="dxa"/>
            <w:tcBorders>
              <w:top w:val="nil"/>
              <w:left w:val="nil"/>
              <w:bottom w:val="single" w:sz="4" w:space="0" w:color="auto"/>
              <w:right w:val="single" w:sz="4" w:space="0" w:color="auto"/>
            </w:tcBorders>
            <w:shd w:val="clear" w:color="auto" w:fill="auto"/>
            <w:noWrap/>
            <w:vAlign w:val="center"/>
          </w:tcPr>
          <w:p w14:paraId="50635952" w14:textId="1C4F550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0E6674CF" w14:textId="15D522A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B9BF0C2" w14:textId="102DB58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787007DB" w14:textId="3C66E49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3403DF9F"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71AA96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SE-N_72</w:t>
            </w:r>
          </w:p>
        </w:tc>
        <w:tc>
          <w:tcPr>
            <w:tcW w:w="5103" w:type="dxa"/>
            <w:tcBorders>
              <w:top w:val="nil"/>
              <w:left w:val="nil"/>
              <w:bottom w:val="single" w:sz="4" w:space="0" w:color="auto"/>
              <w:right w:val="single" w:sz="4" w:space="0" w:color="auto"/>
            </w:tcBorders>
            <w:shd w:val="clear" w:color="auto" w:fill="auto"/>
            <w:noWrap/>
            <w:vAlign w:val="center"/>
            <w:hideMark/>
          </w:tcPr>
          <w:p w14:paraId="64E169C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Chicureo</w:t>
            </w:r>
          </w:p>
        </w:tc>
        <w:tc>
          <w:tcPr>
            <w:tcW w:w="992" w:type="dxa"/>
            <w:tcBorders>
              <w:top w:val="nil"/>
              <w:left w:val="nil"/>
              <w:bottom w:val="single" w:sz="4" w:space="0" w:color="auto"/>
              <w:right w:val="single" w:sz="4" w:space="0" w:color="auto"/>
            </w:tcBorders>
            <w:shd w:val="clear" w:color="auto" w:fill="auto"/>
            <w:noWrap/>
            <w:vAlign w:val="center"/>
          </w:tcPr>
          <w:p w14:paraId="36A3A1DA" w14:textId="3384421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3E8508A1" w14:textId="06038B3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10A8D990" w14:textId="1D8754E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38AF3152" w14:textId="3E4AE96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636A9445"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3A69F8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SE-N_73</w:t>
            </w:r>
          </w:p>
        </w:tc>
        <w:tc>
          <w:tcPr>
            <w:tcW w:w="5103" w:type="dxa"/>
            <w:tcBorders>
              <w:top w:val="nil"/>
              <w:left w:val="nil"/>
              <w:bottom w:val="single" w:sz="4" w:space="0" w:color="auto"/>
              <w:right w:val="single" w:sz="4" w:space="0" w:color="auto"/>
            </w:tcBorders>
            <w:shd w:val="clear" w:color="auto" w:fill="auto"/>
            <w:noWrap/>
            <w:vAlign w:val="center"/>
            <w:hideMark/>
          </w:tcPr>
          <w:p w14:paraId="7A42731A"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Doña Carmen</w:t>
            </w:r>
          </w:p>
        </w:tc>
        <w:tc>
          <w:tcPr>
            <w:tcW w:w="992" w:type="dxa"/>
            <w:tcBorders>
              <w:top w:val="nil"/>
              <w:left w:val="nil"/>
              <w:bottom w:val="single" w:sz="4" w:space="0" w:color="auto"/>
              <w:right w:val="single" w:sz="4" w:space="0" w:color="auto"/>
            </w:tcBorders>
            <w:shd w:val="clear" w:color="auto" w:fill="auto"/>
            <w:noWrap/>
            <w:vAlign w:val="center"/>
          </w:tcPr>
          <w:p w14:paraId="624698B7" w14:textId="5673AAC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495D9074" w14:textId="6667CE5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257B822A" w14:textId="6D9EC9A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E3D5ECD" w14:textId="79CC520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6020F3D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AC704F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SE-N_74</w:t>
            </w:r>
          </w:p>
        </w:tc>
        <w:tc>
          <w:tcPr>
            <w:tcW w:w="5103" w:type="dxa"/>
            <w:tcBorders>
              <w:top w:val="nil"/>
              <w:left w:val="nil"/>
              <w:bottom w:val="single" w:sz="4" w:space="0" w:color="auto"/>
              <w:right w:val="single" w:sz="4" w:space="0" w:color="auto"/>
            </w:tcBorders>
            <w:shd w:val="clear" w:color="auto" w:fill="auto"/>
            <w:noWrap/>
            <w:vAlign w:val="center"/>
            <w:hideMark/>
          </w:tcPr>
          <w:p w14:paraId="10155E4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El Manzano</w:t>
            </w:r>
          </w:p>
        </w:tc>
        <w:tc>
          <w:tcPr>
            <w:tcW w:w="992" w:type="dxa"/>
            <w:tcBorders>
              <w:top w:val="nil"/>
              <w:left w:val="nil"/>
              <w:bottom w:val="single" w:sz="4" w:space="0" w:color="auto"/>
              <w:right w:val="single" w:sz="4" w:space="0" w:color="auto"/>
            </w:tcBorders>
            <w:shd w:val="clear" w:color="auto" w:fill="auto"/>
            <w:noWrap/>
            <w:vAlign w:val="center"/>
          </w:tcPr>
          <w:p w14:paraId="1ECEA3A2" w14:textId="491A2B8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78684F85" w14:textId="5BC0EA8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54BFA111" w14:textId="0332C71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5692FDD7" w14:textId="757E89D5"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3415A7F4"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36D3DF"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SE-N_75</w:t>
            </w:r>
          </w:p>
        </w:tc>
        <w:tc>
          <w:tcPr>
            <w:tcW w:w="5103" w:type="dxa"/>
            <w:tcBorders>
              <w:top w:val="nil"/>
              <w:left w:val="nil"/>
              <w:bottom w:val="single" w:sz="4" w:space="0" w:color="auto"/>
              <w:right w:val="single" w:sz="4" w:space="0" w:color="auto"/>
            </w:tcBorders>
            <w:shd w:val="clear" w:color="auto" w:fill="auto"/>
            <w:noWrap/>
            <w:vAlign w:val="center"/>
            <w:hideMark/>
          </w:tcPr>
          <w:p w14:paraId="316AF34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El Romero</w:t>
            </w:r>
          </w:p>
        </w:tc>
        <w:tc>
          <w:tcPr>
            <w:tcW w:w="992" w:type="dxa"/>
            <w:tcBorders>
              <w:top w:val="nil"/>
              <w:left w:val="nil"/>
              <w:bottom w:val="single" w:sz="4" w:space="0" w:color="auto"/>
              <w:right w:val="single" w:sz="4" w:space="0" w:color="auto"/>
            </w:tcBorders>
            <w:shd w:val="clear" w:color="auto" w:fill="auto"/>
            <w:noWrap/>
            <w:vAlign w:val="center"/>
          </w:tcPr>
          <w:p w14:paraId="6F036F36" w14:textId="06A4639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71CE5FF4" w14:textId="24034AE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1543FEDE" w14:textId="7930DE1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6C953B6D" w14:textId="4BE21B3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268B062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D91016"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SE-N_76</w:t>
            </w:r>
          </w:p>
        </w:tc>
        <w:tc>
          <w:tcPr>
            <w:tcW w:w="5103" w:type="dxa"/>
            <w:tcBorders>
              <w:top w:val="nil"/>
              <w:left w:val="nil"/>
              <w:bottom w:val="single" w:sz="4" w:space="0" w:color="auto"/>
              <w:right w:val="single" w:sz="4" w:space="0" w:color="auto"/>
            </w:tcBorders>
            <w:shd w:val="clear" w:color="auto" w:fill="auto"/>
            <w:noWrap/>
            <w:vAlign w:val="center"/>
            <w:hideMark/>
          </w:tcPr>
          <w:p w14:paraId="4B4AEAA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Enlace</w:t>
            </w:r>
          </w:p>
        </w:tc>
        <w:tc>
          <w:tcPr>
            <w:tcW w:w="992" w:type="dxa"/>
            <w:tcBorders>
              <w:top w:val="nil"/>
              <w:left w:val="nil"/>
              <w:bottom w:val="single" w:sz="4" w:space="0" w:color="auto"/>
              <w:right w:val="single" w:sz="4" w:space="0" w:color="auto"/>
            </w:tcBorders>
            <w:shd w:val="clear" w:color="auto" w:fill="auto"/>
            <w:noWrap/>
            <w:vAlign w:val="center"/>
          </w:tcPr>
          <w:p w14:paraId="14197153" w14:textId="360CEDA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2F1D3068" w14:textId="4607C98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DD6C28D" w14:textId="385B673F"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2F25A9E" w14:textId="5496978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6D34AC2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774309"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SE-N_77</w:t>
            </w:r>
          </w:p>
        </w:tc>
        <w:tc>
          <w:tcPr>
            <w:tcW w:w="5103" w:type="dxa"/>
            <w:tcBorders>
              <w:top w:val="nil"/>
              <w:left w:val="nil"/>
              <w:bottom w:val="single" w:sz="4" w:space="0" w:color="auto"/>
              <w:right w:val="single" w:sz="4" w:space="0" w:color="auto"/>
            </w:tcBorders>
            <w:shd w:val="clear" w:color="auto" w:fill="auto"/>
            <w:noWrap/>
            <w:vAlign w:val="center"/>
            <w:hideMark/>
          </w:tcPr>
          <w:p w14:paraId="0053845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off Sierra Gorda Eolico</w:t>
            </w:r>
          </w:p>
        </w:tc>
        <w:tc>
          <w:tcPr>
            <w:tcW w:w="992" w:type="dxa"/>
            <w:tcBorders>
              <w:top w:val="nil"/>
              <w:left w:val="nil"/>
              <w:bottom w:val="single" w:sz="4" w:space="0" w:color="auto"/>
              <w:right w:val="single" w:sz="4" w:space="0" w:color="auto"/>
            </w:tcBorders>
            <w:shd w:val="clear" w:color="auto" w:fill="auto"/>
            <w:noWrap/>
            <w:vAlign w:val="center"/>
          </w:tcPr>
          <w:p w14:paraId="1F08CFCE" w14:textId="39233FEC"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851" w:type="dxa"/>
            <w:tcBorders>
              <w:top w:val="nil"/>
              <w:left w:val="nil"/>
              <w:bottom w:val="single" w:sz="4" w:space="0" w:color="auto"/>
              <w:right w:val="single" w:sz="4" w:space="0" w:color="auto"/>
            </w:tcBorders>
            <w:shd w:val="clear" w:color="auto" w:fill="auto"/>
            <w:noWrap/>
            <w:vAlign w:val="center"/>
          </w:tcPr>
          <w:p w14:paraId="3018CF48" w14:textId="0388130A"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42D4BCEC" w14:textId="74B4C9D0"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76607350" w14:textId="19EBC128"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w:t>
            </w:r>
          </w:p>
        </w:tc>
      </w:tr>
      <w:tr w:rsidR="005E36B7" w:rsidRPr="005E36B7" w14:paraId="65DF2EB2"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8BCA018"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SE-N_78</w:t>
            </w:r>
          </w:p>
        </w:tc>
        <w:tc>
          <w:tcPr>
            <w:tcW w:w="5103" w:type="dxa"/>
            <w:tcBorders>
              <w:top w:val="nil"/>
              <w:left w:val="nil"/>
              <w:bottom w:val="single" w:sz="4" w:space="0" w:color="auto"/>
              <w:right w:val="single" w:sz="4" w:space="0" w:color="auto"/>
            </w:tcBorders>
            <w:shd w:val="clear" w:color="auto" w:fill="auto"/>
            <w:noWrap/>
            <w:vAlign w:val="center"/>
            <w:hideMark/>
          </w:tcPr>
          <w:p w14:paraId="1756896B"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Tarapaca</w:t>
            </w:r>
          </w:p>
        </w:tc>
        <w:tc>
          <w:tcPr>
            <w:tcW w:w="992" w:type="dxa"/>
            <w:tcBorders>
              <w:top w:val="nil"/>
              <w:left w:val="nil"/>
              <w:bottom w:val="single" w:sz="4" w:space="0" w:color="auto"/>
              <w:right w:val="single" w:sz="4" w:space="0" w:color="auto"/>
            </w:tcBorders>
            <w:shd w:val="clear" w:color="auto" w:fill="auto"/>
            <w:noWrap/>
            <w:vAlign w:val="center"/>
          </w:tcPr>
          <w:p w14:paraId="6DE29965" w14:textId="207ED30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198.511</w:t>
            </w:r>
          </w:p>
        </w:tc>
        <w:tc>
          <w:tcPr>
            <w:tcW w:w="851" w:type="dxa"/>
            <w:tcBorders>
              <w:top w:val="nil"/>
              <w:left w:val="nil"/>
              <w:bottom w:val="single" w:sz="4" w:space="0" w:color="auto"/>
              <w:right w:val="single" w:sz="4" w:space="0" w:color="auto"/>
            </w:tcBorders>
            <w:shd w:val="clear" w:color="auto" w:fill="auto"/>
            <w:noWrap/>
            <w:vAlign w:val="center"/>
          </w:tcPr>
          <w:p w14:paraId="2923BB7E" w14:textId="736F764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49.034</w:t>
            </w:r>
          </w:p>
        </w:tc>
        <w:tc>
          <w:tcPr>
            <w:tcW w:w="992" w:type="dxa"/>
            <w:tcBorders>
              <w:top w:val="nil"/>
              <w:left w:val="nil"/>
              <w:bottom w:val="single" w:sz="4" w:space="0" w:color="auto"/>
              <w:right w:val="single" w:sz="4" w:space="0" w:color="auto"/>
            </w:tcBorders>
            <w:shd w:val="clear" w:color="auto" w:fill="auto"/>
            <w:noWrap/>
            <w:vAlign w:val="center"/>
          </w:tcPr>
          <w:p w14:paraId="5ADC97BB" w14:textId="77757D0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29.013</w:t>
            </w:r>
          </w:p>
        </w:tc>
        <w:tc>
          <w:tcPr>
            <w:tcW w:w="992" w:type="dxa"/>
            <w:tcBorders>
              <w:top w:val="nil"/>
              <w:left w:val="nil"/>
              <w:bottom w:val="single" w:sz="4" w:space="0" w:color="auto"/>
              <w:right w:val="single" w:sz="4" w:space="0" w:color="auto"/>
            </w:tcBorders>
            <w:shd w:val="clear" w:color="auto" w:fill="auto"/>
            <w:noWrap/>
            <w:vAlign w:val="center"/>
          </w:tcPr>
          <w:p w14:paraId="5BB5BB4C" w14:textId="3F74576E"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276.559</w:t>
            </w:r>
          </w:p>
        </w:tc>
      </w:tr>
      <w:tr w:rsidR="005E36B7" w:rsidRPr="005E36B7" w14:paraId="0AEAF3C2"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0F459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SE-N_79</w:t>
            </w:r>
          </w:p>
        </w:tc>
        <w:tc>
          <w:tcPr>
            <w:tcW w:w="5103" w:type="dxa"/>
            <w:tcBorders>
              <w:top w:val="nil"/>
              <w:left w:val="nil"/>
              <w:bottom w:val="single" w:sz="4" w:space="0" w:color="auto"/>
              <w:right w:val="single" w:sz="4" w:space="0" w:color="auto"/>
            </w:tcBorders>
            <w:shd w:val="clear" w:color="auto" w:fill="auto"/>
            <w:noWrap/>
            <w:vAlign w:val="center"/>
            <w:hideMark/>
          </w:tcPr>
          <w:p w14:paraId="6AECC2E2"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Temuco</w:t>
            </w:r>
          </w:p>
        </w:tc>
        <w:tc>
          <w:tcPr>
            <w:tcW w:w="992" w:type="dxa"/>
            <w:tcBorders>
              <w:top w:val="nil"/>
              <w:left w:val="nil"/>
              <w:bottom w:val="single" w:sz="4" w:space="0" w:color="auto"/>
              <w:right w:val="single" w:sz="4" w:space="0" w:color="auto"/>
            </w:tcBorders>
            <w:shd w:val="clear" w:color="auto" w:fill="auto"/>
            <w:noWrap/>
            <w:vAlign w:val="center"/>
          </w:tcPr>
          <w:p w14:paraId="17FD57EF" w14:textId="7001AEC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781.861</w:t>
            </w:r>
          </w:p>
        </w:tc>
        <w:tc>
          <w:tcPr>
            <w:tcW w:w="851" w:type="dxa"/>
            <w:tcBorders>
              <w:top w:val="nil"/>
              <w:left w:val="nil"/>
              <w:bottom w:val="single" w:sz="4" w:space="0" w:color="auto"/>
              <w:right w:val="single" w:sz="4" w:space="0" w:color="auto"/>
            </w:tcBorders>
            <w:shd w:val="clear" w:color="auto" w:fill="auto"/>
            <w:noWrap/>
            <w:vAlign w:val="center"/>
          </w:tcPr>
          <w:p w14:paraId="6D231ACD" w14:textId="3BFC694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109.527</w:t>
            </w:r>
          </w:p>
        </w:tc>
        <w:tc>
          <w:tcPr>
            <w:tcW w:w="992" w:type="dxa"/>
            <w:tcBorders>
              <w:top w:val="nil"/>
              <w:left w:val="nil"/>
              <w:bottom w:val="single" w:sz="4" w:space="0" w:color="auto"/>
              <w:right w:val="single" w:sz="4" w:space="0" w:color="auto"/>
            </w:tcBorders>
            <w:shd w:val="clear" w:color="auto" w:fill="auto"/>
            <w:noWrap/>
            <w:vAlign w:val="center"/>
          </w:tcPr>
          <w:p w14:paraId="76C82667" w14:textId="24EF78DB"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200.473</w:t>
            </w:r>
          </w:p>
        </w:tc>
        <w:tc>
          <w:tcPr>
            <w:tcW w:w="992" w:type="dxa"/>
            <w:tcBorders>
              <w:top w:val="nil"/>
              <w:left w:val="nil"/>
              <w:bottom w:val="single" w:sz="4" w:space="0" w:color="auto"/>
              <w:right w:val="single" w:sz="4" w:space="0" w:color="auto"/>
            </w:tcBorders>
            <w:shd w:val="clear" w:color="auto" w:fill="auto"/>
            <w:noWrap/>
            <w:vAlign w:val="center"/>
          </w:tcPr>
          <w:p w14:paraId="7776280A" w14:textId="11B5FFA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1.091.860</w:t>
            </w:r>
          </w:p>
        </w:tc>
      </w:tr>
      <w:tr w:rsidR="005E36B7" w:rsidRPr="005E36B7" w14:paraId="2A013FE6"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96112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SE-N_80</w:t>
            </w:r>
          </w:p>
        </w:tc>
        <w:tc>
          <w:tcPr>
            <w:tcW w:w="5103" w:type="dxa"/>
            <w:tcBorders>
              <w:top w:val="nil"/>
              <w:left w:val="nil"/>
              <w:bottom w:val="single" w:sz="4" w:space="0" w:color="auto"/>
              <w:right w:val="single" w:sz="4" w:space="0" w:color="auto"/>
            </w:tcBorders>
            <w:shd w:val="clear" w:color="auto" w:fill="auto"/>
            <w:noWrap/>
            <w:vAlign w:val="center"/>
            <w:hideMark/>
          </w:tcPr>
          <w:p w14:paraId="021CB713"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Tinguiririca</w:t>
            </w:r>
          </w:p>
        </w:tc>
        <w:tc>
          <w:tcPr>
            <w:tcW w:w="992" w:type="dxa"/>
            <w:tcBorders>
              <w:top w:val="nil"/>
              <w:left w:val="nil"/>
              <w:bottom w:val="single" w:sz="4" w:space="0" w:color="auto"/>
              <w:right w:val="single" w:sz="4" w:space="0" w:color="auto"/>
            </w:tcBorders>
            <w:shd w:val="clear" w:color="auto" w:fill="auto"/>
            <w:noWrap/>
            <w:vAlign w:val="center"/>
          </w:tcPr>
          <w:p w14:paraId="22A8067B" w14:textId="0701049D"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300.629</w:t>
            </w:r>
          </w:p>
        </w:tc>
        <w:tc>
          <w:tcPr>
            <w:tcW w:w="851" w:type="dxa"/>
            <w:tcBorders>
              <w:top w:val="nil"/>
              <w:left w:val="nil"/>
              <w:bottom w:val="single" w:sz="4" w:space="0" w:color="auto"/>
              <w:right w:val="single" w:sz="4" w:space="0" w:color="auto"/>
            </w:tcBorders>
            <w:shd w:val="clear" w:color="auto" w:fill="auto"/>
            <w:noWrap/>
            <w:vAlign w:val="center"/>
          </w:tcPr>
          <w:p w14:paraId="230D6777" w14:textId="14EA7AA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53.579</w:t>
            </w:r>
          </w:p>
        </w:tc>
        <w:tc>
          <w:tcPr>
            <w:tcW w:w="992" w:type="dxa"/>
            <w:tcBorders>
              <w:top w:val="nil"/>
              <w:left w:val="nil"/>
              <w:bottom w:val="single" w:sz="4" w:space="0" w:color="auto"/>
              <w:right w:val="single" w:sz="4" w:space="0" w:color="auto"/>
            </w:tcBorders>
            <w:shd w:val="clear" w:color="auto" w:fill="auto"/>
            <w:noWrap/>
            <w:vAlign w:val="center"/>
          </w:tcPr>
          <w:p w14:paraId="54471559" w14:textId="1EB16313"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45.657</w:t>
            </w:r>
          </w:p>
        </w:tc>
        <w:tc>
          <w:tcPr>
            <w:tcW w:w="992" w:type="dxa"/>
            <w:tcBorders>
              <w:top w:val="nil"/>
              <w:left w:val="nil"/>
              <w:bottom w:val="single" w:sz="4" w:space="0" w:color="auto"/>
              <w:right w:val="single" w:sz="4" w:space="0" w:color="auto"/>
            </w:tcBorders>
            <w:shd w:val="clear" w:color="auto" w:fill="auto"/>
            <w:noWrap/>
            <w:vAlign w:val="center"/>
          </w:tcPr>
          <w:p w14:paraId="460ADE5C" w14:textId="2C6557B7"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399.865</w:t>
            </w:r>
          </w:p>
        </w:tc>
      </w:tr>
      <w:tr w:rsidR="005E36B7" w:rsidRPr="005E36B7" w14:paraId="677F6D83" w14:textId="77777777" w:rsidTr="005E36B7">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CFD112E"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SE-N_81</w:t>
            </w:r>
          </w:p>
        </w:tc>
        <w:tc>
          <w:tcPr>
            <w:tcW w:w="5103" w:type="dxa"/>
            <w:tcBorders>
              <w:top w:val="nil"/>
              <w:left w:val="nil"/>
              <w:bottom w:val="single" w:sz="4" w:space="0" w:color="auto"/>
              <w:right w:val="single" w:sz="4" w:space="0" w:color="auto"/>
            </w:tcBorders>
            <w:shd w:val="clear" w:color="auto" w:fill="auto"/>
            <w:noWrap/>
            <w:vAlign w:val="center"/>
            <w:hideMark/>
          </w:tcPr>
          <w:p w14:paraId="6388D525" w14:textId="77777777" w:rsidR="005E36B7" w:rsidRPr="005E36B7" w:rsidRDefault="005E36B7" w:rsidP="005E36B7">
            <w:pPr>
              <w:spacing w:after="0" w:line="240" w:lineRule="auto"/>
              <w:jc w:val="center"/>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Valdivia</w:t>
            </w:r>
          </w:p>
        </w:tc>
        <w:tc>
          <w:tcPr>
            <w:tcW w:w="992" w:type="dxa"/>
            <w:tcBorders>
              <w:top w:val="nil"/>
              <w:left w:val="nil"/>
              <w:bottom w:val="single" w:sz="4" w:space="0" w:color="auto"/>
              <w:right w:val="single" w:sz="4" w:space="0" w:color="auto"/>
            </w:tcBorders>
            <w:shd w:val="clear" w:color="auto" w:fill="auto"/>
            <w:noWrap/>
            <w:vAlign w:val="center"/>
          </w:tcPr>
          <w:p w14:paraId="1365D891" w14:textId="05D73BE6"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422.431</w:t>
            </w:r>
          </w:p>
        </w:tc>
        <w:tc>
          <w:tcPr>
            <w:tcW w:w="851" w:type="dxa"/>
            <w:tcBorders>
              <w:top w:val="nil"/>
              <w:left w:val="nil"/>
              <w:bottom w:val="single" w:sz="4" w:space="0" w:color="auto"/>
              <w:right w:val="single" w:sz="4" w:space="0" w:color="auto"/>
            </w:tcBorders>
            <w:shd w:val="clear" w:color="auto" w:fill="auto"/>
            <w:noWrap/>
            <w:vAlign w:val="center"/>
          </w:tcPr>
          <w:p w14:paraId="4531EA46" w14:textId="7F8BDAA4"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75.219</w:t>
            </w:r>
          </w:p>
        </w:tc>
        <w:tc>
          <w:tcPr>
            <w:tcW w:w="992" w:type="dxa"/>
            <w:tcBorders>
              <w:top w:val="nil"/>
              <w:left w:val="nil"/>
              <w:bottom w:val="single" w:sz="4" w:space="0" w:color="auto"/>
              <w:right w:val="single" w:sz="4" w:space="0" w:color="auto"/>
            </w:tcBorders>
            <w:shd w:val="clear" w:color="auto" w:fill="auto"/>
            <w:noWrap/>
            <w:vAlign w:val="center"/>
          </w:tcPr>
          <w:p w14:paraId="26F550BB" w14:textId="152729A2"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79.697</w:t>
            </w:r>
          </w:p>
        </w:tc>
        <w:tc>
          <w:tcPr>
            <w:tcW w:w="992" w:type="dxa"/>
            <w:tcBorders>
              <w:top w:val="nil"/>
              <w:left w:val="nil"/>
              <w:bottom w:val="single" w:sz="4" w:space="0" w:color="auto"/>
              <w:right w:val="single" w:sz="4" w:space="0" w:color="auto"/>
            </w:tcBorders>
            <w:shd w:val="clear" w:color="auto" w:fill="auto"/>
            <w:noWrap/>
            <w:vAlign w:val="center"/>
          </w:tcPr>
          <w:p w14:paraId="2C26CC7C" w14:textId="10944C19" w:rsidR="005E36B7" w:rsidRPr="005E36B7" w:rsidRDefault="005E36B7" w:rsidP="005E36B7">
            <w:pPr>
              <w:jc w:val="center"/>
              <w:rPr>
                <w:rFonts w:asciiTheme="minorHAnsi" w:hAnsiTheme="minorHAnsi" w:cstheme="minorHAnsi"/>
                <w:sz w:val="20"/>
                <w:szCs w:val="20"/>
              </w:rPr>
            </w:pPr>
            <w:r w:rsidRPr="005E36B7">
              <w:rPr>
                <w:rFonts w:asciiTheme="minorHAnsi" w:hAnsiTheme="minorHAnsi" w:cstheme="minorHAnsi"/>
                <w:sz w:val="20"/>
                <w:szCs w:val="20"/>
              </w:rPr>
              <w:t>577.346</w:t>
            </w:r>
          </w:p>
        </w:tc>
      </w:tr>
    </w:tbl>
    <w:p w14:paraId="1E992AD6" w14:textId="77777777" w:rsidR="00A34D3B" w:rsidRDefault="00A34D3B" w:rsidP="00680717"/>
    <w:p w14:paraId="2703B0D6" w14:textId="77777777" w:rsidR="005E36B7" w:rsidRDefault="005E36B7" w:rsidP="006E4ED1">
      <w:pPr>
        <w:spacing w:after="0"/>
        <w:jc w:val="center"/>
        <w:rPr>
          <w:b/>
          <w:bCs/>
          <w:sz w:val="22"/>
          <w:szCs w:val="22"/>
        </w:rPr>
      </w:pPr>
    </w:p>
    <w:p w14:paraId="750D0AF6" w14:textId="4FC3D65E" w:rsidR="006E4ED1" w:rsidRPr="00E82044" w:rsidRDefault="006E4ED1" w:rsidP="006E4ED1">
      <w:pPr>
        <w:spacing w:after="0"/>
        <w:jc w:val="center"/>
        <w:rPr>
          <w:b/>
          <w:bCs/>
          <w:sz w:val="22"/>
          <w:szCs w:val="22"/>
        </w:rPr>
      </w:pPr>
      <w:r>
        <w:rPr>
          <w:b/>
          <w:bCs/>
          <w:sz w:val="22"/>
          <w:szCs w:val="22"/>
        </w:rPr>
        <w:t>COEFICIENTES FÓRMULAS INDEXACIÓN</w:t>
      </w:r>
    </w:p>
    <w:p w14:paraId="106A7A8D" w14:textId="77777777" w:rsidR="006E4ED1" w:rsidRDefault="00EB2761" w:rsidP="006E4ED1">
      <w:pPr>
        <w:spacing w:after="0"/>
        <w:jc w:val="center"/>
        <w:rPr>
          <w:b/>
          <w:bCs/>
          <w:sz w:val="22"/>
          <w:szCs w:val="22"/>
        </w:rPr>
      </w:pPr>
      <w:r>
        <w:rPr>
          <w:b/>
          <w:bCs/>
          <w:sz w:val="22"/>
          <w:szCs w:val="22"/>
        </w:rPr>
        <w:t>Tramos Transporte</w:t>
      </w:r>
    </w:p>
    <w:p w14:paraId="5FEC3E60" w14:textId="77777777" w:rsidR="00EB2761" w:rsidRDefault="00EB2761" w:rsidP="006E4ED1">
      <w:pPr>
        <w:spacing w:after="0"/>
        <w:jc w:val="center"/>
        <w:rPr>
          <w:b/>
          <w:bCs/>
          <w:sz w:val="22"/>
          <w:szCs w:val="22"/>
        </w:rPr>
      </w:pPr>
    </w:p>
    <w:tbl>
      <w:tblPr>
        <w:tblW w:w="9776" w:type="dxa"/>
        <w:tblCellMar>
          <w:left w:w="70" w:type="dxa"/>
          <w:right w:w="70" w:type="dxa"/>
        </w:tblCellMar>
        <w:tblLook w:val="04A0" w:firstRow="1" w:lastRow="0" w:firstColumn="1" w:lastColumn="0" w:noHBand="0" w:noVBand="1"/>
      </w:tblPr>
      <w:tblGrid>
        <w:gridCol w:w="846"/>
        <w:gridCol w:w="5103"/>
        <w:gridCol w:w="992"/>
        <w:gridCol w:w="851"/>
        <w:gridCol w:w="992"/>
        <w:gridCol w:w="992"/>
      </w:tblGrid>
      <w:tr w:rsidR="00EB2761" w:rsidRPr="005E36B7" w14:paraId="441A0ACA" w14:textId="77777777" w:rsidTr="00430038">
        <w:trPr>
          <w:trHeight w:hRule="exact" w:val="284"/>
          <w:tblHeader/>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521C9D6" w14:textId="77777777" w:rsidR="00EB2761" w:rsidRPr="005E36B7" w:rsidRDefault="00EB2761" w:rsidP="00EB2761">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Código</w:t>
            </w:r>
          </w:p>
        </w:tc>
        <w:tc>
          <w:tcPr>
            <w:tcW w:w="5103" w:type="dxa"/>
            <w:tcBorders>
              <w:top w:val="single" w:sz="4" w:space="0" w:color="auto"/>
              <w:left w:val="nil"/>
              <w:bottom w:val="single" w:sz="4" w:space="0" w:color="auto"/>
              <w:right w:val="single" w:sz="4" w:space="0" w:color="auto"/>
            </w:tcBorders>
            <w:shd w:val="clear" w:color="000000" w:fill="D9D9D9"/>
            <w:noWrap/>
            <w:vAlign w:val="bottom"/>
            <w:hideMark/>
          </w:tcPr>
          <w:p w14:paraId="7C48CBDD" w14:textId="77777777" w:rsidR="00EB2761" w:rsidRPr="005E36B7" w:rsidRDefault="00EB2761" w:rsidP="00EB2761">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Tramo</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0FC1D52C" w14:textId="77777777" w:rsidR="00EB2761" w:rsidRPr="005E36B7" w:rsidRDefault="00EB2761" w:rsidP="00EB2761">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alfa</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1A1BC471" w14:textId="77777777" w:rsidR="00EB2761" w:rsidRPr="005E36B7" w:rsidRDefault="00EB2761" w:rsidP="00EB2761">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beta</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364BD328" w14:textId="77777777" w:rsidR="00EB2761" w:rsidRPr="005E36B7" w:rsidRDefault="00EB2761" w:rsidP="00EB2761">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gama</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15F0708A" w14:textId="77777777" w:rsidR="00EB2761" w:rsidRPr="005E36B7" w:rsidRDefault="00EB2761" w:rsidP="00EB2761">
            <w:pPr>
              <w:spacing w:after="0" w:line="240" w:lineRule="auto"/>
              <w:jc w:val="center"/>
              <w:rPr>
                <w:rFonts w:asciiTheme="minorHAnsi" w:eastAsia="Times New Roman" w:hAnsiTheme="minorHAnsi" w:cstheme="minorHAnsi"/>
                <w:b/>
                <w:bCs/>
                <w:color w:val="000000"/>
                <w:sz w:val="20"/>
                <w:szCs w:val="20"/>
                <w:lang w:val="es-CL" w:eastAsia="es-CL"/>
              </w:rPr>
            </w:pPr>
            <w:r w:rsidRPr="005E36B7">
              <w:rPr>
                <w:rFonts w:asciiTheme="minorHAnsi" w:eastAsia="Times New Roman" w:hAnsiTheme="minorHAnsi" w:cstheme="minorHAnsi"/>
                <w:b/>
                <w:bCs/>
                <w:color w:val="000000"/>
                <w:sz w:val="20"/>
                <w:szCs w:val="20"/>
                <w:lang w:val="es-CL" w:eastAsia="es-CL"/>
              </w:rPr>
              <w:t>delta</w:t>
            </w:r>
          </w:p>
        </w:tc>
      </w:tr>
      <w:tr w:rsidR="005E36B7" w:rsidRPr="005E36B7" w14:paraId="16F32B1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1CCB1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w:t>
            </w:r>
          </w:p>
        </w:tc>
        <w:tc>
          <w:tcPr>
            <w:tcW w:w="5103" w:type="dxa"/>
            <w:tcBorders>
              <w:top w:val="nil"/>
              <w:left w:val="nil"/>
              <w:bottom w:val="single" w:sz="4" w:space="0" w:color="auto"/>
              <w:right w:val="single" w:sz="4" w:space="0" w:color="auto"/>
            </w:tcBorders>
            <w:shd w:val="clear" w:color="auto" w:fill="auto"/>
            <w:noWrap/>
            <w:vAlign w:val="bottom"/>
            <w:hideMark/>
          </w:tcPr>
          <w:p w14:paraId="09A8E85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220-&gt;Alto Jahuel 500</w:t>
            </w:r>
          </w:p>
        </w:tc>
        <w:tc>
          <w:tcPr>
            <w:tcW w:w="992" w:type="dxa"/>
            <w:tcBorders>
              <w:top w:val="nil"/>
              <w:left w:val="nil"/>
              <w:bottom w:val="single" w:sz="4" w:space="0" w:color="auto"/>
              <w:right w:val="single" w:sz="4" w:space="0" w:color="auto"/>
            </w:tcBorders>
            <w:shd w:val="clear" w:color="auto" w:fill="auto"/>
            <w:noWrap/>
          </w:tcPr>
          <w:p w14:paraId="2FE4F132" w14:textId="2C3B0E2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0,03</w:t>
            </w:r>
          </w:p>
        </w:tc>
        <w:tc>
          <w:tcPr>
            <w:tcW w:w="851" w:type="dxa"/>
            <w:tcBorders>
              <w:top w:val="nil"/>
              <w:left w:val="nil"/>
              <w:bottom w:val="single" w:sz="4" w:space="0" w:color="auto"/>
              <w:right w:val="single" w:sz="4" w:space="0" w:color="auto"/>
            </w:tcBorders>
            <w:shd w:val="clear" w:color="auto" w:fill="auto"/>
            <w:noWrap/>
          </w:tcPr>
          <w:p w14:paraId="7D05E47A" w14:textId="709B194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0,97</w:t>
            </w:r>
          </w:p>
        </w:tc>
        <w:tc>
          <w:tcPr>
            <w:tcW w:w="992" w:type="dxa"/>
            <w:tcBorders>
              <w:top w:val="nil"/>
              <w:left w:val="nil"/>
              <w:bottom w:val="single" w:sz="4" w:space="0" w:color="auto"/>
              <w:right w:val="single" w:sz="4" w:space="0" w:color="auto"/>
            </w:tcBorders>
            <w:shd w:val="clear" w:color="auto" w:fill="auto"/>
            <w:noWrap/>
          </w:tcPr>
          <w:p w14:paraId="661B09F0" w14:textId="09269A1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0,05</w:t>
            </w:r>
          </w:p>
        </w:tc>
        <w:tc>
          <w:tcPr>
            <w:tcW w:w="992" w:type="dxa"/>
            <w:tcBorders>
              <w:top w:val="nil"/>
              <w:left w:val="nil"/>
              <w:bottom w:val="single" w:sz="4" w:space="0" w:color="auto"/>
              <w:right w:val="single" w:sz="4" w:space="0" w:color="auto"/>
            </w:tcBorders>
            <w:shd w:val="clear" w:color="auto" w:fill="auto"/>
            <w:noWrap/>
          </w:tcPr>
          <w:p w14:paraId="36593280" w14:textId="28F1DBE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0,95</w:t>
            </w:r>
          </w:p>
        </w:tc>
      </w:tr>
      <w:tr w:rsidR="005E36B7" w:rsidRPr="005E36B7" w14:paraId="71FBA20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C831D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w:t>
            </w:r>
          </w:p>
        </w:tc>
        <w:tc>
          <w:tcPr>
            <w:tcW w:w="5103" w:type="dxa"/>
            <w:tcBorders>
              <w:top w:val="nil"/>
              <w:left w:val="nil"/>
              <w:bottom w:val="single" w:sz="4" w:space="0" w:color="auto"/>
              <w:right w:val="single" w:sz="4" w:space="0" w:color="auto"/>
            </w:tcBorders>
            <w:shd w:val="clear" w:color="auto" w:fill="auto"/>
            <w:noWrap/>
            <w:vAlign w:val="bottom"/>
            <w:hideMark/>
          </w:tcPr>
          <w:p w14:paraId="602C2EC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220-&gt;Buin 220</w:t>
            </w:r>
          </w:p>
        </w:tc>
        <w:tc>
          <w:tcPr>
            <w:tcW w:w="992" w:type="dxa"/>
            <w:tcBorders>
              <w:top w:val="nil"/>
              <w:left w:val="nil"/>
              <w:bottom w:val="single" w:sz="4" w:space="0" w:color="auto"/>
              <w:right w:val="single" w:sz="4" w:space="0" w:color="auto"/>
            </w:tcBorders>
            <w:shd w:val="clear" w:color="auto" w:fill="auto"/>
            <w:noWrap/>
          </w:tcPr>
          <w:p w14:paraId="1A0BCBA2" w14:textId="618D7F8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0,05</w:t>
            </w:r>
          </w:p>
        </w:tc>
        <w:tc>
          <w:tcPr>
            <w:tcW w:w="851" w:type="dxa"/>
            <w:tcBorders>
              <w:top w:val="nil"/>
              <w:left w:val="nil"/>
              <w:bottom w:val="single" w:sz="4" w:space="0" w:color="auto"/>
              <w:right w:val="single" w:sz="4" w:space="0" w:color="auto"/>
            </w:tcBorders>
            <w:shd w:val="clear" w:color="auto" w:fill="auto"/>
            <w:noWrap/>
          </w:tcPr>
          <w:p w14:paraId="518FCDEF" w14:textId="0C619B9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0,95</w:t>
            </w:r>
          </w:p>
        </w:tc>
        <w:tc>
          <w:tcPr>
            <w:tcW w:w="992" w:type="dxa"/>
            <w:tcBorders>
              <w:top w:val="nil"/>
              <w:left w:val="nil"/>
              <w:bottom w:val="single" w:sz="4" w:space="0" w:color="auto"/>
              <w:right w:val="single" w:sz="4" w:space="0" w:color="auto"/>
            </w:tcBorders>
            <w:shd w:val="clear" w:color="auto" w:fill="auto"/>
            <w:noWrap/>
          </w:tcPr>
          <w:p w14:paraId="14DC19A0" w14:textId="179A788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0,07</w:t>
            </w:r>
          </w:p>
        </w:tc>
        <w:tc>
          <w:tcPr>
            <w:tcW w:w="992" w:type="dxa"/>
            <w:tcBorders>
              <w:top w:val="nil"/>
              <w:left w:val="nil"/>
              <w:bottom w:val="single" w:sz="4" w:space="0" w:color="auto"/>
              <w:right w:val="single" w:sz="4" w:space="0" w:color="auto"/>
            </w:tcBorders>
            <w:shd w:val="clear" w:color="auto" w:fill="auto"/>
            <w:noWrap/>
          </w:tcPr>
          <w:p w14:paraId="5ACFD3C2" w14:textId="1C0F6F6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0,93</w:t>
            </w:r>
          </w:p>
        </w:tc>
      </w:tr>
      <w:tr w:rsidR="005E36B7" w:rsidRPr="005E36B7" w14:paraId="06EED8A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D82C2C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w:t>
            </w:r>
          </w:p>
        </w:tc>
        <w:tc>
          <w:tcPr>
            <w:tcW w:w="5103" w:type="dxa"/>
            <w:tcBorders>
              <w:top w:val="nil"/>
              <w:left w:val="nil"/>
              <w:bottom w:val="single" w:sz="4" w:space="0" w:color="auto"/>
              <w:right w:val="single" w:sz="4" w:space="0" w:color="auto"/>
            </w:tcBorders>
            <w:shd w:val="clear" w:color="auto" w:fill="auto"/>
            <w:noWrap/>
            <w:vAlign w:val="bottom"/>
            <w:hideMark/>
          </w:tcPr>
          <w:p w14:paraId="7C76173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220-&gt;Chena 220</w:t>
            </w:r>
          </w:p>
        </w:tc>
        <w:tc>
          <w:tcPr>
            <w:tcW w:w="992" w:type="dxa"/>
            <w:tcBorders>
              <w:top w:val="nil"/>
              <w:left w:val="nil"/>
              <w:bottom w:val="single" w:sz="4" w:space="0" w:color="auto"/>
              <w:right w:val="single" w:sz="4" w:space="0" w:color="auto"/>
            </w:tcBorders>
            <w:shd w:val="clear" w:color="auto" w:fill="auto"/>
            <w:noWrap/>
          </w:tcPr>
          <w:p w14:paraId="59648BAA" w14:textId="17315C0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0,35</w:t>
            </w:r>
          </w:p>
        </w:tc>
        <w:tc>
          <w:tcPr>
            <w:tcW w:w="851" w:type="dxa"/>
            <w:tcBorders>
              <w:top w:val="nil"/>
              <w:left w:val="nil"/>
              <w:bottom w:val="single" w:sz="4" w:space="0" w:color="auto"/>
              <w:right w:val="single" w:sz="4" w:space="0" w:color="auto"/>
            </w:tcBorders>
            <w:shd w:val="clear" w:color="auto" w:fill="auto"/>
            <w:noWrap/>
          </w:tcPr>
          <w:p w14:paraId="014EE316" w14:textId="5BA4F07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4A6A6CCD" w14:textId="61AA7A6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c>
          <w:tcPr>
            <w:tcW w:w="992" w:type="dxa"/>
            <w:tcBorders>
              <w:top w:val="nil"/>
              <w:left w:val="nil"/>
              <w:bottom w:val="single" w:sz="4" w:space="0" w:color="auto"/>
              <w:right w:val="single" w:sz="4" w:space="0" w:color="auto"/>
            </w:tcBorders>
            <w:shd w:val="clear" w:color="auto" w:fill="auto"/>
            <w:noWrap/>
          </w:tcPr>
          <w:p w14:paraId="6FDCDBF2" w14:textId="64265B1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r>
      <w:tr w:rsidR="005E36B7" w:rsidRPr="005E36B7" w14:paraId="294A7D5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3FAAE1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w:t>
            </w:r>
          </w:p>
        </w:tc>
        <w:tc>
          <w:tcPr>
            <w:tcW w:w="5103" w:type="dxa"/>
            <w:tcBorders>
              <w:top w:val="nil"/>
              <w:left w:val="nil"/>
              <w:bottom w:val="single" w:sz="4" w:space="0" w:color="auto"/>
              <w:right w:val="single" w:sz="4" w:space="0" w:color="auto"/>
            </w:tcBorders>
            <w:shd w:val="clear" w:color="auto" w:fill="auto"/>
            <w:noWrap/>
            <w:vAlign w:val="bottom"/>
            <w:hideMark/>
          </w:tcPr>
          <w:p w14:paraId="12F4F13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220-&gt;Los Almendros 220</w:t>
            </w:r>
          </w:p>
        </w:tc>
        <w:tc>
          <w:tcPr>
            <w:tcW w:w="992" w:type="dxa"/>
            <w:tcBorders>
              <w:top w:val="nil"/>
              <w:left w:val="nil"/>
              <w:bottom w:val="single" w:sz="4" w:space="0" w:color="auto"/>
              <w:right w:val="single" w:sz="4" w:space="0" w:color="auto"/>
            </w:tcBorders>
            <w:shd w:val="clear" w:color="auto" w:fill="auto"/>
            <w:noWrap/>
          </w:tcPr>
          <w:p w14:paraId="59D66415" w14:textId="2E82735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0,52</w:t>
            </w:r>
          </w:p>
        </w:tc>
        <w:tc>
          <w:tcPr>
            <w:tcW w:w="851" w:type="dxa"/>
            <w:tcBorders>
              <w:top w:val="nil"/>
              <w:left w:val="nil"/>
              <w:bottom w:val="single" w:sz="4" w:space="0" w:color="auto"/>
              <w:right w:val="single" w:sz="4" w:space="0" w:color="auto"/>
            </w:tcBorders>
            <w:shd w:val="clear" w:color="auto" w:fill="auto"/>
            <w:noWrap/>
          </w:tcPr>
          <w:p w14:paraId="10CA4DB4" w14:textId="5D901B4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0,48</w:t>
            </w:r>
          </w:p>
        </w:tc>
        <w:tc>
          <w:tcPr>
            <w:tcW w:w="992" w:type="dxa"/>
            <w:tcBorders>
              <w:top w:val="nil"/>
              <w:left w:val="nil"/>
              <w:bottom w:val="single" w:sz="4" w:space="0" w:color="auto"/>
              <w:right w:val="single" w:sz="4" w:space="0" w:color="auto"/>
            </w:tcBorders>
            <w:shd w:val="clear" w:color="auto" w:fill="auto"/>
            <w:noWrap/>
          </w:tcPr>
          <w:p w14:paraId="3C139E39" w14:textId="7C73A65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57A9D483" w14:textId="7BC079B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r>
      <w:tr w:rsidR="005E36B7" w:rsidRPr="005E36B7" w14:paraId="59A8A9A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9B6F44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w:t>
            </w:r>
          </w:p>
        </w:tc>
        <w:tc>
          <w:tcPr>
            <w:tcW w:w="5103" w:type="dxa"/>
            <w:tcBorders>
              <w:top w:val="nil"/>
              <w:left w:val="nil"/>
              <w:bottom w:val="single" w:sz="4" w:space="0" w:color="auto"/>
              <w:right w:val="single" w:sz="4" w:space="0" w:color="auto"/>
            </w:tcBorders>
            <w:shd w:val="clear" w:color="auto" w:fill="auto"/>
            <w:noWrap/>
            <w:vAlign w:val="bottom"/>
            <w:hideMark/>
          </w:tcPr>
          <w:p w14:paraId="6AC53B4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220-&gt;Maipo 220</w:t>
            </w:r>
          </w:p>
        </w:tc>
        <w:tc>
          <w:tcPr>
            <w:tcW w:w="992" w:type="dxa"/>
            <w:tcBorders>
              <w:top w:val="nil"/>
              <w:left w:val="nil"/>
              <w:bottom w:val="single" w:sz="4" w:space="0" w:color="auto"/>
              <w:right w:val="single" w:sz="4" w:space="0" w:color="auto"/>
            </w:tcBorders>
            <w:shd w:val="clear" w:color="auto" w:fill="auto"/>
            <w:noWrap/>
          </w:tcPr>
          <w:p w14:paraId="2B80E313" w14:textId="220A714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0,12</w:t>
            </w:r>
          </w:p>
        </w:tc>
        <w:tc>
          <w:tcPr>
            <w:tcW w:w="851" w:type="dxa"/>
            <w:tcBorders>
              <w:top w:val="nil"/>
              <w:left w:val="nil"/>
              <w:bottom w:val="single" w:sz="4" w:space="0" w:color="auto"/>
              <w:right w:val="single" w:sz="4" w:space="0" w:color="auto"/>
            </w:tcBorders>
            <w:shd w:val="clear" w:color="auto" w:fill="auto"/>
            <w:noWrap/>
          </w:tcPr>
          <w:p w14:paraId="0A940B2D" w14:textId="05A82D6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0,88</w:t>
            </w:r>
          </w:p>
        </w:tc>
        <w:tc>
          <w:tcPr>
            <w:tcW w:w="992" w:type="dxa"/>
            <w:tcBorders>
              <w:top w:val="nil"/>
              <w:left w:val="nil"/>
              <w:bottom w:val="single" w:sz="4" w:space="0" w:color="auto"/>
              <w:right w:val="single" w:sz="4" w:space="0" w:color="auto"/>
            </w:tcBorders>
            <w:shd w:val="clear" w:color="auto" w:fill="auto"/>
            <w:noWrap/>
          </w:tcPr>
          <w:p w14:paraId="6C7D6475" w14:textId="1FE35B6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992" w:type="dxa"/>
            <w:tcBorders>
              <w:top w:val="nil"/>
              <w:left w:val="nil"/>
              <w:bottom w:val="single" w:sz="4" w:space="0" w:color="auto"/>
              <w:right w:val="single" w:sz="4" w:space="0" w:color="auto"/>
            </w:tcBorders>
            <w:shd w:val="clear" w:color="auto" w:fill="auto"/>
            <w:noWrap/>
          </w:tcPr>
          <w:p w14:paraId="2183D5AA" w14:textId="7036701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r>
      <w:tr w:rsidR="005E36B7" w:rsidRPr="005E36B7" w14:paraId="4311962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81762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w:t>
            </w:r>
          </w:p>
        </w:tc>
        <w:tc>
          <w:tcPr>
            <w:tcW w:w="5103" w:type="dxa"/>
            <w:tcBorders>
              <w:top w:val="nil"/>
              <w:left w:val="nil"/>
              <w:bottom w:val="single" w:sz="4" w:space="0" w:color="auto"/>
              <w:right w:val="single" w:sz="4" w:space="0" w:color="auto"/>
            </w:tcBorders>
            <w:shd w:val="clear" w:color="auto" w:fill="auto"/>
            <w:noWrap/>
            <w:vAlign w:val="bottom"/>
            <w:hideMark/>
          </w:tcPr>
          <w:p w14:paraId="1F9DE9F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220-&gt;Tap Central Santa Marta 220</w:t>
            </w:r>
          </w:p>
        </w:tc>
        <w:tc>
          <w:tcPr>
            <w:tcW w:w="992" w:type="dxa"/>
            <w:tcBorders>
              <w:top w:val="nil"/>
              <w:left w:val="nil"/>
              <w:bottom w:val="single" w:sz="4" w:space="0" w:color="auto"/>
              <w:right w:val="single" w:sz="4" w:space="0" w:color="auto"/>
            </w:tcBorders>
            <w:shd w:val="clear" w:color="auto" w:fill="auto"/>
            <w:noWrap/>
          </w:tcPr>
          <w:p w14:paraId="08258CFD" w14:textId="7376C48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0,48</w:t>
            </w:r>
          </w:p>
        </w:tc>
        <w:tc>
          <w:tcPr>
            <w:tcW w:w="851" w:type="dxa"/>
            <w:tcBorders>
              <w:top w:val="nil"/>
              <w:left w:val="nil"/>
              <w:bottom w:val="single" w:sz="4" w:space="0" w:color="auto"/>
              <w:right w:val="single" w:sz="4" w:space="0" w:color="auto"/>
            </w:tcBorders>
            <w:shd w:val="clear" w:color="auto" w:fill="auto"/>
            <w:noWrap/>
          </w:tcPr>
          <w:p w14:paraId="239E7ABD" w14:textId="2E5E1BE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0,52</w:t>
            </w:r>
          </w:p>
        </w:tc>
        <w:tc>
          <w:tcPr>
            <w:tcW w:w="992" w:type="dxa"/>
            <w:tcBorders>
              <w:top w:val="nil"/>
              <w:left w:val="nil"/>
              <w:bottom w:val="single" w:sz="4" w:space="0" w:color="auto"/>
              <w:right w:val="single" w:sz="4" w:space="0" w:color="auto"/>
            </w:tcBorders>
            <w:shd w:val="clear" w:color="auto" w:fill="auto"/>
            <w:noWrap/>
          </w:tcPr>
          <w:p w14:paraId="11D75A50" w14:textId="6B62257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0DB064A4" w14:textId="2F4351C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0,35</w:t>
            </w:r>
          </w:p>
        </w:tc>
      </w:tr>
      <w:tr w:rsidR="005E36B7" w:rsidRPr="005E36B7" w14:paraId="028CAB6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4BB622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w:t>
            </w:r>
          </w:p>
        </w:tc>
        <w:tc>
          <w:tcPr>
            <w:tcW w:w="5103" w:type="dxa"/>
            <w:tcBorders>
              <w:top w:val="nil"/>
              <w:left w:val="nil"/>
              <w:bottom w:val="single" w:sz="4" w:space="0" w:color="auto"/>
              <w:right w:val="single" w:sz="4" w:space="0" w:color="auto"/>
            </w:tcBorders>
            <w:shd w:val="clear" w:color="auto" w:fill="auto"/>
            <w:noWrap/>
            <w:vAlign w:val="bottom"/>
            <w:hideMark/>
          </w:tcPr>
          <w:p w14:paraId="73B1BDF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Alto Jahuel 500-&gt;Ancoa 500</w:t>
            </w:r>
          </w:p>
        </w:tc>
        <w:tc>
          <w:tcPr>
            <w:tcW w:w="992" w:type="dxa"/>
            <w:tcBorders>
              <w:top w:val="nil"/>
              <w:left w:val="nil"/>
              <w:bottom w:val="single" w:sz="4" w:space="0" w:color="auto"/>
              <w:right w:val="single" w:sz="4" w:space="0" w:color="auto"/>
            </w:tcBorders>
            <w:shd w:val="clear" w:color="auto" w:fill="auto"/>
            <w:noWrap/>
          </w:tcPr>
          <w:p w14:paraId="04D1D5B3" w14:textId="44A5A86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0,28</w:t>
            </w:r>
          </w:p>
        </w:tc>
        <w:tc>
          <w:tcPr>
            <w:tcW w:w="851" w:type="dxa"/>
            <w:tcBorders>
              <w:top w:val="nil"/>
              <w:left w:val="nil"/>
              <w:bottom w:val="single" w:sz="4" w:space="0" w:color="auto"/>
              <w:right w:val="single" w:sz="4" w:space="0" w:color="auto"/>
            </w:tcBorders>
            <w:shd w:val="clear" w:color="auto" w:fill="auto"/>
            <w:noWrap/>
          </w:tcPr>
          <w:p w14:paraId="00FFD839" w14:textId="223A07C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0,72</w:t>
            </w:r>
          </w:p>
        </w:tc>
        <w:tc>
          <w:tcPr>
            <w:tcW w:w="992" w:type="dxa"/>
            <w:tcBorders>
              <w:top w:val="nil"/>
              <w:left w:val="nil"/>
              <w:bottom w:val="single" w:sz="4" w:space="0" w:color="auto"/>
              <w:right w:val="single" w:sz="4" w:space="0" w:color="auto"/>
            </w:tcBorders>
            <w:shd w:val="clear" w:color="auto" w:fill="auto"/>
            <w:noWrap/>
          </w:tcPr>
          <w:p w14:paraId="7216ABEA" w14:textId="2748418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992" w:type="dxa"/>
            <w:tcBorders>
              <w:top w:val="nil"/>
              <w:left w:val="nil"/>
              <w:bottom w:val="single" w:sz="4" w:space="0" w:color="auto"/>
              <w:right w:val="single" w:sz="4" w:space="0" w:color="auto"/>
            </w:tcBorders>
            <w:shd w:val="clear" w:color="auto" w:fill="auto"/>
            <w:noWrap/>
          </w:tcPr>
          <w:p w14:paraId="6ACE2C76" w14:textId="1A064CF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r>
      <w:tr w:rsidR="005E36B7" w:rsidRPr="005E36B7" w14:paraId="7D7A7E0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99722C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w:t>
            </w:r>
          </w:p>
        </w:tc>
        <w:tc>
          <w:tcPr>
            <w:tcW w:w="5103" w:type="dxa"/>
            <w:tcBorders>
              <w:top w:val="nil"/>
              <w:left w:val="nil"/>
              <w:bottom w:val="single" w:sz="4" w:space="0" w:color="auto"/>
              <w:right w:val="single" w:sz="4" w:space="0" w:color="auto"/>
            </w:tcBorders>
            <w:shd w:val="clear" w:color="auto" w:fill="auto"/>
            <w:noWrap/>
            <w:vAlign w:val="bottom"/>
            <w:hideMark/>
          </w:tcPr>
          <w:p w14:paraId="661DAF7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Ancoa 220-&gt;Ancoa 500</w:t>
            </w:r>
          </w:p>
        </w:tc>
        <w:tc>
          <w:tcPr>
            <w:tcW w:w="992" w:type="dxa"/>
            <w:tcBorders>
              <w:top w:val="nil"/>
              <w:left w:val="nil"/>
              <w:bottom w:val="single" w:sz="4" w:space="0" w:color="auto"/>
              <w:right w:val="single" w:sz="4" w:space="0" w:color="auto"/>
            </w:tcBorders>
            <w:shd w:val="clear" w:color="auto" w:fill="auto"/>
            <w:noWrap/>
          </w:tcPr>
          <w:p w14:paraId="1BE064A9" w14:textId="7EC30AF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851" w:type="dxa"/>
            <w:tcBorders>
              <w:top w:val="nil"/>
              <w:left w:val="nil"/>
              <w:bottom w:val="single" w:sz="4" w:space="0" w:color="auto"/>
              <w:right w:val="single" w:sz="4" w:space="0" w:color="auto"/>
            </w:tcBorders>
            <w:shd w:val="clear" w:color="auto" w:fill="auto"/>
            <w:noWrap/>
          </w:tcPr>
          <w:p w14:paraId="0A825C5F" w14:textId="1B88E69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c>
          <w:tcPr>
            <w:tcW w:w="992" w:type="dxa"/>
            <w:tcBorders>
              <w:top w:val="nil"/>
              <w:left w:val="nil"/>
              <w:bottom w:val="single" w:sz="4" w:space="0" w:color="auto"/>
              <w:right w:val="single" w:sz="4" w:space="0" w:color="auto"/>
            </w:tcBorders>
            <w:shd w:val="clear" w:color="auto" w:fill="auto"/>
            <w:noWrap/>
          </w:tcPr>
          <w:p w14:paraId="461E6C19" w14:textId="6E03440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0,07</w:t>
            </w:r>
          </w:p>
        </w:tc>
        <w:tc>
          <w:tcPr>
            <w:tcW w:w="992" w:type="dxa"/>
            <w:tcBorders>
              <w:top w:val="nil"/>
              <w:left w:val="nil"/>
              <w:bottom w:val="single" w:sz="4" w:space="0" w:color="auto"/>
              <w:right w:val="single" w:sz="4" w:space="0" w:color="auto"/>
            </w:tcBorders>
            <w:shd w:val="clear" w:color="auto" w:fill="auto"/>
            <w:noWrap/>
          </w:tcPr>
          <w:p w14:paraId="1825CEC8" w14:textId="0E55FFE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0,93</w:t>
            </w:r>
          </w:p>
        </w:tc>
      </w:tr>
      <w:tr w:rsidR="005E36B7" w:rsidRPr="005E36B7" w14:paraId="1E2D745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F410B2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w:t>
            </w:r>
          </w:p>
        </w:tc>
        <w:tc>
          <w:tcPr>
            <w:tcW w:w="5103" w:type="dxa"/>
            <w:tcBorders>
              <w:top w:val="nil"/>
              <w:left w:val="nil"/>
              <w:bottom w:val="single" w:sz="4" w:space="0" w:color="auto"/>
              <w:right w:val="single" w:sz="4" w:space="0" w:color="auto"/>
            </w:tcBorders>
            <w:shd w:val="clear" w:color="auto" w:fill="auto"/>
            <w:noWrap/>
            <w:vAlign w:val="bottom"/>
            <w:hideMark/>
          </w:tcPr>
          <w:p w14:paraId="5D5513A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Ancoa 220-&gt;Colbun 220</w:t>
            </w:r>
          </w:p>
        </w:tc>
        <w:tc>
          <w:tcPr>
            <w:tcW w:w="992" w:type="dxa"/>
            <w:tcBorders>
              <w:top w:val="nil"/>
              <w:left w:val="nil"/>
              <w:bottom w:val="single" w:sz="4" w:space="0" w:color="auto"/>
              <w:right w:val="single" w:sz="4" w:space="0" w:color="auto"/>
            </w:tcBorders>
            <w:shd w:val="clear" w:color="auto" w:fill="auto"/>
            <w:noWrap/>
          </w:tcPr>
          <w:p w14:paraId="23DFFAFC" w14:textId="1447643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0,13</w:t>
            </w:r>
          </w:p>
        </w:tc>
        <w:tc>
          <w:tcPr>
            <w:tcW w:w="851" w:type="dxa"/>
            <w:tcBorders>
              <w:top w:val="nil"/>
              <w:left w:val="nil"/>
              <w:bottom w:val="single" w:sz="4" w:space="0" w:color="auto"/>
              <w:right w:val="single" w:sz="4" w:space="0" w:color="auto"/>
            </w:tcBorders>
            <w:shd w:val="clear" w:color="auto" w:fill="auto"/>
            <w:noWrap/>
          </w:tcPr>
          <w:p w14:paraId="62AC5F0D" w14:textId="11DB576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0,87</w:t>
            </w:r>
          </w:p>
        </w:tc>
        <w:tc>
          <w:tcPr>
            <w:tcW w:w="992" w:type="dxa"/>
            <w:tcBorders>
              <w:top w:val="nil"/>
              <w:left w:val="nil"/>
              <w:bottom w:val="single" w:sz="4" w:space="0" w:color="auto"/>
              <w:right w:val="single" w:sz="4" w:space="0" w:color="auto"/>
            </w:tcBorders>
            <w:shd w:val="clear" w:color="auto" w:fill="auto"/>
            <w:noWrap/>
          </w:tcPr>
          <w:p w14:paraId="09C756D5" w14:textId="26B5260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0,19</w:t>
            </w:r>
          </w:p>
        </w:tc>
        <w:tc>
          <w:tcPr>
            <w:tcW w:w="992" w:type="dxa"/>
            <w:tcBorders>
              <w:top w:val="nil"/>
              <w:left w:val="nil"/>
              <w:bottom w:val="single" w:sz="4" w:space="0" w:color="auto"/>
              <w:right w:val="single" w:sz="4" w:space="0" w:color="auto"/>
            </w:tcBorders>
            <w:shd w:val="clear" w:color="auto" w:fill="auto"/>
            <w:noWrap/>
          </w:tcPr>
          <w:p w14:paraId="3F5AEC71" w14:textId="0E81581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0,81</w:t>
            </w:r>
          </w:p>
        </w:tc>
      </w:tr>
      <w:tr w:rsidR="005E36B7" w:rsidRPr="005E36B7" w14:paraId="0926281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0D4AD1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w:t>
            </w:r>
          </w:p>
        </w:tc>
        <w:tc>
          <w:tcPr>
            <w:tcW w:w="5103" w:type="dxa"/>
            <w:tcBorders>
              <w:top w:val="nil"/>
              <w:left w:val="nil"/>
              <w:bottom w:val="single" w:sz="4" w:space="0" w:color="auto"/>
              <w:right w:val="single" w:sz="4" w:space="0" w:color="auto"/>
            </w:tcBorders>
            <w:shd w:val="clear" w:color="auto" w:fill="auto"/>
            <w:noWrap/>
            <w:vAlign w:val="bottom"/>
            <w:hideMark/>
          </w:tcPr>
          <w:p w14:paraId="0A00CE0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Ancoa 220-&gt;Itahue 220</w:t>
            </w:r>
          </w:p>
        </w:tc>
        <w:tc>
          <w:tcPr>
            <w:tcW w:w="992" w:type="dxa"/>
            <w:tcBorders>
              <w:top w:val="nil"/>
              <w:left w:val="nil"/>
              <w:bottom w:val="single" w:sz="4" w:space="0" w:color="auto"/>
              <w:right w:val="single" w:sz="4" w:space="0" w:color="auto"/>
            </w:tcBorders>
            <w:shd w:val="clear" w:color="auto" w:fill="auto"/>
            <w:noWrap/>
          </w:tcPr>
          <w:p w14:paraId="5BEDB73E" w14:textId="131DAAB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499B9C4A" w14:textId="742A52E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71C7A9C2" w14:textId="16BBDC9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0,39</w:t>
            </w:r>
          </w:p>
        </w:tc>
        <w:tc>
          <w:tcPr>
            <w:tcW w:w="992" w:type="dxa"/>
            <w:tcBorders>
              <w:top w:val="nil"/>
              <w:left w:val="nil"/>
              <w:bottom w:val="single" w:sz="4" w:space="0" w:color="auto"/>
              <w:right w:val="single" w:sz="4" w:space="0" w:color="auto"/>
            </w:tcBorders>
            <w:shd w:val="clear" w:color="auto" w:fill="auto"/>
            <w:noWrap/>
          </w:tcPr>
          <w:p w14:paraId="13C86061" w14:textId="4009360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0,61</w:t>
            </w:r>
          </w:p>
        </w:tc>
      </w:tr>
      <w:tr w:rsidR="005E36B7" w:rsidRPr="005E36B7" w14:paraId="0704F77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7DD567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w:t>
            </w:r>
          </w:p>
        </w:tc>
        <w:tc>
          <w:tcPr>
            <w:tcW w:w="5103" w:type="dxa"/>
            <w:tcBorders>
              <w:top w:val="nil"/>
              <w:left w:val="nil"/>
              <w:bottom w:val="single" w:sz="4" w:space="0" w:color="auto"/>
              <w:right w:val="single" w:sz="4" w:space="0" w:color="auto"/>
            </w:tcBorders>
            <w:shd w:val="clear" w:color="auto" w:fill="auto"/>
            <w:noWrap/>
            <w:vAlign w:val="bottom"/>
            <w:hideMark/>
          </w:tcPr>
          <w:p w14:paraId="214C12F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n-US" w:eastAsia="es-CL"/>
              </w:rPr>
            </w:pPr>
            <w:r w:rsidRPr="005E36B7">
              <w:rPr>
                <w:rFonts w:asciiTheme="minorHAnsi" w:eastAsia="Times New Roman" w:hAnsiTheme="minorHAnsi" w:cstheme="minorHAnsi"/>
                <w:color w:val="000000"/>
                <w:sz w:val="20"/>
                <w:szCs w:val="20"/>
                <w:lang w:val="en-US" w:eastAsia="es-CL"/>
              </w:rPr>
              <w:t>Ancoa 220-&gt;Tap Off Santa Isabel 220</w:t>
            </w:r>
          </w:p>
        </w:tc>
        <w:tc>
          <w:tcPr>
            <w:tcW w:w="992" w:type="dxa"/>
            <w:tcBorders>
              <w:top w:val="nil"/>
              <w:left w:val="nil"/>
              <w:bottom w:val="single" w:sz="4" w:space="0" w:color="auto"/>
              <w:right w:val="single" w:sz="4" w:space="0" w:color="auto"/>
            </w:tcBorders>
            <w:shd w:val="clear" w:color="auto" w:fill="auto"/>
            <w:noWrap/>
          </w:tcPr>
          <w:p w14:paraId="7E7F61FE" w14:textId="3C6ADA2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0,28</w:t>
            </w:r>
          </w:p>
        </w:tc>
        <w:tc>
          <w:tcPr>
            <w:tcW w:w="851" w:type="dxa"/>
            <w:tcBorders>
              <w:top w:val="nil"/>
              <w:left w:val="nil"/>
              <w:bottom w:val="single" w:sz="4" w:space="0" w:color="auto"/>
              <w:right w:val="single" w:sz="4" w:space="0" w:color="auto"/>
            </w:tcBorders>
            <w:shd w:val="clear" w:color="auto" w:fill="auto"/>
            <w:noWrap/>
          </w:tcPr>
          <w:p w14:paraId="77DF412F" w14:textId="6A40C13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0,72</w:t>
            </w:r>
          </w:p>
        </w:tc>
        <w:tc>
          <w:tcPr>
            <w:tcW w:w="992" w:type="dxa"/>
            <w:tcBorders>
              <w:top w:val="nil"/>
              <w:left w:val="nil"/>
              <w:bottom w:val="single" w:sz="4" w:space="0" w:color="auto"/>
              <w:right w:val="single" w:sz="4" w:space="0" w:color="auto"/>
            </w:tcBorders>
            <w:shd w:val="clear" w:color="auto" w:fill="auto"/>
            <w:noWrap/>
          </w:tcPr>
          <w:p w14:paraId="4AD4A847" w14:textId="514074A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c>
          <w:tcPr>
            <w:tcW w:w="992" w:type="dxa"/>
            <w:tcBorders>
              <w:top w:val="nil"/>
              <w:left w:val="nil"/>
              <w:bottom w:val="single" w:sz="4" w:space="0" w:color="auto"/>
              <w:right w:val="single" w:sz="4" w:space="0" w:color="auto"/>
            </w:tcBorders>
            <w:shd w:val="clear" w:color="auto" w:fill="auto"/>
            <w:noWrap/>
          </w:tcPr>
          <w:p w14:paraId="5B487D8A" w14:textId="30C719A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r>
      <w:tr w:rsidR="005E36B7" w:rsidRPr="005E36B7" w14:paraId="53888D2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49766E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w:t>
            </w:r>
          </w:p>
        </w:tc>
        <w:tc>
          <w:tcPr>
            <w:tcW w:w="5103" w:type="dxa"/>
            <w:tcBorders>
              <w:top w:val="nil"/>
              <w:left w:val="nil"/>
              <w:bottom w:val="single" w:sz="4" w:space="0" w:color="auto"/>
              <w:right w:val="single" w:sz="4" w:space="0" w:color="auto"/>
            </w:tcBorders>
            <w:shd w:val="clear" w:color="auto" w:fill="auto"/>
            <w:noWrap/>
            <w:vAlign w:val="bottom"/>
            <w:hideMark/>
          </w:tcPr>
          <w:p w14:paraId="1F5291D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Ancoa 500-&gt;Charrua 500</w:t>
            </w:r>
          </w:p>
        </w:tc>
        <w:tc>
          <w:tcPr>
            <w:tcW w:w="992" w:type="dxa"/>
            <w:tcBorders>
              <w:top w:val="nil"/>
              <w:left w:val="nil"/>
              <w:bottom w:val="single" w:sz="4" w:space="0" w:color="auto"/>
              <w:right w:val="single" w:sz="4" w:space="0" w:color="auto"/>
            </w:tcBorders>
            <w:shd w:val="clear" w:color="auto" w:fill="auto"/>
            <w:noWrap/>
          </w:tcPr>
          <w:p w14:paraId="3DB2BA1B" w14:textId="6131163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0C9A6A17" w14:textId="332DBB9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AE4A463" w14:textId="7C8306A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0832E00" w14:textId="49A3B46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24D301D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89B816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w:t>
            </w:r>
          </w:p>
        </w:tc>
        <w:tc>
          <w:tcPr>
            <w:tcW w:w="5103" w:type="dxa"/>
            <w:tcBorders>
              <w:top w:val="nil"/>
              <w:left w:val="nil"/>
              <w:bottom w:val="single" w:sz="4" w:space="0" w:color="auto"/>
              <w:right w:val="single" w:sz="4" w:space="0" w:color="auto"/>
            </w:tcBorders>
            <w:shd w:val="clear" w:color="auto" w:fill="auto"/>
            <w:noWrap/>
            <w:vAlign w:val="bottom"/>
            <w:hideMark/>
          </w:tcPr>
          <w:p w14:paraId="40C1539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Ancoa 500-&gt;Nueva Charrua 500</w:t>
            </w:r>
          </w:p>
        </w:tc>
        <w:tc>
          <w:tcPr>
            <w:tcW w:w="992" w:type="dxa"/>
            <w:tcBorders>
              <w:top w:val="nil"/>
              <w:left w:val="nil"/>
              <w:bottom w:val="single" w:sz="4" w:space="0" w:color="auto"/>
              <w:right w:val="single" w:sz="4" w:space="0" w:color="auto"/>
            </w:tcBorders>
            <w:shd w:val="clear" w:color="auto" w:fill="auto"/>
            <w:noWrap/>
          </w:tcPr>
          <w:p w14:paraId="53B1BB80" w14:textId="284C84A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0,27</w:t>
            </w:r>
          </w:p>
        </w:tc>
        <w:tc>
          <w:tcPr>
            <w:tcW w:w="851" w:type="dxa"/>
            <w:tcBorders>
              <w:top w:val="nil"/>
              <w:left w:val="nil"/>
              <w:bottom w:val="single" w:sz="4" w:space="0" w:color="auto"/>
              <w:right w:val="single" w:sz="4" w:space="0" w:color="auto"/>
            </w:tcBorders>
            <w:shd w:val="clear" w:color="auto" w:fill="auto"/>
            <w:noWrap/>
          </w:tcPr>
          <w:p w14:paraId="6472F4F0" w14:textId="1A8994B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0,73</w:t>
            </w:r>
          </w:p>
        </w:tc>
        <w:tc>
          <w:tcPr>
            <w:tcW w:w="992" w:type="dxa"/>
            <w:tcBorders>
              <w:top w:val="nil"/>
              <w:left w:val="nil"/>
              <w:bottom w:val="single" w:sz="4" w:space="0" w:color="auto"/>
              <w:right w:val="single" w:sz="4" w:space="0" w:color="auto"/>
            </w:tcBorders>
            <w:shd w:val="clear" w:color="auto" w:fill="auto"/>
            <w:noWrap/>
          </w:tcPr>
          <w:p w14:paraId="292B9A6B" w14:textId="2B1C1EF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08CFBEAF" w14:textId="70DC5FF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r>
      <w:tr w:rsidR="005E36B7" w:rsidRPr="005E36B7" w14:paraId="5A1B828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F951E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N_14</w:t>
            </w:r>
          </w:p>
        </w:tc>
        <w:tc>
          <w:tcPr>
            <w:tcW w:w="5103" w:type="dxa"/>
            <w:tcBorders>
              <w:top w:val="nil"/>
              <w:left w:val="nil"/>
              <w:bottom w:val="single" w:sz="4" w:space="0" w:color="auto"/>
              <w:right w:val="single" w:sz="4" w:space="0" w:color="auto"/>
            </w:tcBorders>
            <w:shd w:val="clear" w:color="auto" w:fill="auto"/>
            <w:noWrap/>
            <w:vAlign w:val="bottom"/>
            <w:hideMark/>
          </w:tcPr>
          <w:p w14:paraId="70C8778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Atacama 220-&gt;Tap Enlace 220</w:t>
            </w:r>
          </w:p>
        </w:tc>
        <w:tc>
          <w:tcPr>
            <w:tcW w:w="992" w:type="dxa"/>
            <w:tcBorders>
              <w:top w:val="nil"/>
              <w:left w:val="nil"/>
              <w:bottom w:val="single" w:sz="4" w:space="0" w:color="auto"/>
              <w:right w:val="single" w:sz="4" w:space="0" w:color="auto"/>
            </w:tcBorders>
            <w:shd w:val="clear" w:color="auto" w:fill="auto"/>
            <w:noWrap/>
          </w:tcPr>
          <w:p w14:paraId="559EDACC" w14:textId="515B559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0,12</w:t>
            </w:r>
          </w:p>
        </w:tc>
        <w:tc>
          <w:tcPr>
            <w:tcW w:w="851" w:type="dxa"/>
            <w:tcBorders>
              <w:top w:val="nil"/>
              <w:left w:val="nil"/>
              <w:bottom w:val="single" w:sz="4" w:space="0" w:color="auto"/>
              <w:right w:val="single" w:sz="4" w:space="0" w:color="auto"/>
            </w:tcBorders>
            <w:shd w:val="clear" w:color="auto" w:fill="auto"/>
            <w:noWrap/>
          </w:tcPr>
          <w:p w14:paraId="4A3CB314" w14:textId="37EF2BE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0,88</w:t>
            </w:r>
          </w:p>
        </w:tc>
        <w:tc>
          <w:tcPr>
            <w:tcW w:w="992" w:type="dxa"/>
            <w:tcBorders>
              <w:top w:val="nil"/>
              <w:left w:val="nil"/>
              <w:bottom w:val="single" w:sz="4" w:space="0" w:color="auto"/>
              <w:right w:val="single" w:sz="4" w:space="0" w:color="auto"/>
            </w:tcBorders>
            <w:shd w:val="clear" w:color="auto" w:fill="auto"/>
            <w:noWrap/>
          </w:tcPr>
          <w:p w14:paraId="15AEE07B" w14:textId="6D739FD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0,19</w:t>
            </w:r>
          </w:p>
        </w:tc>
        <w:tc>
          <w:tcPr>
            <w:tcW w:w="992" w:type="dxa"/>
            <w:tcBorders>
              <w:top w:val="nil"/>
              <w:left w:val="nil"/>
              <w:bottom w:val="single" w:sz="4" w:space="0" w:color="auto"/>
              <w:right w:val="single" w:sz="4" w:space="0" w:color="auto"/>
            </w:tcBorders>
            <w:shd w:val="clear" w:color="auto" w:fill="auto"/>
            <w:noWrap/>
          </w:tcPr>
          <w:p w14:paraId="70E69CD5" w14:textId="07C80F6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0,81</w:t>
            </w:r>
          </w:p>
        </w:tc>
      </w:tr>
      <w:tr w:rsidR="005E36B7" w:rsidRPr="005E36B7" w14:paraId="08B0F74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6B454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N_15</w:t>
            </w:r>
          </w:p>
        </w:tc>
        <w:tc>
          <w:tcPr>
            <w:tcW w:w="5103" w:type="dxa"/>
            <w:tcBorders>
              <w:top w:val="nil"/>
              <w:left w:val="nil"/>
              <w:bottom w:val="single" w:sz="4" w:space="0" w:color="auto"/>
              <w:right w:val="single" w:sz="4" w:space="0" w:color="auto"/>
            </w:tcBorders>
            <w:shd w:val="clear" w:color="auto" w:fill="auto"/>
            <w:noWrap/>
            <w:vAlign w:val="bottom"/>
            <w:hideMark/>
          </w:tcPr>
          <w:p w14:paraId="6A4E165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Bureo 220-&gt;Los Peumos 220</w:t>
            </w:r>
          </w:p>
        </w:tc>
        <w:tc>
          <w:tcPr>
            <w:tcW w:w="992" w:type="dxa"/>
            <w:tcBorders>
              <w:top w:val="nil"/>
              <w:left w:val="nil"/>
              <w:bottom w:val="single" w:sz="4" w:space="0" w:color="auto"/>
              <w:right w:val="single" w:sz="4" w:space="0" w:color="auto"/>
            </w:tcBorders>
            <w:shd w:val="clear" w:color="auto" w:fill="auto"/>
            <w:noWrap/>
          </w:tcPr>
          <w:p w14:paraId="50BB6477" w14:textId="210334C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851" w:type="dxa"/>
            <w:tcBorders>
              <w:top w:val="nil"/>
              <w:left w:val="nil"/>
              <w:bottom w:val="single" w:sz="4" w:space="0" w:color="auto"/>
              <w:right w:val="single" w:sz="4" w:space="0" w:color="auto"/>
            </w:tcBorders>
            <w:shd w:val="clear" w:color="auto" w:fill="auto"/>
            <w:noWrap/>
          </w:tcPr>
          <w:p w14:paraId="4009FBCD" w14:textId="130CEB7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5A0DC7C1" w14:textId="71B23C5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5DB5209C" w14:textId="5DC30A4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0,51</w:t>
            </w:r>
          </w:p>
        </w:tc>
      </w:tr>
      <w:tr w:rsidR="005E36B7" w:rsidRPr="005E36B7" w14:paraId="77E3E99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80B739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N_16</w:t>
            </w:r>
          </w:p>
        </w:tc>
        <w:tc>
          <w:tcPr>
            <w:tcW w:w="5103" w:type="dxa"/>
            <w:tcBorders>
              <w:top w:val="nil"/>
              <w:left w:val="nil"/>
              <w:bottom w:val="single" w:sz="4" w:space="0" w:color="auto"/>
              <w:right w:val="single" w:sz="4" w:space="0" w:color="auto"/>
            </w:tcBorders>
            <w:shd w:val="clear" w:color="auto" w:fill="auto"/>
            <w:noWrap/>
            <w:vAlign w:val="bottom"/>
            <w:hideMark/>
          </w:tcPr>
          <w:p w14:paraId="3A5EAAB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Candelaria 220-&gt;Maipo 220</w:t>
            </w:r>
          </w:p>
        </w:tc>
        <w:tc>
          <w:tcPr>
            <w:tcW w:w="992" w:type="dxa"/>
            <w:tcBorders>
              <w:top w:val="nil"/>
              <w:left w:val="nil"/>
              <w:bottom w:val="single" w:sz="4" w:space="0" w:color="auto"/>
              <w:right w:val="single" w:sz="4" w:space="0" w:color="auto"/>
            </w:tcBorders>
            <w:shd w:val="clear" w:color="auto" w:fill="auto"/>
            <w:noWrap/>
          </w:tcPr>
          <w:p w14:paraId="5CC92605" w14:textId="1E6E837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851" w:type="dxa"/>
            <w:tcBorders>
              <w:top w:val="nil"/>
              <w:left w:val="nil"/>
              <w:bottom w:val="single" w:sz="4" w:space="0" w:color="auto"/>
              <w:right w:val="single" w:sz="4" w:space="0" w:color="auto"/>
            </w:tcBorders>
            <w:shd w:val="clear" w:color="auto" w:fill="auto"/>
            <w:noWrap/>
          </w:tcPr>
          <w:p w14:paraId="2BC47658" w14:textId="10B52F4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c>
          <w:tcPr>
            <w:tcW w:w="992" w:type="dxa"/>
            <w:tcBorders>
              <w:top w:val="nil"/>
              <w:left w:val="nil"/>
              <w:bottom w:val="single" w:sz="4" w:space="0" w:color="auto"/>
              <w:right w:val="single" w:sz="4" w:space="0" w:color="auto"/>
            </w:tcBorders>
            <w:shd w:val="clear" w:color="auto" w:fill="auto"/>
            <w:noWrap/>
          </w:tcPr>
          <w:p w14:paraId="2AFCD05B" w14:textId="11E2F37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0,05</w:t>
            </w:r>
          </w:p>
        </w:tc>
        <w:tc>
          <w:tcPr>
            <w:tcW w:w="992" w:type="dxa"/>
            <w:tcBorders>
              <w:top w:val="nil"/>
              <w:left w:val="nil"/>
              <w:bottom w:val="single" w:sz="4" w:space="0" w:color="auto"/>
              <w:right w:val="single" w:sz="4" w:space="0" w:color="auto"/>
            </w:tcBorders>
            <w:shd w:val="clear" w:color="auto" w:fill="auto"/>
            <w:noWrap/>
          </w:tcPr>
          <w:p w14:paraId="3FD20A5A" w14:textId="4AA1B7D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0,95</w:t>
            </w:r>
          </w:p>
        </w:tc>
      </w:tr>
      <w:tr w:rsidR="005E36B7" w:rsidRPr="005E36B7" w14:paraId="113A5A0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D866B2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N_17</w:t>
            </w:r>
          </w:p>
        </w:tc>
        <w:tc>
          <w:tcPr>
            <w:tcW w:w="5103" w:type="dxa"/>
            <w:tcBorders>
              <w:top w:val="nil"/>
              <w:left w:val="nil"/>
              <w:bottom w:val="single" w:sz="4" w:space="0" w:color="auto"/>
              <w:right w:val="single" w:sz="4" w:space="0" w:color="auto"/>
            </w:tcBorders>
            <w:shd w:val="clear" w:color="auto" w:fill="auto"/>
            <w:noWrap/>
            <w:vAlign w:val="bottom"/>
            <w:hideMark/>
          </w:tcPr>
          <w:p w14:paraId="28CA854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Candelaria 220-&gt;Puente Negro 220</w:t>
            </w:r>
          </w:p>
        </w:tc>
        <w:tc>
          <w:tcPr>
            <w:tcW w:w="992" w:type="dxa"/>
            <w:tcBorders>
              <w:top w:val="nil"/>
              <w:left w:val="nil"/>
              <w:bottom w:val="single" w:sz="4" w:space="0" w:color="auto"/>
              <w:right w:val="single" w:sz="4" w:space="0" w:color="auto"/>
            </w:tcBorders>
            <w:shd w:val="clear" w:color="auto" w:fill="auto"/>
            <w:noWrap/>
          </w:tcPr>
          <w:p w14:paraId="7C67A5DE" w14:textId="3916E77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0,03</w:t>
            </w:r>
          </w:p>
        </w:tc>
        <w:tc>
          <w:tcPr>
            <w:tcW w:w="851" w:type="dxa"/>
            <w:tcBorders>
              <w:top w:val="nil"/>
              <w:left w:val="nil"/>
              <w:bottom w:val="single" w:sz="4" w:space="0" w:color="auto"/>
              <w:right w:val="single" w:sz="4" w:space="0" w:color="auto"/>
            </w:tcBorders>
            <w:shd w:val="clear" w:color="auto" w:fill="auto"/>
            <w:noWrap/>
          </w:tcPr>
          <w:p w14:paraId="2F5334E1" w14:textId="3EBA555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0,97</w:t>
            </w:r>
          </w:p>
        </w:tc>
        <w:tc>
          <w:tcPr>
            <w:tcW w:w="992" w:type="dxa"/>
            <w:tcBorders>
              <w:top w:val="nil"/>
              <w:left w:val="nil"/>
              <w:bottom w:val="single" w:sz="4" w:space="0" w:color="auto"/>
              <w:right w:val="single" w:sz="4" w:space="0" w:color="auto"/>
            </w:tcBorders>
            <w:shd w:val="clear" w:color="auto" w:fill="auto"/>
            <w:noWrap/>
          </w:tcPr>
          <w:p w14:paraId="26205FB3" w14:textId="0D698CC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992" w:type="dxa"/>
            <w:tcBorders>
              <w:top w:val="nil"/>
              <w:left w:val="nil"/>
              <w:bottom w:val="single" w:sz="4" w:space="0" w:color="auto"/>
              <w:right w:val="single" w:sz="4" w:space="0" w:color="auto"/>
            </w:tcBorders>
            <w:shd w:val="clear" w:color="auto" w:fill="auto"/>
            <w:noWrap/>
          </w:tcPr>
          <w:p w14:paraId="43042633" w14:textId="254B814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r>
      <w:tr w:rsidR="005E36B7" w:rsidRPr="005E36B7" w14:paraId="5B6E631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69BAC4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N_18</w:t>
            </w:r>
          </w:p>
        </w:tc>
        <w:tc>
          <w:tcPr>
            <w:tcW w:w="5103" w:type="dxa"/>
            <w:tcBorders>
              <w:top w:val="nil"/>
              <w:left w:val="nil"/>
              <w:bottom w:val="single" w:sz="4" w:space="0" w:color="auto"/>
              <w:right w:val="single" w:sz="4" w:space="0" w:color="auto"/>
            </w:tcBorders>
            <w:shd w:val="clear" w:color="auto" w:fill="auto"/>
            <w:noWrap/>
            <w:vAlign w:val="bottom"/>
            <w:hideMark/>
          </w:tcPr>
          <w:p w14:paraId="1D2D30C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Cardones 220-&gt;Algarrobal 220</w:t>
            </w:r>
          </w:p>
        </w:tc>
        <w:tc>
          <w:tcPr>
            <w:tcW w:w="992" w:type="dxa"/>
            <w:tcBorders>
              <w:top w:val="nil"/>
              <w:left w:val="nil"/>
              <w:bottom w:val="single" w:sz="4" w:space="0" w:color="auto"/>
              <w:right w:val="single" w:sz="4" w:space="0" w:color="auto"/>
            </w:tcBorders>
            <w:shd w:val="clear" w:color="auto" w:fill="auto"/>
            <w:noWrap/>
          </w:tcPr>
          <w:p w14:paraId="69B52E56" w14:textId="5CAB040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0,31</w:t>
            </w:r>
          </w:p>
        </w:tc>
        <w:tc>
          <w:tcPr>
            <w:tcW w:w="851" w:type="dxa"/>
            <w:tcBorders>
              <w:top w:val="nil"/>
              <w:left w:val="nil"/>
              <w:bottom w:val="single" w:sz="4" w:space="0" w:color="auto"/>
              <w:right w:val="single" w:sz="4" w:space="0" w:color="auto"/>
            </w:tcBorders>
            <w:shd w:val="clear" w:color="auto" w:fill="auto"/>
            <w:noWrap/>
          </w:tcPr>
          <w:p w14:paraId="66BF9698" w14:textId="27C5E00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0,69</w:t>
            </w:r>
          </w:p>
        </w:tc>
        <w:tc>
          <w:tcPr>
            <w:tcW w:w="992" w:type="dxa"/>
            <w:tcBorders>
              <w:top w:val="nil"/>
              <w:left w:val="nil"/>
              <w:bottom w:val="single" w:sz="4" w:space="0" w:color="auto"/>
              <w:right w:val="single" w:sz="4" w:space="0" w:color="auto"/>
            </w:tcBorders>
            <w:shd w:val="clear" w:color="auto" w:fill="auto"/>
            <w:noWrap/>
          </w:tcPr>
          <w:p w14:paraId="5F014100" w14:textId="6D30267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c>
          <w:tcPr>
            <w:tcW w:w="992" w:type="dxa"/>
            <w:tcBorders>
              <w:top w:val="nil"/>
              <w:left w:val="nil"/>
              <w:bottom w:val="single" w:sz="4" w:space="0" w:color="auto"/>
              <w:right w:val="single" w:sz="4" w:space="0" w:color="auto"/>
            </w:tcBorders>
            <w:shd w:val="clear" w:color="auto" w:fill="auto"/>
            <w:noWrap/>
          </w:tcPr>
          <w:p w14:paraId="4E277989" w14:textId="6B40665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r>
      <w:tr w:rsidR="005E36B7" w:rsidRPr="005E36B7" w14:paraId="27F13A5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4DD7AB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N_19</w:t>
            </w:r>
          </w:p>
        </w:tc>
        <w:tc>
          <w:tcPr>
            <w:tcW w:w="5103" w:type="dxa"/>
            <w:tcBorders>
              <w:top w:val="nil"/>
              <w:left w:val="nil"/>
              <w:bottom w:val="single" w:sz="4" w:space="0" w:color="auto"/>
              <w:right w:val="single" w:sz="4" w:space="0" w:color="auto"/>
            </w:tcBorders>
            <w:shd w:val="clear" w:color="auto" w:fill="auto"/>
            <w:noWrap/>
            <w:vAlign w:val="bottom"/>
            <w:hideMark/>
          </w:tcPr>
          <w:p w14:paraId="2FBACD1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Cardones 220-&gt;Nueva Cardones 220</w:t>
            </w:r>
          </w:p>
        </w:tc>
        <w:tc>
          <w:tcPr>
            <w:tcW w:w="992" w:type="dxa"/>
            <w:tcBorders>
              <w:top w:val="nil"/>
              <w:left w:val="nil"/>
              <w:bottom w:val="single" w:sz="4" w:space="0" w:color="auto"/>
              <w:right w:val="single" w:sz="4" w:space="0" w:color="auto"/>
            </w:tcBorders>
            <w:shd w:val="clear" w:color="auto" w:fill="auto"/>
            <w:noWrap/>
          </w:tcPr>
          <w:p w14:paraId="2C5B1E83" w14:textId="20A3F46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3EAE46AE" w14:textId="4CE3B53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EDA58CD" w14:textId="56ABAF6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98D9746" w14:textId="1374297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6FFD430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58C4C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N_20</w:t>
            </w:r>
          </w:p>
        </w:tc>
        <w:tc>
          <w:tcPr>
            <w:tcW w:w="5103" w:type="dxa"/>
            <w:tcBorders>
              <w:top w:val="nil"/>
              <w:left w:val="nil"/>
              <w:bottom w:val="single" w:sz="4" w:space="0" w:color="auto"/>
              <w:right w:val="single" w:sz="4" w:space="0" w:color="auto"/>
            </w:tcBorders>
            <w:shd w:val="clear" w:color="auto" w:fill="auto"/>
            <w:noWrap/>
            <w:vAlign w:val="bottom"/>
            <w:hideMark/>
          </w:tcPr>
          <w:p w14:paraId="2481A23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Carrera Pinto 220-&gt;Nueva Diego de Almagro 220</w:t>
            </w:r>
          </w:p>
        </w:tc>
        <w:tc>
          <w:tcPr>
            <w:tcW w:w="992" w:type="dxa"/>
            <w:tcBorders>
              <w:top w:val="nil"/>
              <w:left w:val="nil"/>
              <w:bottom w:val="single" w:sz="4" w:space="0" w:color="auto"/>
              <w:right w:val="single" w:sz="4" w:space="0" w:color="auto"/>
            </w:tcBorders>
            <w:shd w:val="clear" w:color="auto" w:fill="auto"/>
            <w:noWrap/>
          </w:tcPr>
          <w:p w14:paraId="1C39F4ED" w14:textId="6A68163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0,18</w:t>
            </w:r>
          </w:p>
        </w:tc>
        <w:tc>
          <w:tcPr>
            <w:tcW w:w="851" w:type="dxa"/>
            <w:tcBorders>
              <w:top w:val="nil"/>
              <w:left w:val="nil"/>
              <w:bottom w:val="single" w:sz="4" w:space="0" w:color="auto"/>
              <w:right w:val="single" w:sz="4" w:space="0" w:color="auto"/>
            </w:tcBorders>
            <w:shd w:val="clear" w:color="auto" w:fill="auto"/>
            <w:noWrap/>
          </w:tcPr>
          <w:p w14:paraId="7675D7C0" w14:textId="3629479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0,82</w:t>
            </w:r>
          </w:p>
        </w:tc>
        <w:tc>
          <w:tcPr>
            <w:tcW w:w="992" w:type="dxa"/>
            <w:tcBorders>
              <w:top w:val="nil"/>
              <w:left w:val="nil"/>
              <w:bottom w:val="single" w:sz="4" w:space="0" w:color="auto"/>
              <w:right w:val="single" w:sz="4" w:space="0" w:color="auto"/>
            </w:tcBorders>
            <w:shd w:val="clear" w:color="auto" w:fill="auto"/>
            <w:noWrap/>
          </w:tcPr>
          <w:p w14:paraId="21E2CEAC" w14:textId="68AB951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c>
          <w:tcPr>
            <w:tcW w:w="992" w:type="dxa"/>
            <w:tcBorders>
              <w:top w:val="nil"/>
              <w:left w:val="nil"/>
              <w:bottom w:val="single" w:sz="4" w:space="0" w:color="auto"/>
              <w:right w:val="single" w:sz="4" w:space="0" w:color="auto"/>
            </w:tcBorders>
            <w:shd w:val="clear" w:color="auto" w:fill="auto"/>
            <w:noWrap/>
          </w:tcPr>
          <w:p w14:paraId="151F61F2" w14:textId="1983602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r>
      <w:tr w:rsidR="005E36B7" w:rsidRPr="005E36B7" w14:paraId="5837508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20038C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N_21</w:t>
            </w:r>
          </w:p>
        </w:tc>
        <w:tc>
          <w:tcPr>
            <w:tcW w:w="5103" w:type="dxa"/>
            <w:tcBorders>
              <w:top w:val="nil"/>
              <w:left w:val="nil"/>
              <w:bottom w:val="single" w:sz="4" w:space="0" w:color="auto"/>
              <w:right w:val="single" w:sz="4" w:space="0" w:color="auto"/>
            </w:tcBorders>
            <w:shd w:val="clear" w:color="auto" w:fill="auto"/>
            <w:noWrap/>
            <w:vAlign w:val="bottom"/>
            <w:hideMark/>
          </w:tcPr>
          <w:p w14:paraId="3D8F2C2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Carrera Pinto 220-&gt;S. San Andres 220</w:t>
            </w:r>
          </w:p>
        </w:tc>
        <w:tc>
          <w:tcPr>
            <w:tcW w:w="992" w:type="dxa"/>
            <w:tcBorders>
              <w:top w:val="nil"/>
              <w:left w:val="nil"/>
              <w:bottom w:val="single" w:sz="4" w:space="0" w:color="auto"/>
              <w:right w:val="single" w:sz="4" w:space="0" w:color="auto"/>
            </w:tcBorders>
            <w:shd w:val="clear" w:color="auto" w:fill="auto"/>
            <w:noWrap/>
          </w:tcPr>
          <w:p w14:paraId="389D58F7" w14:textId="600CBF5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0,19</w:t>
            </w:r>
          </w:p>
        </w:tc>
        <w:tc>
          <w:tcPr>
            <w:tcW w:w="851" w:type="dxa"/>
            <w:tcBorders>
              <w:top w:val="nil"/>
              <w:left w:val="nil"/>
              <w:bottom w:val="single" w:sz="4" w:space="0" w:color="auto"/>
              <w:right w:val="single" w:sz="4" w:space="0" w:color="auto"/>
            </w:tcBorders>
            <w:shd w:val="clear" w:color="auto" w:fill="auto"/>
            <w:noWrap/>
          </w:tcPr>
          <w:p w14:paraId="076AC730" w14:textId="64153A2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0,81</w:t>
            </w:r>
          </w:p>
        </w:tc>
        <w:tc>
          <w:tcPr>
            <w:tcW w:w="992" w:type="dxa"/>
            <w:tcBorders>
              <w:top w:val="nil"/>
              <w:left w:val="nil"/>
              <w:bottom w:val="single" w:sz="4" w:space="0" w:color="auto"/>
              <w:right w:val="single" w:sz="4" w:space="0" w:color="auto"/>
            </w:tcBorders>
            <w:shd w:val="clear" w:color="auto" w:fill="auto"/>
            <w:noWrap/>
          </w:tcPr>
          <w:p w14:paraId="26682C8B" w14:textId="1D64EA4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992" w:type="dxa"/>
            <w:tcBorders>
              <w:top w:val="nil"/>
              <w:left w:val="nil"/>
              <w:bottom w:val="single" w:sz="4" w:space="0" w:color="auto"/>
              <w:right w:val="single" w:sz="4" w:space="0" w:color="auto"/>
            </w:tcBorders>
            <w:shd w:val="clear" w:color="auto" w:fill="auto"/>
            <w:noWrap/>
          </w:tcPr>
          <w:p w14:paraId="05819B81" w14:textId="437D305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r>
      <w:tr w:rsidR="005E36B7" w:rsidRPr="005E36B7" w14:paraId="165BB88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D18E20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N_22</w:t>
            </w:r>
          </w:p>
        </w:tc>
        <w:tc>
          <w:tcPr>
            <w:tcW w:w="5103" w:type="dxa"/>
            <w:tcBorders>
              <w:top w:val="nil"/>
              <w:left w:val="nil"/>
              <w:bottom w:val="single" w:sz="4" w:space="0" w:color="auto"/>
              <w:right w:val="single" w:sz="4" w:space="0" w:color="auto"/>
            </w:tcBorders>
            <w:shd w:val="clear" w:color="auto" w:fill="auto"/>
            <w:noWrap/>
            <w:vAlign w:val="bottom"/>
            <w:hideMark/>
          </w:tcPr>
          <w:p w14:paraId="1EA4B72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Cautin 220-&gt;Metrenco 220</w:t>
            </w:r>
          </w:p>
        </w:tc>
        <w:tc>
          <w:tcPr>
            <w:tcW w:w="992" w:type="dxa"/>
            <w:tcBorders>
              <w:top w:val="nil"/>
              <w:left w:val="nil"/>
              <w:bottom w:val="single" w:sz="4" w:space="0" w:color="auto"/>
              <w:right w:val="single" w:sz="4" w:space="0" w:color="auto"/>
            </w:tcBorders>
            <w:shd w:val="clear" w:color="auto" w:fill="auto"/>
            <w:noWrap/>
          </w:tcPr>
          <w:p w14:paraId="301265D9" w14:textId="34B34A9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c>
          <w:tcPr>
            <w:tcW w:w="851" w:type="dxa"/>
            <w:tcBorders>
              <w:top w:val="nil"/>
              <w:left w:val="nil"/>
              <w:bottom w:val="single" w:sz="4" w:space="0" w:color="auto"/>
              <w:right w:val="single" w:sz="4" w:space="0" w:color="auto"/>
            </w:tcBorders>
            <w:shd w:val="clear" w:color="auto" w:fill="auto"/>
            <w:noWrap/>
          </w:tcPr>
          <w:p w14:paraId="4CDA0F25" w14:textId="5D40B74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6483EC0F" w14:textId="16C307E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3403F1B0" w14:textId="5312700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r>
      <w:tr w:rsidR="005E36B7" w:rsidRPr="005E36B7" w14:paraId="15452DC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C36A8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N_23</w:t>
            </w:r>
          </w:p>
        </w:tc>
        <w:tc>
          <w:tcPr>
            <w:tcW w:w="5103" w:type="dxa"/>
            <w:tcBorders>
              <w:top w:val="nil"/>
              <w:left w:val="nil"/>
              <w:bottom w:val="single" w:sz="4" w:space="0" w:color="auto"/>
              <w:right w:val="single" w:sz="4" w:space="0" w:color="auto"/>
            </w:tcBorders>
            <w:shd w:val="clear" w:color="auto" w:fill="auto"/>
            <w:noWrap/>
            <w:vAlign w:val="bottom"/>
            <w:hideMark/>
          </w:tcPr>
          <w:p w14:paraId="7EDAF2E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Cerro Navia 220-&gt;Cerro Navia Desf 220</w:t>
            </w:r>
          </w:p>
        </w:tc>
        <w:tc>
          <w:tcPr>
            <w:tcW w:w="992" w:type="dxa"/>
            <w:tcBorders>
              <w:top w:val="nil"/>
              <w:left w:val="nil"/>
              <w:bottom w:val="single" w:sz="4" w:space="0" w:color="auto"/>
              <w:right w:val="single" w:sz="4" w:space="0" w:color="auto"/>
            </w:tcBorders>
            <w:shd w:val="clear" w:color="auto" w:fill="auto"/>
            <w:noWrap/>
          </w:tcPr>
          <w:p w14:paraId="30A50EF6" w14:textId="05615B5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0,02</w:t>
            </w:r>
          </w:p>
        </w:tc>
        <w:tc>
          <w:tcPr>
            <w:tcW w:w="851" w:type="dxa"/>
            <w:tcBorders>
              <w:top w:val="nil"/>
              <w:left w:val="nil"/>
              <w:bottom w:val="single" w:sz="4" w:space="0" w:color="auto"/>
              <w:right w:val="single" w:sz="4" w:space="0" w:color="auto"/>
            </w:tcBorders>
            <w:shd w:val="clear" w:color="auto" w:fill="auto"/>
            <w:noWrap/>
          </w:tcPr>
          <w:p w14:paraId="473BD034" w14:textId="02FB0B4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0,98</w:t>
            </w:r>
          </w:p>
        </w:tc>
        <w:tc>
          <w:tcPr>
            <w:tcW w:w="992" w:type="dxa"/>
            <w:tcBorders>
              <w:top w:val="nil"/>
              <w:left w:val="nil"/>
              <w:bottom w:val="single" w:sz="4" w:space="0" w:color="auto"/>
              <w:right w:val="single" w:sz="4" w:space="0" w:color="auto"/>
            </w:tcBorders>
            <w:shd w:val="clear" w:color="auto" w:fill="auto"/>
            <w:noWrap/>
          </w:tcPr>
          <w:p w14:paraId="5CAF36C0" w14:textId="73EC6C5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992" w:type="dxa"/>
            <w:tcBorders>
              <w:top w:val="nil"/>
              <w:left w:val="nil"/>
              <w:bottom w:val="single" w:sz="4" w:space="0" w:color="auto"/>
              <w:right w:val="single" w:sz="4" w:space="0" w:color="auto"/>
            </w:tcBorders>
            <w:shd w:val="clear" w:color="auto" w:fill="auto"/>
            <w:noWrap/>
          </w:tcPr>
          <w:p w14:paraId="48D4581D" w14:textId="5006609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r>
      <w:tr w:rsidR="005E36B7" w:rsidRPr="005E36B7" w14:paraId="35BDFD0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9F8D0B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N_24</w:t>
            </w:r>
          </w:p>
        </w:tc>
        <w:tc>
          <w:tcPr>
            <w:tcW w:w="5103" w:type="dxa"/>
            <w:tcBorders>
              <w:top w:val="nil"/>
              <w:left w:val="nil"/>
              <w:bottom w:val="single" w:sz="4" w:space="0" w:color="auto"/>
              <w:right w:val="single" w:sz="4" w:space="0" w:color="auto"/>
            </w:tcBorders>
            <w:shd w:val="clear" w:color="auto" w:fill="auto"/>
            <w:noWrap/>
            <w:vAlign w:val="bottom"/>
            <w:hideMark/>
          </w:tcPr>
          <w:p w14:paraId="796C4F5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Cerro Navia 220-&gt;Chena 220</w:t>
            </w:r>
          </w:p>
        </w:tc>
        <w:tc>
          <w:tcPr>
            <w:tcW w:w="992" w:type="dxa"/>
            <w:tcBorders>
              <w:top w:val="nil"/>
              <w:left w:val="nil"/>
              <w:bottom w:val="single" w:sz="4" w:space="0" w:color="auto"/>
              <w:right w:val="single" w:sz="4" w:space="0" w:color="auto"/>
            </w:tcBorders>
            <w:shd w:val="clear" w:color="auto" w:fill="auto"/>
            <w:noWrap/>
          </w:tcPr>
          <w:p w14:paraId="4B2C2899" w14:textId="1FB456C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781E62C0" w14:textId="6472B70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40BF528A" w14:textId="1FE5AA5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06CE5C77" w14:textId="48C3C68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0,51</w:t>
            </w:r>
          </w:p>
        </w:tc>
      </w:tr>
      <w:tr w:rsidR="005E36B7" w:rsidRPr="005E36B7" w14:paraId="445515B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4A0A71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N_25</w:t>
            </w:r>
          </w:p>
        </w:tc>
        <w:tc>
          <w:tcPr>
            <w:tcW w:w="5103" w:type="dxa"/>
            <w:tcBorders>
              <w:top w:val="nil"/>
              <w:left w:val="nil"/>
              <w:bottom w:val="single" w:sz="4" w:space="0" w:color="auto"/>
              <w:right w:val="single" w:sz="4" w:space="0" w:color="auto"/>
            </w:tcBorders>
            <w:shd w:val="clear" w:color="auto" w:fill="auto"/>
            <w:noWrap/>
            <w:vAlign w:val="bottom"/>
            <w:hideMark/>
          </w:tcPr>
          <w:p w14:paraId="323639D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Cerro Navia 220-&gt;Neptuno 220</w:t>
            </w:r>
          </w:p>
        </w:tc>
        <w:tc>
          <w:tcPr>
            <w:tcW w:w="992" w:type="dxa"/>
            <w:tcBorders>
              <w:top w:val="nil"/>
              <w:left w:val="nil"/>
              <w:bottom w:val="single" w:sz="4" w:space="0" w:color="auto"/>
              <w:right w:val="single" w:sz="4" w:space="0" w:color="auto"/>
            </w:tcBorders>
            <w:shd w:val="clear" w:color="auto" w:fill="auto"/>
            <w:noWrap/>
          </w:tcPr>
          <w:p w14:paraId="655631A4" w14:textId="19A438D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36BB4B6D" w14:textId="4C250CA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4A496F30" w14:textId="44637B9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7E3B4F10" w14:textId="37896C0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r>
      <w:tr w:rsidR="005E36B7" w:rsidRPr="005E36B7" w14:paraId="72067E4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2F05E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N_26</w:t>
            </w:r>
          </w:p>
        </w:tc>
        <w:tc>
          <w:tcPr>
            <w:tcW w:w="5103" w:type="dxa"/>
            <w:tcBorders>
              <w:top w:val="nil"/>
              <w:left w:val="nil"/>
              <w:bottom w:val="single" w:sz="4" w:space="0" w:color="auto"/>
              <w:right w:val="single" w:sz="4" w:space="0" w:color="auto"/>
            </w:tcBorders>
            <w:shd w:val="clear" w:color="auto" w:fill="auto"/>
            <w:noWrap/>
            <w:vAlign w:val="bottom"/>
            <w:hideMark/>
          </w:tcPr>
          <w:p w14:paraId="1A01D1B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Cerros de Huichahue 220-&gt;Nueva Pichirropulli 220</w:t>
            </w:r>
          </w:p>
        </w:tc>
        <w:tc>
          <w:tcPr>
            <w:tcW w:w="992" w:type="dxa"/>
            <w:tcBorders>
              <w:top w:val="nil"/>
              <w:left w:val="nil"/>
              <w:bottom w:val="single" w:sz="4" w:space="0" w:color="auto"/>
              <w:right w:val="single" w:sz="4" w:space="0" w:color="auto"/>
            </w:tcBorders>
            <w:shd w:val="clear" w:color="auto" w:fill="auto"/>
            <w:noWrap/>
          </w:tcPr>
          <w:p w14:paraId="52D679A5" w14:textId="2E0150E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0,02</w:t>
            </w:r>
          </w:p>
        </w:tc>
        <w:tc>
          <w:tcPr>
            <w:tcW w:w="851" w:type="dxa"/>
            <w:tcBorders>
              <w:top w:val="nil"/>
              <w:left w:val="nil"/>
              <w:bottom w:val="single" w:sz="4" w:space="0" w:color="auto"/>
              <w:right w:val="single" w:sz="4" w:space="0" w:color="auto"/>
            </w:tcBorders>
            <w:shd w:val="clear" w:color="auto" w:fill="auto"/>
            <w:noWrap/>
          </w:tcPr>
          <w:p w14:paraId="0905A2EF" w14:textId="0388C4D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0,98</w:t>
            </w:r>
          </w:p>
        </w:tc>
        <w:tc>
          <w:tcPr>
            <w:tcW w:w="992" w:type="dxa"/>
            <w:tcBorders>
              <w:top w:val="nil"/>
              <w:left w:val="nil"/>
              <w:bottom w:val="single" w:sz="4" w:space="0" w:color="auto"/>
              <w:right w:val="single" w:sz="4" w:space="0" w:color="auto"/>
            </w:tcBorders>
            <w:shd w:val="clear" w:color="auto" w:fill="auto"/>
            <w:noWrap/>
          </w:tcPr>
          <w:p w14:paraId="38486532" w14:textId="30F55F8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0,03</w:t>
            </w:r>
          </w:p>
        </w:tc>
        <w:tc>
          <w:tcPr>
            <w:tcW w:w="992" w:type="dxa"/>
            <w:tcBorders>
              <w:top w:val="nil"/>
              <w:left w:val="nil"/>
              <w:bottom w:val="single" w:sz="4" w:space="0" w:color="auto"/>
              <w:right w:val="single" w:sz="4" w:space="0" w:color="auto"/>
            </w:tcBorders>
            <w:shd w:val="clear" w:color="auto" w:fill="auto"/>
            <w:noWrap/>
          </w:tcPr>
          <w:p w14:paraId="4C5EF5BF" w14:textId="505E809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0,97</w:t>
            </w:r>
          </w:p>
        </w:tc>
      </w:tr>
      <w:tr w:rsidR="005E36B7" w:rsidRPr="005E36B7" w14:paraId="771F6B61"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E270DC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N_27</w:t>
            </w:r>
          </w:p>
        </w:tc>
        <w:tc>
          <w:tcPr>
            <w:tcW w:w="5103" w:type="dxa"/>
            <w:tcBorders>
              <w:top w:val="nil"/>
              <w:left w:val="nil"/>
              <w:bottom w:val="single" w:sz="4" w:space="0" w:color="auto"/>
              <w:right w:val="single" w:sz="4" w:space="0" w:color="auto"/>
            </w:tcBorders>
            <w:shd w:val="clear" w:color="auto" w:fill="auto"/>
            <w:noWrap/>
            <w:vAlign w:val="bottom"/>
            <w:hideMark/>
          </w:tcPr>
          <w:p w14:paraId="3B47AC8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220-&gt;Charrua 500</w:t>
            </w:r>
          </w:p>
        </w:tc>
        <w:tc>
          <w:tcPr>
            <w:tcW w:w="992" w:type="dxa"/>
            <w:tcBorders>
              <w:top w:val="nil"/>
              <w:left w:val="nil"/>
              <w:bottom w:val="single" w:sz="4" w:space="0" w:color="auto"/>
              <w:right w:val="single" w:sz="4" w:space="0" w:color="auto"/>
            </w:tcBorders>
            <w:shd w:val="clear" w:color="auto" w:fill="auto"/>
            <w:noWrap/>
          </w:tcPr>
          <w:p w14:paraId="47B1D9C2" w14:textId="547792F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0,08</w:t>
            </w:r>
          </w:p>
        </w:tc>
        <w:tc>
          <w:tcPr>
            <w:tcW w:w="851" w:type="dxa"/>
            <w:tcBorders>
              <w:top w:val="nil"/>
              <w:left w:val="nil"/>
              <w:bottom w:val="single" w:sz="4" w:space="0" w:color="auto"/>
              <w:right w:val="single" w:sz="4" w:space="0" w:color="auto"/>
            </w:tcBorders>
            <w:shd w:val="clear" w:color="auto" w:fill="auto"/>
            <w:noWrap/>
          </w:tcPr>
          <w:p w14:paraId="0CFBBBD9" w14:textId="0A4F035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0,92</w:t>
            </w:r>
          </w:p>
        </w:tc>
        <w:tc>
          <w:tcPr>
            <w:tcW w:w="992" w:type="dxa"/>
            <w:tcBorders>
              <w:top w:val="nil"/>
              <w:left w:val="nil"/>
              <w:bottom w:val="single" w:sz="4" w:space="0" w:color="auto"/>
              <w:right w:val="single" w:sz="4" w:space="0" w:color="auto"/>
            </w:tcBorders>
            <w:shd w:val="clear" w:color="auto" w:fill="auto"/>
            <w:noWrap/>
          </w:tcPr>
          <w:p w14:paraId="30623B8A" w14:textId="143F53F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0,13</w:t>
            </w:r>
          </w:p>
        </w:tc>
        <w:tc>
          <w:tcPr>
            <w:tcW w:w="992" w:type="dxa"/>
            <w:tcBorders>
              <w:top w:val="nil"/>
              <w:left w:val="nil"/>
              <w:bottom w:val="single" w:sz="4" w:space="0" w:color="auto"/>
              <w:right w:val="single" w:sz="4" w:space="0" w:color="auto"/>
            </w:tcBorders>
            <w:shd w:val="clear" w:color="auto" w:fill="auto"/>
            <w:noWrap/>
          </w:tcPr>
          <w:p w14:paraId="4392F074" w14:textId="5C84987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0,87</w:t>
            </w:r>
          </w:p>
        </w:tc>
      </w:tr>
      <w:tr w:rsidR="005E36B7" w:rsidRPr="005E36B7" w14:paraId="3AA59C6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B674EE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N_28</w:t>
            </w:r>
          </w:p>
        </w:tc>
        <w:tc>
          <w:tcPr>
            <w:tcW w:w="5103" w:type="dxa"/>
            <w:tcBorders>
              <w:top w:val="nil"/>
              <w:left w:val="nil"/>
              <w:bottom w:val="single" w:sz="4" w:space="0" w:color="auto"/>
              <w:right w:val="single" w:sz="4" w:space="0" w:color="auto"/>
            </w:tcBorders>
            <w:shd w:val="clear" w:color="auto" w:fill="auto"/>
            <w:noWrap/>
            <w:vAlign w:val="bottom"/>
            <w:hideMark/>
          </w:tcPr>
          <w:p w14:paraId="154A54F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220-&gt;Concepcion 220</w:t>
            </w:r>
          </w:p>
        </w:tc>
        <w:tc>
          <w:tcPr>
            <w:tcW w:w="992" w:type="dxa"/>
            <w:tcBorders>
              <w:top w:val="nil"/>
              <w:left w:val="nil"/>
              <w:bottom w:val="single" w:sz="4" w:space="0" w:color="auto"/>
              <w:right w:val="single" w:sz="4" w:space="0" w:color="auto"/>
            </w:tcBorders>
            <w:shd w:val="clear" w:color="auto" w:fill="auto"/>
            <w:noWrap/>
          </w:tcPr>
          <w:p w14:paraId="5FAAAD9F" w14:textId="65D9415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0,40</w:t>
            </w:r>
          </w:p>
        </w:tc>
        <w:tc>
          <w:tcPr>
            <w:tcW w:w="851" w:type="dxa"/>
            <w:tcBorders>
              <w:top w:val="nil"/>
              <w:left w:val="nil"/>
              <w:bottom w:val="single" w:sz="4" w:space="0" w:color="auto"/>
              <w:right w:val="single" w:sz="4" w:space="0" w:color="auto"/>
            </w:tcBorders>
            <w:shd w:val="clear" w:color="auto" w:fill="auto"/>
            <w:noWrap/>
          </w:tcPr>
          <w:p w14:paraId="31D38C72" w14:textId="5AAC0D4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0,60</w:t>
            </w:r>
          </w:p>
        </w:tc>
        <w:tc>
          <w:tcPr>
            <w:tcW w:w="992" w:type="dxa"/>
            <w:tcBorders>
              <w:top w:val="nil"/>
              <w:left w:val="nil"/>
              <w:bottom w:val="single" w:sz="4" w:space="0" w:color="auto"/>
              <w:right w:val="single" w:sz="4" w:space="0" w:color="auto"/>
            </w:tcBorders>
            <w:shd w:val="clear" w:color="auto" w:fill="auto"/>
            <w:noWrap/>
          </w:tcPr>
          <w:p w14:paraId="1BBFC988" w14:textId="15864DD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0,56</w:t>
            </w:r>
          </w:p>
        </w:tc>
        <w:tc>
          <w:tcPr>
            <w:tcW w:w="992" w:type="dxa"/>
            <w:tcBorders>
              <w:top w:val="nil"/>
              <w:left w:val="nil"/>
              <w:bottom w:val="single" w:sz="4" w:space="0" w:color="auto"/>
              <w:right w:val="single" w:sz="4" w:space="0" w:color="auto"/>
            </w:tcBorders>
            <w:shd w:val="clear" w:color="auto" w:fill="auto"/>
            <w:noWrap/>
          </w:tcPr>
          <w:p w14:paraId="27A33143" w14:textId="5C65CE6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0,44</w:t>
            </w:r>
          </w:p>
        </w:tc>
      </w:tr>
      <w:tr w:rsidR="005E36B7" w:rsidRPr="005E36B7" w14:paraId="0B8B1CB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E6EC73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N_29</w:t>
            </w:r>
          </w:p>
        </w:tc>
        <w:tc>
          <w:tcPr>
            <w:tcW w:w="5103" w:type="dxa"/>
            <w:tcBorders>
              <w:top w:val="nil"/>
              <w:left w:val="nil"/>
              <w:bottom w:val="single" w:sz="4" w:space="0" w:color="auto"/>
              <w:right w:val="single" w:sz="4" w:space="0" w:color="auto"/>
            </w:tcBorders>
            <w:shd w:val="clear" w:color="auto" w:fill="auto"/>
            <w:noWrap/>
            <w:vAlign w:val="bottom"/>
            <w:hideMark/>
          </w:tcPr>
          <w:p w14:paraId="7ADD0C4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220-&gt;El Rosal 220</w:t>
            </w:r>
          </w:p>
        </w:tc>
        <w:tc>
          <w:tcPr>
            <w:tcW w:w="992" w:type="dxa"/>
            <w:tcBorders>
              <w:top w:val="nil"/>
              <w:left w:val="nil"/>
              <w:bottom w:val="single" w:sz="4" w:space="0" w:color="auto"/>
              <w:right w:val="single" w:sz="4" w:space="0" w:color="auto"/>
            </w:tcBorders>
            <w:shd w:val="clear" w:color="auto" w:fill="auto"/>
            <w:noWrap/>
          </w:tcPr>
          <w:p w14:paraId="0D2CD956" w14:textId="48AD462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0,34</w:t>
            </w:r>
          </w:p>
        </w:tc>
        <w:tc>
          <w:tcPr>
            <w:tcW w:w="851" w:type="dxa"/>
            <w:tcBorders>
              <w:top w:val="nil"/>
              <w:left w:val="nil"/>
              <w:bottom w:val="single" w:sz="4" w:space="0" w:color="auto"/>
              <w:right w:val="single" w:sz="4" w:space="0" w:color="auto"/>
            </w:tcBorders>
            <w:shd w:val="clear" w:color="auto" w:fill="auto"/>
            <w:noWrap/>
          </w:tcPr>
          <w:p w14:paraId="0C9A6E1E" w14:textId="3A69FB9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0,66</w:t>
            </w:r>
          </w:p>
        </w:tc>
        <w:tc>
          <w:tcPr>
            <w:tcW w:w="992" w:type="dxa"/>
            <w:tcBorders>
              <w:top w:val="nil"/>
              <w:left w:val="nil"/>
              <w:bottom w:val="single" w:sz="4" w:space="0" w:color="auto"/>
              <w:right w:val="single" w:sz="4" w:space="0" w:color="auto"/>
            </w:tcBorders>
            <w:shd w:val="clear" w:color="auto" w:fill="auto"/>
            <w:noWrap/>
          </w:tcPr>
          <w:p w14:paraId="1B7F3F61" w14:textId="0EE6E35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0,51</w:t>
            </w:r>
          </w:p>
        </w:tc>
        <w:tc>
          <w:tcPr>
            <w:tcW w:w="992" w:type="dxa"/>
            <w:tcBorders>
              <w:top w:val="nil"/>
              <w:left w:val="nil"/>
              <w:bottom w:val="single" w:sz="4" w:space="0" w:color="auto"/>
              <w:right w:val="single" w:sz="4" w:space="0" w:color="auto"/>
            </w:tcBorders>
            <w:shd w:val="clear" w:color="auto" w:fill="auto"/>
            <w:noWrap/>
          </w:tcPr>
          <w:p w14:paraId="7BAF34D7" w14:textId="4AAC85F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0,49</w:t>
            </w:r>
          </w:p>
        </w:tc>
      </w:tr>
      <w:tr w:rsidR="005E36B7" w:rsidRPr="005E36B7" w14:paraId="1072407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D833B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N_30</w:t>
            </w:r>
          </w:p>
        </w:tc>
        <w:tc>
          <w:tcPr>
            <w:tcW w:w="5103" w:type="dxa"/>
            <w:tcBorders>
              <w:top w:val="nil"/>
              <w:left w:val="nil"/>
              <w:bottom w:val="single" w:sz="4" w:space="0" w:color="auto"/>
              <w:right w:val="single" w:sz="4" w:space="0" w:color="auto"/>
            </w:tcBorders>
            <w:shd w:val="clear" w:color="auto" w:fill="auto"/>
            <w:noWrap/>
            <w:vAlign w:val="bottom"/>
            <w:hideMark/>
          </w:tcPr>
          <w:p w14:paraId="6B452B5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220-&gt;Lagunillas 220</w:t>
            </w:r>
          </w:p>
        </w:tc>
        <w:tc>
          <w:tcPr>
            <w:tcW w:w="992" w:type="dxa"/>
            <w:tcBorders>
              <w:top w:val="nil"/>
              <w:left w:val="nil"/>
              <w:bottom w:val="single" w:sz="4" w:space="0" w:color="auto"/>
              <w:right w:val="single" w:sz="4" w:space="0" w:color="auto"/>
            </w:tcBorders>
            <w:shd w:val="clear" w:color="auto" w:fill="auto"/>
            <w:noWrap/>
          </w:tcPr>
          <w:p w14:paraId="579D124E" w14:textId="579CADF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851" w:type="dxa"/>
            <w:tcBorders>
              <w:top w:val="nil"/>
              <w:left w:val="nil"/>
              <w:bottom w:val="single" w:sz="4" w:space="0" w:color="auto"/>
              <w:right w:val="single" w:sz="4" w:space="0" w:color="auto"/>
            </w:tcBorders>
            <w:shd w:val="clear" w:color="auto" w:fill="auto"/>
            <w:noWrap/>
          </w:tcPr>
          <w:p w14:paraId="3FD428DB" w14:textId="30CA0CD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49303053" w14:textId="525C15A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58BAC707" w14:textId="31B6CD2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r>
      <w:tr w:rsidR="005E36B7" w:rsidRPr="005E36B7" w14:paraId="42DA3DF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A1F144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N_31</w:t>
            </w:r>
          </w:p>
        </w:tc>
        <w:tc>
          <w:tcPr>
            <w:tcW w:w="5103" w:type="dxa"/>
            <w:tcBorders>
              <w:top w:val="nil"/>
              <w:left w:val="nil"/>
              <w:bottom w:val="single" w:sz="4" w:space="0" w:color="auto"/>
              <w:right w:val="single" w:sz="4" w:space="0" w:color="auto"/>
            </w:tcBorders>
            <w:shd w:val="clear" w:color="auto" w:fill="auto"/>
            <w:noWrap/>
            <w:vAlign w:val="bottom"/>
            <w:hideMark/>
          </w:tcPr>
          <w:p w14:paraId="6559D0D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220-&gt;Mulchen 220</w:t>
            </w:r>
          </w:p>
        </w:tc>
        <w:tc>
          <w:tcPr>
            <w:tcW w:w="992" w:type="dxa"/>
            <w:tcBorders>
              <w:top w:val="nil"/>
              <w:left w:val="nil"/>
              <w:bottom w:val="single" w:sz="4" w:space="0" w:color="auto"/>
              <w:right w:val="single" w:sz="4" w:space="0" w:color="auto"/>
            </w:tcBorders>
            <w:shd w:val="clear" w:color="auto" w:fill="auto"/>
            <w:noWrap/>
          </w:tcPr>
          <w:p w14:paraId="41ADBB45" w14:textId="4CE9412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0,15</w:t>
            </w:r>
          </w:p>
        </w:tc>
        <w:tc>
          <w:tcPr>
            <w:tcW w:w="851" w:type="dxa"/>
            <w:tcBorders>
              <w:top w:val="nil"/>
              <w:left w:val="nil"/>
              <w:bottom w:val="single" w:sz="4" w:space="0" w:color="auto"/>
              <w:right w:val="single" w:sz="4" w:space="0" w:color="auto"/>
            </w:tcBorders>
            <w:shd w:val="clear" w:color="auto" w:fill="auto"/>
            <w:noWrap/>
          </w:tcPr>
          <w:p w14:paraId="40F626E0" w14:textId="2B76971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0,85</w:t>
            </w:r>
          </w:p>
        </w:tc>
        <w:tc>
          <w:tcPr>
            <w:tcW w:w="992" w:type="dxa"/>
            <w:tcBorders>
              <w:top w:val="nil"/>
              <w:left w:val="nil"/>
              <w:bottom w:val="single" w:sz="4" w:space="0" w:color="auto"/>
              <w:right w:val="single" w:sz="4" w:space="0" w:color="auto"/>
            </w:tcBorders>
            <w:shd w:val="clear" w:color="auto" w:fill="auto"/>
            <w:noWrap/>
          </w:tcPr>
          <w:p w14:paraId="3E3E2CED" w14:textId="7F903B1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0,22</w:t>
            </w:r>
          </w:p>
        </w:tc>
        <w:tc>
          <w:tcPr>
            <w:tcW w:w="992" w:type="dxa"/>
            <w:tcBorders>
              <w:top w:val="nil"/>
              <w:left w:val="nil"/>
              <w:bottom w:val="single" w:sz="4" w:space="0" w:color="auto"/>
              <w:right w:val="single" w:sz="4" w:space="0" w:color="auto"/>
            </w:tcBorders>
            <w:shd w:val="clear" w:color="auto" w:fill="auto"/>
            <w:noWrap/>
          </w:tcPr>
          <w:p w14:paraId="724E59DC" w14:textId="5B375EA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0,78</w:t>
            </w:r>
          </w:p>
        </w:tc>
      </w:tr>
      <w:tr w:rsidR="005E36B7" w:rsidRPr="005E36B7" w14:paraId="245BAEB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88F07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N_32</w:t>
            </w:r>
          </w:p>
        </w:tc>
        <w:tc>
          <w:tcPr>
            <w:tcW w:w="5103" w:type="dxa"/>
            <w:tcBorders>
              <w:top w:val="nil"/>
              <w:left w:val="nil"/>
              <w:bottom w:val="single" w:sz="4" w:space="0" w:color="auto"/>
              <w:right w:val="single" w:sz="4" w:space="0" w:color="auto"/>
            </w:tcBorders>
            <w:shd w:val="clear" w:color="auto" w:fill="auto"/>
            <w:noWrap/>
            <w:vAlign w:val="bottom"/>
            <w:hideMark/>
          </w:tcPr>
          <w:p w14:paraId="257F0CF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220-&gt;Trebol 220</w:t>
            </w:r>
          </w:p>
        </w:tc>
        <w:tc>
          <w:tcPr>
            <w:tcW w:w="992" w:type="dxa"/>
            <w:tcBorders>
              <w:top w:val="nil"/>
              <w:left w:val="nil"/>
              <w:bottom w:val="single" w:sz="4" w:space="0" w:color="auto"/>
              <w:right w:val="single" w:sz="4" w:space="0" w:color="auto"/>
            </w:tcBorders>
            <w:shd w:val="clear" w:color="auto" w:fill="auto"/>
            <w:noWrap/>
          </w:tcPr>
          <w:p w14:paraId="1620DE29" w14:textId="76373E8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0,23</w:t>
            </w:r>
          </w:p>
        </w:tc>
        <w:tc>
          <w:tcPr>
            <w:tcW w:w="851" w:type="dxa"/>
            <w:tcBorders>
              <w:top w:val="nil"/>
              <w:left w:val="nil"/>
              <w:bottom w:val="single" w:sz="4" w:space="0" w:color="auto"/>
              <w:right w:val="single" w:sz="4" w:space="0" w:color="auto"/>
            </w:tcBorders>
            <w:shd w:val="clear" w:color="auto" w:fill="auto"/>
            <w:noWrap/>
          </w:tcPr>
          <w:p w14:paraId="05F7857E" w14:textId="40679A2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0,77</w:t>
            </w:r>
          </w:p>
        </w:tc>
        <w:tc>
          <w:tcPr>
            <w:tcW w:w="992" w:type="dxa"/>
            <w:tcBorders>
              <w:top w:val="nil"/>
              <w:left w:val="nil"/>
              <w:bottom w:val="single" w:sz="4" w:space="0" w:color="auto"/>
              <w:right w:val="single" w:sz="4" w:space="0" w:color="auto"/>
            </w:tcBorders>
            <w:shd w:val="clear" w:color="auto" w:fill="auto"/>
            <w:noWrap/>
          </w:tcPr>
          <w:p w14:paraId="03C8E7E7" w14:textId="6192094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c>
          <w:tcPr>
            <w:tcW w:w="992" w:type="dxa"/>
            <w:tcBorders>
              <w:top w:val="nil"/>
              <w:left w:val="nil"/>
              <w:bottom w:val="single" w:sz="4" w:space="0" w:color="auto"/>
              <w:right w:val="single" w:sz="4" w:space="0" w:color="auto"/>
            </w:tcBorders>
            <w:shd w:val="clear" w:color="auto" w:fill="auto"/>
            <w:noWrap/>
          </w:tcPr>
          <w:p w14:paraId="4D753414" w14:textId="3A7C038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r>
      <w:tr w:rsidR="005E36B7" w:rsidRPr="005E36B7" w14:paraId="40340BA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4A9F4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N_33</w:t>
            </w:r>
          </w:p>
        </w:tc>
        <w:tc>
          <w:tcPr>
            <w:tcW w:w="5103" w:type="dxa"/>
            <w:tcBorders>
              <w:top w:val="nil"/>
              <w:left w:val="nil"/>
              <w:bottom w:val="single" w:sz="4" w:space="0" w:color="auto"/>
              <w:right w:val="single" w:sz="4" w:space="0" w:color="auto"/>
            </w:tcBorders>
            <w:shd w:val="clear" w:color="auto" w:fill="auto"/>
            <w:noWrap/>
            <w:vAlign w:val="bottom"/>
            <w:hideMark/>
          </w:tcPr>
          <w:p w14:paraId="05CE8B1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Charrua 500-&gt;Nueva Charrua 500</w:t>
            </w:r>
          </w:p>
        </w:tc>
        <w:tc>
          <w:tcPr>
            <w:tcW w:w="992" w:type="dxa"/>
            <w:tcBorders>
              <w:top w:val="nil"/>
              <w:left w:val="nil"/>
              <w:bottom w:val="single" w:sz="4" w:space="0" w:color="auto"/>
              <w:right w:val="single" w:sz="4" w:space="0" w:color="auto"/>
            </w:tcBorders>
            <w:shd w:val="clear" w:color="auto" w:fill="auto"/>
            <w:noWrap/>
          </w:tcPr>
          <w:p w14:paraId="5FB9DE45" w14:textId="42A1089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c>
          <w:tcPr>
            <w:tcW w:w="851" w:type="dxa"/>
            <w:tcBorders>
              <w:top w:val="nil"/>
              <w:left w:val="nil"/>
              <w:bottom w:val="single" w:sz="4" w:space="0" w:color="auto"/>
              <w:right w:val="single" w:sz="4" w:space="0" w:color="auto"/>
            </w:tcBorders>
            <w:shd w:val="clear" w:color="auto" w:fill="auto"/>
            <w:noWrap/>
          </w:tcPr>
          <w:p w14:paraId="7890E7C3" w14:textId="36D491C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c>
          <w:tcPr>
            <w:tcW w:w="992" w:type="dxa"/>
            <w:tcBorders>
              <w:top w:val="nil"/>
              <w:left w:val="nil"/>
              <w:bottom w:val="single" w:sz="4" w:space="0" w:color="auto"/>
              <w:right w:val="single" w:sz="4" w:space="0" w:color="auto"/>
            </w:tcBorders>
            <w:shd w:val="clear" w:color="auto" w:fill="auto"/>
            <w:noWrap/>
          </w:tcPr>
          <w:p w14:paraId="6A1816DA" w14:textId="13E96D3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0,74</w:t>
            </w:r>
          </w:p>
        </w:tc>
        <w:tc>
          <w:tcPr>
            <w:tcW w:w="992" w:type="dxa"/>
            <w:tcBorders>
              <w:top w:val="nil"/>
              <w:left w:val="nil"/>
              <w:bottom w:val="single" w:sz="4" w:space="0" w:color="auto"/>
              <w:right w:val="single" w:sz="4" w:space="0" w:color="auto"/>
            </w:tcBorders>
            <w:shd w:val="clear" w:color="auto" w:fill="auto"/>
            <w:noWrap/>
          </w:tcPr>
          <w:p w14:paraId="3931A281" w14:textId="7D0F9C5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0,26</w:t>
            </w:r>
          </w:p>
        </w:tc>
      </w:tr>
      <w:tr w:rsidR="005E36B7" w:rsidRPr="005E36B7" w14:paraId="4D94186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7AECE0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N_34</w:t>
            </w:r>
          </w:p>
        </w:tc>
        <w:tc>
          <w:tcPr>
            <w:tcW w:w="5103" w:type="dxa"/>
            <w:tcBorders>
              <w:top w:val="nil"/>
              <w:left w:val="nil"/>
              <w:bottom w:val="single" w:sz="4" w:space="0" w:color="auto"/>
              <w:right w:val="single" w:sz="4" w:space="0" w:color="auto"/>
            </w:tcBorders>
            <w:shd w:val="clear" w:color="auto" w:fill="auto"/>
            <w:noWrap/>
            <w:vAlign w:val="bottom"/>
            <w:hideMark/>
          </w:tcPr>
          <w:p w14:paraId="782267E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Chena 220-&gt;Neptuno 220</w:t>
            </w:r>
          </w:p>
        </w:tc>
        <w:tc>
          <w:tcPr>
            <w:tcW w:w="992" w:type="dxa"/>
            <w:tcBorders>
              <w:top w:val="nil"/>
              <w:left w:val="nil"/>
              <w:bottom w:val="single" w:sz="4" w:space="0" w:color="auto"/>
              <w:right w:val="single" w:sz="4" w:space="0" w:color="auto"/>
            </w:tcBorders>
            <w:shd w:val="clear" w:color="auto" w:fill="auto"/>
            <w:noWrap/>
          </w:tcPr>
          <w:p w14:paraId="5AFA3F06" w14:textId="5AEE7D4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0,29</w:t>
            </w:r>
          </w:p>
        </w:tc>
        <w:tc>
          <w:tcPr>
            <w:tcW w:w="851" w:type="dxa"/>
            <w:tcBorders>
              <w:top w:val="nil"/>
              <w:left w:val="nil"/>
              <w:bottom w:val="single" w:sz="4" w:space="0" w:color="auto"/>
              <w:right w:val="single" w:sz="4" w:space="0" w:color="auto"/>
            </w:tcBorders>
            <w:shd w:val="clear" w:color="auto" w:fill="auto"/>
            <w:noWrap/>
          </w:tcPr>
          <w:p w14:paraId="4D50A51E" w14:textId="0A487FA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0,71</w:t>
            </w:r>
          </w:p>
        </w:tc>
        <w:tc>
          <w:tcPr>
            <w:tcW w:w="992" w:type="dxa"/>
            <w:tcBorders>
              <w:top w:val="nil"/>
              <w:left w:val="nil"/>
              <w:bottom w:val="single" w:sz="4" w:space="0" w:color="auto"/>
              <w:right w:val="single" w:sz="4" w:space="0" w:color="auto"/>
            </w:tcBorders>
            <w:shd w:val="clear" w:color="auto" w:fill="auto"/>
            <w:noWrap/>
          </w:tcPr>
          <w:p w14:paraId="29DB44DE" w14:textId="1A57183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992" w:type="dxa"/>
            <w:tcBorders>
              <w:top w:val="nil"/>
              <w:left w:val="nil"/>
              <w:bottom w:val="single" w:sz="4" w:space="0" w:color="auto"/>
              <w:right w:val="single" w:sz="4" w:space="0" w:color="auto"/>
            </w:tcBorders>
            <w:shd w:val="clear" w:color="auto" w:fill="auto"/>
            <w:noWrap/>
          </w:tcPr>
          <w:p w14:paraId="5BEDD1BD" w14:textId="1A48E64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r>
      <w:tr w:rsidR="005E36B7" w:rsidRPr="005E36B7" w14:paraId="4509A30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77F71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N_35</w:t>
            </w:r>
          </w:p>
        </w:tc>
        <w:tc>
          <w:tcPr>
            <w:tcW w:w="5103" w:type="dxa"/>
            <w:tcBorders>
              <w:top w:val="nil"/>
              <w:left w:val="nil"/>
              <w:bottom w:val="single" w:sz="4" w:space="0" w:color="auto"/>
              <w:right w:val="single" w:sz="4" w:space="0" w:color="auto"/>
            </w:tcBorders>
            <w:shd w:val="clear" w:color="auto" w:fill="auto"/>
            <w:noWrap/>
            <w:vAlign w:val="bottom"/>
            <w:hideMark/>
          </w:tcPr>
          <w:p w14:paraId="264FDE0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Chena 220-&gt;Tap Central Santa Marta 220</w:t>
            </w:r>
          </w:p>
        </w:tc>
        <w:tc>
          <w:tcPr>
            <w:tcW w:w="992" w:type="dxa"/>
            <w:tcBorders>
              <w:top w:val="nil"/>
              <w:left w:val="nil"/>
              <w:bottom w:val="single" w:sz="4" w:space="0" w:color="auto"/>
              <w:right w:val="single" w:sz="4" w:space="0" w:color="auto"/>
            </w:tcBorders>
            <w:shd w:val="clear" w:color="auto" w:fill="auto"/>
            <w:noWrap/>
          </w:tcPr>
          <w:p w14:paraId="6105080F" w14:textId="79B7D62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c>
          <w:tcPr>
            <w:tcW w:w="851" w:type="dxa"/>
            <w:tcBorders>
              <w:top w:val="nil"/>
              <w:left w:val="nil"/>
              <w:bottom w:val="single" w:sz="4" w:space="0" w:color="auto"/>
              <w:right w:val="single" w:sz="4" w:space="0" w:color="auto"/>
            </w:tcBorders>
            <w:shd w:val="clear" w:color="auto" w:fill="auto"/>
            <w:noWrap/>
          </w:tcPr>
          <w:p w14:paraId="191301AA" w14:textId="1C9FD9F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c>
          <w:tcPr>
            <w:tcW w:w="992" w:type="dxa"/>
            <w:tcBorders>
              <w:top w:val="nil"/>
              <w:left w:val="nil"/>
              <w:bottom w:val="single" w:sz="4" w:space="0" w:color="auto"/>
              <w:right w:val="single" w:sz="4" w:space="0" w:color="auto"/>
            </w:tcBorders>
            <w:shd w:val="clear" w:color="auto" w:fill="auto"/>
            <w:noWrap/>
          </w:tcPr>
          <w:p w14:paraId="0933A4E9" w14:textId="3B79579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0,82</w:t>
            </w:r>
          </w:p>
        </w:tc>
        <w:tc>
          <w:tcPr>
            <w:tcW w:w="992" w:type="dxa"/>
            <w:tcBorders>
              <w:top w:val="nil"/>
              <w:left w:val="nil"/>
              <w:bottom w:val="single" w:sz="4" w:space="0" w:color="auto"/>
              <w:right w:val="single" w:sz="4" w:space="0" w:color="auto"/>
            </w:tcBorders>
            <w:shd w:val="clear" w:color="auto" w:fill="auto"/>
            <w:noWrap/>
          </w:tcPr>
          <w:p w14:paraId="1D4A436E" w14:textId="3922B9B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0,18</w:t>
            </w:r>
          </w:p>
        </w:tc>
      </w:tr>
      <w:tr w:rsidR="005E36B7" w:rsidRPr="005E36B7" w14:paraId="1D98CD3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DC156F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N_36</w:t>
            </w:r>
          </w:p>
        </w:tc>
        <w:tc>
          <w:tcPr>
            <w:tcW w:w="5103" w:type="dxa"/>
            <w:tcBorders>
              <w:top w:val="nil"/>
              <w:left w:val="nil"/>
              <w:bottom w:val="single" w:sz="4" w:space="0" w:color="auto"/>
              <w:right w:val="single" w:sz="4" w:space="0" w:color="auto"/>
            </w:tcBorders>
            <w:shd w:val="clear" w:color="auto" w:fill="auto"/>
            <w:noWrap/>
            <w:vAlign w:val="bottom"/>
            <w:hideMark/>
          </w:tcPr>
          <w:p w14:paraId="1D31CD0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Chiloe 220-&gt;Nueva Ancud 220</w:t>
            </w:r>
          </w:p>
        </w:tc>
        <w:tc>
          <w:tcPr>
            <w:tcW w:w="992" w:type="dxa"/>
            <w:tcBorders>
              <w:top w:val="nil"/>
              <w:left w:val="nil"/>
              <w:bottom w:val="single" w:sz="4" w:space="0" w:color="auto"/>
              <w:right w:val="single" w:sz="4" w:space="0" w:color="auto"/>
            </w:tcBorders>
            <w:shd w:val="clear" w:color="auto" w:fill="auto"/>
            <w:noWrap/>
          </w:tcPr>
          <w:p w14:paraId="1A94093F" w14:textId="043B643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0,16</w:t>
            </w:r>
          </w:p>
        </w:tc>
        <w:tc>
          <w:tcPr>
            <w:tcW w:w="851" w:type="dxa"/>
            <w:tcBorders>
              <w:top w:val="nil"/>
              <w:left w:val="nil"/>
              <w:bottom w:val="single" w:sz="4" w:space="0" w:color="auto"/>
              <w:right w:val="single" w:sz="4" w:space="0" w:color="auto"/>
            </w:tcBorders>
            <w:shd w:val="clear" w:color="auto" w:fill="auto"/>
            <w:noWrap/>
          </w:tcPr>
          <w:p w14:paraId="3C337F18" w14:textId="7581724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0,84</w:t>
            </w:r>
          </w:p>
        </w:tc>
        <w:tc>
          <w:tcPr>
            <w:tcW w:w="992" w:type="dxa"/>
            <w:tcBorders>
              <w:top w:val="nil"/>
              <w:left w:val="nil"/>
              <w:bottom w:val="single" w:sz="4" w:space="0" w:color="auto"/>
              <w:right w:val="single" w:sz="4" w:space="0" w:color="auto"/>
            </w:tcBorders>
            <w:shd w:val="clear" w:color="auto" w:fill="auto"/>
            <w:noWrap/>
          </w:tcPr>
          <w:p w14:paraId="1E9F80F4" w14:textId="020A83F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0,19</w:t>
            </w:r>
          </w:p>
        </w:tc>
        <w:tc>
          <w:tcPr>
            <w:tcW w:w="992" w:type="dxa"/>
            <w:tcBorders>
              <w:top w:val="nil"/>
              <w:left w:val="nil"/>
              <w:bottom w:val="single" w:sz="4" w:space="0" w:color="auto"/>
              <w:right w:val="single" w:sz="4" w:space="0" w:color="auto"/>
            </w:tcBorders>
            <w:shd w:val="clear" w:color="auto" w:fill="auto"/>
            <w:noWrap/>
          </w:tcPr>
          <w:p w14:paraId="6822E42F" w14:textId="687435D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0,81</w:t>
            </w:r>
          </w:p>
        </w:tc>
      </w:tr>
      <w:tr w:rsidR="005E36B7" w:rsidRPr="005E36B7" w14:paraId="4D1F9CC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A05B7A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N_37</w:t>
            </w:r>
          </w:p>
        </w:tc>
        <w:tc>
          <w:tcPr>
            <w:tcW w:w="5103" w:type="dxa"/>
            <w:tcBorders>
              <w:top w:val="nil"/>
              <w:left w:val="nil"/>
              <w:bottom w:val="single" w:sz="4" w:space="0" w:color="auto"/>
              <w:right w:val="single" w:sz="4" w:space="0" w:color="auto"/>
            </w:tcBorders>
            <w:shd w:val="clear" w:color="auto" w:fill="auto"/>
            <w:noWrap/>
            <w:vAlign w:val="bottom"/>
            <w:hideMark/>
          </w:tcPr>
          <w:p w14:paraId="186296F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Chuquicamata 220-&gt;Nueva Chuquicamata 220</w:t>
            </w:r>
          </w:p>
        </w:tc>
        <w:tc>
          <w:tcPr>
            <w:tcW w:w="992" w:type="dxa"/>
            <w:tcBorders>
              <w:top w:val="nil"/>
              <w:left w:val="nil"/>
              <w:bottom w:val="single" w:sz="4" w:space="0" w:color="auto"/>
              <w:right w:val="single" w:sz="4" w:space="0" w:color="auto"/>
            </w:tcBorders>
            <w:shd w:val="clear" w:color="auto" w:fill="auto"/>
            <w:noWrap/>
          </w:tcPr>
          <w:p w14:paraId="19468F1F" w14:textId="4D41BCD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c>
          <w:tcPr>
            <w:tcW w:w="851" w:type="dxa"/>
            <w:tcBorders>
              <w:top w:val="nil"/>
              <w:left w:val="nil"/>
              <w:bottom w:val="single" w:sz="4" w:space="0" w:color="auto"/>
              <w:right w:val="single" w:sz="4" w:space="0" w:color="auto"/>
            </w:tcBorders>
            <w:shd w:val="clear" w:color="auto" w:fill="auto"/>
            <w:noWrap/>
          </w:tcPr>
          <w:p w14:paraId="42ED68BC" w14:textId="6DF759A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992" w:type="dxa"/>
            <w:tcBorders>
              <w:top w:val="nil"/>
              <w:left w:val="nil"/>
              <w:bottom w:val="single" w:sz="4" w:space="0" w:color="auto"/>
              <w:right w:val="single" w:sz="4" w:space="0" w:color="auto"/>
            </w:tcBorders>
            <w:shd w:val="clear" w:color="auto" w:fill="auto"/>
            <w:noWrap/>
          </w:tcPr>
          <w:p w14:paraId="28D7D149" w14:textId="45364C2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0,91</w:t>
            </w:r>
          </w:p>
        </w:tc>
        <w:tc>
          <w:tcPr>
            <w:tcW w:w="992" w:type="dxa"/>
            <w:tcBorders>
              <w:top w:val="nil"/>
              <w:left w:val="nil"/>
              <w:bottom w:val="single" w:sz="4" w:space="0" w:color="auto"/>
              <w:right w:val="single" w:sz="4" w:space="0" w:color="auto"/>
            </w:tcBorders>
            <w:shd w:val="clear" w:color="auto" w:fill="auto"/>
            <w:noWrap/>
          </w:tcPr>
          <w:p w14:paraId="7A84A0F4" w14:textId="4F1560B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0,09</w:t>
            </w:r>
          </w:p>
        </w:tc>
      </w:tr>
      <w:tr w:rsidR="005E36B7" w:rsidRPr="005E36B7" w14:paraId="3623C30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0CDC2E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N_38</w:t>
            </w:r>
          </w:p>
        </w:tc>
        <w:tc>
          <w:tcPr>
            <w:tcW w:w="5103" w:type="dxa"/>
            <w:tcBorders>
              <w:top w:val="nil"/>
              <w:left w:val="nil"/>
              <w:bottom w:val="single" w:sz="4" w:space="0" w:color="auto"/>
              <w:right w:val="single" w:sz="4" w:space="0" w:color="auto"/>
            </w:tcBorders>
            <w:shd w:val="clear" w:color="auto" w:fill="auto"/>
            <w:noWrap/>
            <w:vAlign w:val="bottom"/>
            <w:hideMark/>
          </w:tcPr>
          <w:p w14:paraId="00B9E3A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Ciruelos 220-&gt;Cerros de Huichahue 220</w:t>
            </w:r>
          </w:p>
        </w:tc>
        <w:tc>
          <w:tcPr>
            <w:tcW w:w="992" w:type="dxa"/>
            <w:tcBorders>
              <w:top w:val="nil"/>
              <w:left w:val="nil"/>
              <w:bottom w:val="single" w:sz="4" w:space="0" w:color="auto"/>
              <w:right w:val="single" w:sz="4" w:space="0" w:color="auto"/>
            </w:tcBorders>
            <w:shd w:val="clear" w:color="auto" w:fill="auto"/>
            <w:noWrap/>
          </w:tcPr>
          <w:p w14:paraId="765EE35D" w14:textId="022B5A4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0,03</w:t>
            </w:r>
          </w:p>
        </w:tc>
        <w:tc>
          <w:tcPr>
            <w:tcW w:w="851" w:type="dxa"/>
            <w:tcBorders>
              <w:top w:val="nil"/>
              <w:left w:val="nil"/>
              <w:bottom w:val="single" w:sz="4" w:space="0" w:color="auto"/>
              <w:right w:val="single" w:sz="4" w:space="0" w:color="auto"/>
            </w:tcBorders>
            <w:shd w:val="clear" w:color="auto" w:fill="auto"/>
            <w:noWrap/>
          </w:tcPr>
          <w:p w14:paraId="3145705B" w14:textId="5433A99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0,97</w:t>
            </w:r>
          </w:p>
        </w:tc>
        <w:tc>
          <w:tcPr>
            <w:tcW w:w="992" w:type="dxa"/>
            <w:tcBorders>
              <w:top w:val="nil"/>
              <w:left w:val="nil"/>
              <w:bottom w:val="single" w:sz="4" w:space="0" w:color="auto"/>
              <w:right w:val="single" w:sz="4" w:space="0" w:color="auto"/>
            </w:tcBorders>
            <w:shd w:val="clear" w:color="auto" w:fill="auto"/>
            <w:noWrap/>
          </w:tcPr>
          <w:p w14:paraId="4FF424F4" w14:textId="5CFED8F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0,05</w:t>
            </w:r>
          </w:p>
        </w:tc>
        <w:tc>
          <w:tcPr>
            <w:tcW w:w="992" w:type="dxa"/>
            <w:tcBorders>
              <w:top w:val="nil"/>
              <w:left w:val="nil"/>
              <w:bottom w:val="single" w:sz="4" w:space="0" w:color="auto"/>
              <w:right w:val="single" w:sz="4" w:space="0" w:color="auto"/>
            </w:tcBorders>
            <w:shd w:val="clear" w:color="auto" w:fill="auto"/>
            <w:noWrap/>
          </w:tcPr>
          <w:p w14:paraId="643A92EF" w14:textId="37D70A1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0,95</w:t>
            </w:r>
          </w:p>
        </w:tc>
      </w:tr>
      <w:tr w:rsidR="005E36B7" w:rsidRPr="005E36B7" w14:paraId="2A6026A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4FE969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N_39</w:t>
            </w:r>
          </w:p>
        </w:tc>
        <w:tc>
          <w:tcPr>
            <w:tcW w:w="5103" w:type="dxa"/>
            <w:tcBorders>
              <w:top w:val="nil"/>
              <w:left w:val="nil"/>
              <w:bottom w:val="single" w:sz="4" w:space="0" w:color="auto"/>
              <w:right w:val="single" w:sz="4" w:space="0" w:color="auto"/>
            </w:tcBorders>
            <w:shd w:val="clear" w:color="auto" w:fill="auto"/>
            <w:noWrap/>
            <w:vAlign w:val="bottom"/>
            <w:hideMark/>
          </w:tcPr>
          <w:p w14:paraId="05E4535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Ciruelos 220-&gt;Lastarria 220</w:t>
            </w:r>
          </w:p>
        </w:tc>
        <w:tc>
          <w:tcPr>
            <w:tcW w:w="992" w:type="dxa"/>
            <w:tcBorders>
              <w:top w:val="nil"/>
              <w:left w:val="nil"/>
              <w:bottom w:val="single" w:sz="4" w:space="0" w:color="auto"/>
              <w:right w:val="single" w:sz="4" w:space="0" w:color="auto"/>
            </w:tcBorders>
            <w:shd w:val="clear" w:color="auto" w:fill="auto"/>
            <w:noWrap/>
          </w:tcPr>
          <w:p w14:paraId="235EB9DB" w14:textId="4FAA3C2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0,31</w:t>
            </w:r>
          </w:p>
        </w:tc>
        <w:tc>
          <w:tcPr>
            <w:tcW w:w="851" w:type="dxa"/>
            <w:tcBorders>
              <w:top w:val="nil"/>
              <w:left w:val="nil"/>
              <w:bottom w:val="single" w:sz="4" w:space="0" w:color="auto"/>
              <w:right w:val="single" w:sz="4" w:space="0" w:color="auto"/>
            </w:tcBorders>
            <w:shd w:val="clear" w:color="auto" w:fill="auto"/>
            <w:noWrap/>
          </w:tcPr>
          <w:p w14:paraId="040CBA57" w14:textId="50D2F91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0,69</w:t>
            </w:r>
          </w:p>
        </w:tc>
        <w:tc>
          <w:tcPr>
            <w:tcW w:w="992" w:type="dxa"/>
            <w:tcBorders>
              <w:top w:val="nil"/>
              <w:left w:val="nil"/>
              <w:bottom w:val="single" w:sz="4" w:space="0" w:color="auto"/>
              <w:right w:val="single" w:sz="4" w:space="0" w:color="auto"/>
            </w:tcBorders>
            <w:shd w:val="clear" w:color="auto" w:fill="auto"/>
            <w:noWrap/>
          </w:tcPr>
          <w:p w14:paraId="77553C6C" w14:textId="48ABAFE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c>
          <w:tcPr>
            <w:tcW w:w="992" w:type="dxa"/>
            <w:tcBorders>
              <w:top w:val="nil"/>
              <w:left w:val="nil"/>
              <w:bottom w:val="single" w:sz="4" w:space="0" w:color="auto"/>
              <w:right w:val="single" w:sz="4" w:space="0" w:color="auto"/>
            </w:tcBorders>
            <w:shd w:val="clear" w:color="auto" w:fill="auto"/>
            <w:noWrap/>
          </w:tcPr>
          <w:p w14:paraId="1BFBEA81" w14:textId="7D8890C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r>
      <w:tr w:rsidR="005E36B7" w:rsidRPr="005E36B7" w14:paraId="66A7347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B80C6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N_40</w:t>
            </w:r>
          </w:p>
        </w:tc>
        <w:tc>
          <w:tcPr>
            <w:tcW w:w="5103" w:type="dxa"/>
            <w:tcBorders>
              <w:top w:val="nil"/>
              <w:left w:val="nil"/>
              <w:bottom w:val="single" w:sz="4" w:space="0" w:color="auto"/>
              <w:right w:val="single" w:sz="4" w:space="0" w:color="auto"/>
            </w:tcBorders>
            <w:shd w:val="clear" w:color="auto" w:fill="auto"/>
            <w:noWrap/>
            <w:vAlign w:val="bottom"/>
            <w:hideMark/>
          </w:tcPr>
          <w:p w14:paraId="40C040D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Ciruelos 220-&gt;Valdivia 220</w:t>
            </w:r>
          </w:p>
        </w:tc>
        <w:tc>
          <w:tcPr>
            <w:tcW w:w="992" w:type="dxa"/>
            <w:tcBorders>
              <w:top w:val="nil"/>
              <w:left w:val="nil"/>
              <w:bottom w:val="single" w:sz="4" w:space="0" w:color="auto"/>
              <w:right w:val="single" w:sz="4" w:space="0" w:color="auto"/>
            </w:tcBorders>
            <w:shd w:val="clear" w:color="auto" w:fill="auto"/>
            <w:noWrap/>
          </w:tcPr>
          <w:p w14:paraId="2A84D3F2" w14:textId="7B27FEC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851" w:type="dxa"/>
            <w:tcBorders>
              <w:top w:val="nil"/>
              <w:left w:val="nil"/>
              <w:bottom w:val="single" w:sz="4" w:space="0" w:color="auto"/>
              <w:right w:val="single" w:sz="4" w:space="0" w:color="auto"/>
            </w:tcBorders>
            <w:shd w:val="clear" w:color="auto" w:fill="auto"/>
            <w:noWrap/>
          </w:tcPr>
          <w:p w14:paraId="44C3C235" w14:textId="486637A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24FE362F" w14:textId="14725C1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47717520" w14:textId="02437DF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r>
      <w:tr w:rsidR="005E36B7" w:rsidRPr="005E36B7" w14:paraId="79785EC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794FCB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N_41</w:t>
            </w:r>
          </w:p>
        </w:tc>
        <w:tc>
          <w:tcPr>
            <w:tcW w:w="5103" w:type="dxa"/>
            <w:tcBorders>
              <w:top w:val="nil"/>
              <w:left w:val="nil"/>
              <w:bottom w:val="single" w:sz="4" w:space="0" w:color="auto"/>
              <w:right w:val="single" w:sz="4" w:space="0" w:color="auto"/>
            </w:tcBorders>
            <w:shd w:val="clear" w:color="auto" w:fill="auto"/>
            <w:noWrap/>
            <w:vAlign w:val="bottom"/>
            <w:hideMark/>
          </w:tcPr>
          <w:p w14:paraId="69AFF4D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Condores 220-&gt;Parinacota 220</w:t>
            </w:r>
          </w:p>
        </w:tc>
        <w:tc>
          <w:tcPr>
            <w:tcW w:w="992" w:type="dxa"/>
            <w:tcBorders>
              <w:top w:val="nil"/>
              <w:left w:val="nil"/>
              <w:bottom w:val="single" w:sz="4" w:space="0" w:color="auto"/>
              <w:right w:val="single" w:sz="4" w:space="0" w:color="auto"/>
            </w:tcBorders>
            <w:shd w:val="clear" w:color="auto" w:fill="auto"/>
            <w:noWrap/>
          </w:tcPr>
          <w:p w14:paraId="1E5189D8" w14:textId="7244AC5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0,26</w:t>
            </w:r>
          </w:p>
        </w:tc>
        <w:tc>
          <w:tcPr>
            <w:tcW w:w="851" w:type="dxa"/>
            <w:tcBorders>
              <w:top w:val="nil"/>
              <w:left w:val="nil"/>
              <w:bottom w:val="single" w:sz="4" w:space="0" w:color="auto"/>
              <w:right w:val="single" w:sz="4" w:space="0" w:color="auto"/>
            </w:tcBorders>
            <w:shd w:val="clear" w:color="auto" w:fill="auto"/>
            <w:noWrap/>
          </w:tcPr>
          <w:p w14:paraId="3921E8DA" w14:textId="4F93B11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0,74</w:t>
            </w:r>
          </w:p>
        </w:tc>
        <w:tc>
          <w:tcPr>
            <w:tcW w:w="992" w:type="dxa"/>
            <w:tcBorders>
              <w:top w:val="nil"/>
              <w:left w:val="nil"/>
              <w:bottom w:val="single" w:sz="4" w:space="0" w:color="auto"/>
              <w:right w:val="single" w:sz="4" w:space="0" w:color="auto"/>
            </w:tcBorders>
            <w:shd w:val="clear" w:color="auto" w:fill="auto"/>
            <w:noWrap/>
          </w:tcPr>
          <w:p w14:paraId="64EED4AD" w14:textId="6FFD8E1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0,40</w:t>
            </w:r>
          </w:p>
        </w:tc>
        <w:tc>
          <w:tcPr>
            <w:tcW w:w="992" w:type="dxa"/>
            <w:tcBorders>
              <w:top w:val="nil"/>
              <w:left w:val="nil"/>
              <w:bottom w:val="single" w:sz="4" w:space="0" w:color="auto"/>
              <w:right w:val="single" w:sz="4" w:space="0" w:color="auto"/>
            </w:tcBorders>
            <w:shd w:val="clear" w:color="auto" w:fill="auto"/>
            <w:noWrap/>
          </w:tcPr>
          <w:p w14:paraId="3961D6C0" w14:textId="6D4177F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0,60</w:t>
            </w:r>
          </w:p>
        </w:tc>
      </w:tr>
      <w:tr w:rsidR="005E36B7" w:rsidRPr="005E36B7" w14:paraId="31F8C86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9D9397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N_42</w:t>
            </w:r>
          </w:p>
        </w:tc>
        <w:tc>
          <w:tcPr>
            <w:tcW w:w="5103" w:type="dxa"/>
            <w:tcBorders>
              <w:top w:val="nil"/>
              <w:left w:val="nil"/>
              <w:bottom w:val="single" w:sz="4" w:space="0" w:color="auto"/>
              <w:right w:val="single" w:sz="4" w:space="0" w:color="auto"/>
            </w:tcBorders>
            <w:shd w:val="clear" w:color="auto" w:fill="auto"/>
            <w:noWrap/>
            <w:vAlign w:val="bottom"/>
            <w:hideMark/>
          </w:tcPr>
          <w:p w14:paraId="3D7E21D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Crucero 220-&gt;Kimal 220</w:t>
            </w:r>
          </w:p>
        </w:tc>
        <w:tc>
          <w:tcPr>
            <w:tcW w:w="992" w:type="dxa"/>
            <w:tcBorders>
              <w:top w:val="nil"/>
              <w:left w:val="nil"/>
              <w:bottom w:val="single" w:sz="4" w:space="0" w:color="auto"/>
              <w:right w:val="single" w:sz="4" w:space="0" w:color="auto"/>
            </w:tcBorders>
            <w:shd w:val="clear" w:color="auto" w:fill="auto"/>
            <w:noWrap/>
          </w:tcPr>
          <w:p w14:paraId="2AE4CA89" w14:textId="03A4877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263AC1AA" w14:textId="59EDAB6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37244CB5" w14:textId="0DD4AF9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c>
          <w:tcPr>
            <w:tcW w:w="992" w:type="dxa"/>
            <w:tcBorders>
              <w:top w:val="nil"/>
              <w:left w:val="nil"/>
              <w:bottom w:val="single" w:sz="4" w:space="0" w:color="auto"/>
              <w:right w:val="single" w:sz="4" w:space="0" w:color="auto"/>
            </w:tcBorders>
            <w:shd w:val="clear" w:color="auto" w:fill="auto"/>
            <w:noWrap/>
          </w:tcPr>
          <w:p w14:paraId="069F8D34" w14:textId="335FDC7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r>
      <w:tr w:rsidR="005E36B7" w:rsidRPr="005E36B7" w14:paraId="7FD38FA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02BE57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N_43</w:t>
            </w:r>
          </w:p>
        </w:tc>
        <w:tc>
          <w:tcPr>
            <w:tcW w:w="5103" w:type="dxa"/>
            <w:tcBorders>
              <w:top w:val="nil"/>
              <w:left w:val="nil"/>
              <w:bottom w:val="single" w:sz="4" w:space="0" w:color="auto"/>
              <w:right w:val="single" w:sz="4" w:space="0" w:color="auto"/>
            </w:tcBorders>
            <w:shd w:val="clear" w:color="auto" w:fill="auto"/>
            <w:noWrap/>
            <w:vAlign w:val="bottom"/>
            <w:hideMark/>
          </w:tcPr>
          <w:p w14:paraId="1F0ED0D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Cumbre 500-&gt;Nueva Cardones 500</w:t>
            </w:r>
          </w:p>
        </w:tc>
        <w:tc>
          <w:tcPr>
            <w:tcW w:w="992" w:type="dxa"/>
            <w:tcBorders>
              <w:top w:val="nil"/>
              <w:left w:val="nil"/>
              <w:bottom w:val="single" w:sz="4" w:space="0" w:color="auto"/>
              <w:right w:val="single" w:sz="4" w:space="0" w:color="auto"/>
            </w:tcBorders>
            <w:shd w:val="clear" w:color="auto" w:fill="auto"/>
            <w:noWrap/>
          </w:tcPr>
          <w:p w14:paraId="166F5E78" w14:textId="7F98863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0,12</w:t>
            </w:r>
          </w:p>
        </w:tc>
        <w:tc>
          <w:tcPr>
            <w:tcW w:w="851" w:type="dxa"/>
            <w:tcBorders>
              <w:top w:val="nil"/>
              <w:left w:val="nil"/>
              <w:bottom w:val="single" w:sz="4" w:space="0" w:color="auto"/>
              <w:right w:val="single" w:sz="4" w:space="0" w:color="auto"/>
            </w:tcBorders>
            <w:shd w:val="clear" w:color="auto" w:fill="auto"/>
            <w:noWrap/>
          </w:tcPr>
          <w:p w14:paraId="4987CD34" w14:textId="1961911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0,88</w:t>
            </w:r>
          </w:p>
        </w:tc>
        <w:tc>
          <w:tcPr>
            <w:tcW w:w="992" w:type="dxa"/>
            <w:tcBorders>
              <w:top w:val="nil"/>
              <w:left w:val="nil"/>
              <w:bottom w:val="single" w:sz="4" w:space="0" w:color="auto"/>
              <w:right w:val="single" w:sz="4" w:space="0" w:color="auto"/>
            </w:tcBorders>
            <w:shd w:val="clear" w:color="auto" w:fill="auto"/>
            <w:noWrap/>
          </w:tcPr>
          <w:p w14:paraId="79D812C9" w14:textId="4F07361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0,18</w:t>
            </w:r>
          </w:p>
        </w:tc>
        <w:tc>
          <w:tcPr>
            <w:tcW w:w="992" w:type="dxa"/>
            <w:tcBorders>
              <w:top w:val="nil"/>
              <w:left w:val="nil"/>
              <w:bottom w:val="single" w:sz="4" w:space="0" w:color="auto"/>
              <w:right w:val="single" w:sz="4" w:space="0" w:color="auto"/>
            </w:tcBorders>
            <w:shd w:val="clear" w:color="auto" w:fill="auto"/>
            <w:noWrap/>
          </w:tcPr>
          <w:p w14:paraId="7155B37C" w14:textId="62B2959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0,82</w:t>
            </w:r>
          </w:p>
        </w:tc>
      </w:tr>
      <w:tr w:rsidR="005E36B7" w:rsidRPr="005E36B7" w14:paraId="0B561E0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3B2AB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N_44</w:t>
            </w:r>
          </w:p>
        </w:tc>
        <w:tc>
          <w:tcPr>
            <w:tcW w:w="5103" w:type="dxa"/>
            <w:tcBorders>
              <w:top w:val="nil"/>
              <w:left w:val="nil"/>
              <w:bottom w:val="single" w:sz="4" w:space="0" w:color="auto"/>
              <w:right w:val="single" w:sz="4" w:space="0" w:color="auto"/>
            </w:tcBorders>
            <w:shd w:val="clear" w:color="auto" w:fill="auto"/>
            <w:noWrap/>
            <w:vAlign w:val="bottom"/>
            <w:hideMark/>
          </w:tcPr>
          <w:p w14:paraId="62E2DD7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Don Goyo 220-&gt;La Cebada 220</w:t>
            </w:r>
          </w:p>
        </w:tc>
        <w:tc>
          <w:tcPr>
            <w:tcW w:w="992" w:type="dxa"/>
            <w:tcBorders>
              <w:top w:val="nil"/>
              <w:left w:val="nil"/>
              <w:bottom w:val="single" w:sz="4" w:space="0" w:color="auto"/>
              <w:right w:val="single" w:sz="4" w:space="0" w:color="auto"/>
            </w:tcBorders>
            <w:shd w:val="clear" w:color="auto" w:fill="auto"/>
            <w:noWrap/>
          </w:tcPr>
          <w:p w14:paraId="3455F09F" w14:textId="782203D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0,28</w:t>
            </w:r>
          </w:p>
        </w:tc>
        <w:tc>
          <w:tcPr>
            <w:tcW w:w="851" w:type="dxa"/>
            <w:tcBorders>
              <w:top w:val="nil"/>
              <w:left w:val="nil"/>
              <w:bottom w:val="single" w:sz="4" w:space="0" w:color="auto"/>
              <w:right w:val="single" w:sz="4" w:space="0" w:color="auto"/>
            </w:tcBorders>
            <w:shd w:val="clear" w:color="auto" w:fill="auto"/>
            <w:noWrap/>
          </w:tcPr>
          <w:p w14:paraId="5FFCE2EB" w14:textId="4BFA599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0,72</w:t>
            </w:r>
          </w:p>
        </w:tc>
        <w:tc>
          <w:tcPr>
            <w:tcW w:w="992" w:type="dxa"/>
            <w:tcBorders>
              <w:top w:val="nil"/>
              <w:left w:val="nil"/>
              <w:bottom w:val="single" w:sz="4" w:space="0" w:color="auto"/>
              <w:right w:val="single" w:sz="4" w:space="0" w:color="auto"/>
            </w:tcBorders>
            <w:shd w:val="clear" w:color="auto" w:fill="auto"/>
            <w:noWrap/>
          </w:tcPr>
          <w:p w14:paraId="039A4570" w14:textId="5E4B29A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0,39</w:t>
            </w:r>
          </w:p>
        </w:tc>
        <w:tc>
          <w:tcPr>
            <w:tcW w:w="992" w:type="dxa"/>
            <w:tcBorders>
              <w:top w:val="nil"/>
              <w:left w:val="nil"/>
              <w:bottom w:val="single" w:sz="4" w:space="0" w:color="auto"/>
              <w:right w:val="single" w:sz="4" w:space="0" w:color="auto"/>
            </w:tcBorders>
            <w:shd w:val="clear" w:color="auto" w:fill="auto"/>
            <w:noWrap/>
          </w:tcPr>
          <w:p w14:paraId="50669B06" w14:textId="0489CFE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0,61</w:t>
            </w:r>
          </w:p>
        </w:tc>
      </w:tr>
      <w:tr w:rsidR="005E36B7" w:rsidRPr="005E36B7" w14:paraId="1B720E7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1C9EAA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N_45</w:t>
            </w:r>
          </w:p>
        </w:tc>
        <w:tc>
          <w:tcPr>
            <w:tcW w:w="5103" w:type="dxa"/>
            <w:tcBorders>
              <w:top w:val="nil"/>
              <w:left w:val="nil"/>
              <w:bottom w:val="single" w:sz="4" w:space="0" w:color="auto"/>
              <w:right w:val="single" w:sz="4" w:space="0" w:color="auto"/>
            </w:tcBorders>
            <w:shd w:val="clear" w:color="auto" w:fill="auto"/>
            <w:noWrap/>
            <w:vAlign w:val="bottom"/>
            <w:hideMark/>
          </w:tcPr>
          <w:p w14:paraId="3A3AC2E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Don Hector 220-&gt;Punta Colorada 220</w:t>
            </w:r>
          </w:p>
        </w:tc>
        <w:tc>
          <w:tcPr>
            <w:tcW w:w="992" w:type="dxa"/>
            <w:tcBorders>
              <w:top w:val="nil"/>
              <w:left w:val="nil"/>
              <w:bottom w:val="single" w:sz="4" w:space="0" w:color="auto"/>
              <w:right w:val="single" w:sz="4" w:space="0" w:color="auto"/>
            </w:tcBorders>
            <w:shd w:val="clear" w:color="auto" w:fill="auto"/>
            <w:noWrap/>
          </w:tcPr>
          <w:p w14:paraId="7B551740" w14:textId="35FA6BE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0,50</w:t>
            </w:r>
          </w:p>
        </w:tc>
        <w:tc>
          <w:tcPr>
            <w:tcW w:w="851" w:type="dxa"/>
            <w:tcBorders>
              <w:top w:val="nil"/>
              <w:left w:val="nil"/>
              <w:bottom w:val="single" w:sz="4" w:space="0" w:color="auto"/>
              <w:right w:val="single" w:sz="4" w:space="0" w:color="auto"/>
            </w:tcBorders>
            <w:shd w:val="clear" w:color="auto" w:fill="auto"/>
            <w:noWrap/>
          </w:tcPr>
          <w:p w14:paraId="0A69ED96" w14:textId="630B18B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0,50</w:t>
            </w:r>
          </w:p>
        </w:tc>
        <w:tc>
          <w:tcPr>
            <w:tcW w:w="992" w:type="dxa"/>
            <w:tcBorders>
              <w:top w:val="nil"/>
              <w:left w:val="nil"/>
              <w:bottom w:val="single" w:sz="4" w:space="0" w:color="auto"/>
              <w:right w:val="single" w:sz="4" w:space="0" w:color="auto"/>
            </w:tcBorders>
            <w:shd w:val="clear" w:color="auto" w:fill="auto"/>
            <w:noWrap/>
          </w:tcPr>
          <w:p w14:paraId="1CCC465F" w14:textId="3BC1335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c>
          <w:tcPr>
            <w:tcW w:w="992" w:type="dxa"/>
            <w:tcBorders>
              <w:top w:val="nil"/>
              <w:left w:val="nil"/>
              <w:bottom w:val="single" w:sz="4" w:space="0" w:color="auto"/>
              <w:right w:val="single" w:sz="4" w:space="0" w:color="auto"/>
            </w:tcBorders>
            <w:shd w:val="clear" w:color="auto" w:fill="auto"/>
            <w:noWrap/>
          </w:tcPr>
          <w:p w14:paraId="63B46ACC" w14:textId="7DDACC1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r>
      <w:tr w:rsidR="005E36B7" w:rsidRPr="005E36B7" w14:paraId="3CF29AC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1A1DCD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N_46</w:t>
            </w:r>
          </w:p>
        </w:tc>
        <w:tc>
          <w:tcPr>
            <w:tcW w:w="5103" w:type="dxa"/>
            <w:tcBorders>
              <w:top w:val="nil"/>
              <w:left w:val="nil"/>
              <w:bottom w:val="single" w:sz="4" w:space="0" w:color="auto"/>
              <w:right w:val="single" w:sz="4" w:space="0" w:color="auto"/>
            </w:tcBorders>
            <w:shd w:val="clear" w:color="auto" w:fill="auto"/>
            <w:noWrap/>
            <w:vAlign w:val="bottom"/>
            <w:hideMark/>
          </w:tcPr>
          <w:p w14:paraId="39A14C3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Duqueco 220-&gt;Bureo 220</w:t>
            </w:r>
          </w:p>
        </w:tc>
        <w:tc>
          <w:tcPr>
            <w:tcW w:w="992" w:type="dxa"/>
            <w:tcBorders>
              <w:top w:val="nil"/>
              <w:left w:val="nil"/>
              <w:bottom w:val="single" w:sz="4" w:space="0" w:color="auto"/>
              <w:right w:val="single" w:sz="4" w:space="0" w:color="auto"/>
            </w:tcBorders>
            <w:shd w:val="clear" w:color="auto" w:fill="auto"/>
            <w:noWrap/>
          </w:tcPr>
          <w:p w14:paraId="7BF5B158" w14:textId="4DD59A5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c>
          <w:tcPr>
            <w:tcW w:w="851" w:type="dxa"/>
            <w:tcBorders>
              <w:top w:val="nil"/>
              <w:left w:val="nil"/>
              <w:bottom w:val="single" w:sz="4" w:space="0" w:color="auto"/>
              <w:right w:val="single" w:sz="4" w:space="0" w:color="auto"/>
            </w:tcBorders>
            <w:shd w:val="clear" w:color="auto" w:fill="auto"/>
            <w:noWrap/>
          </w:tcPr>
          <w:p w14:paraId="1BA180B2" w14:textId="168F477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c>
          <w:tcPr>
            <w:tcW w:w="992" w:type="dxa"/>
            <w:tcBorders>
              <w:top w:val="nil"/>
              <w:left w:val="nil"/>
              <w:bottom w:val="single" w:sz="4" w:space="0" w:color="auto"/>
              <w:right w:val="single" w:sz="4" w:space="0" w:color="auto"/>
            </w:tcBorders>
            <w:shd w:val="clear" w:color="auto" w:fill="auto"/>
            <w:noWrap/>
          </w:tcPr>
          <w:p w14:paraId="1DD2ECBB" w14:textId="11B6434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0,64</w:t>
            </w:r>
          </w:p>
        </w:tc>
        <w:tc>
          <w:tcPr>
            <w:tcW w:w="992" w:type="dxa"/>
            <w:tcBorders>
              <w:top w:val="nil"/>
              <w:left w:val="nil"/>
              <w:bottom w:val="single" w:sz="4" w:space="0" w:color="auto"/>
              <w:right w:val="single" w:sz="4" w:space="0" w:color="auto"/>
            </w:tcBorders>
            <w:shd w:val="clear" w:color="auto" w:fill="auto"/>
            <w:noWrap/>
          </w:tcPr>
          <w:p w14:paraId="3FD08106" w14:textId="183EDAF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0,36</w:t>
            </w:r>
          </w:p>
        </w:tc>
      </w:tr>
      <w:tr w:rsidR="005E36B7" w:rsidRPr="005E36B7" w14:paraId="3BF5563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2285E5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N_47</w:t>
            </w:r>
          </w:p>
        </w:tc>
        <w:tc>
          <w:tcPr>
            <w:tcW w:w="5103" w:type="dxa"/>
            <w:tcBorders>
              <w:top w:val="nil"/>
              <w:left w:val="nil"/>
              <w:bottom w:val="single" w:sz="4" w:space="0" w:color="auto"/>
              <w:right w:val="single" w:sz="4" w:space="0" w:color="auto"/>
            </w:tcBorders>
            <w:shd w:val="clear" w:color="auto" w:fill="auto"/>
            <w:noWrap/>
            <w:vAlign w:val="bottom"/>
            <w:hideMark/>
          </w:tcPr>
          <w:p w14:paraId="21B91E1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Duqueco 220-&gt;Los Varones 220</w:t>
            </w:r>
          </w:p>
        </w:tc>
        <w:tc>
          <w:tcPr>
            <w:tcW w:w="992" w:type="dxa"/>
            <w:tcBorders>
              <w:top w:val="nil"/>
              <w:left w:val="nil"/>
              <w:bottom w:val="single" w:sz="4" w:space="0" w:color="auto"/>
              <w:right w:val="single" w:sz="4" w:space="0" w:color="auto"/>
            </w:tcBorders>
            <w:shd w:val="clear" w:color="auto" w:fill="auto"/>
            <w:noWrap/>
          </w:tcPr>
          <w:p w14:paraId="55C3CE9D" w14:textId="3E634B7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0,44</w:t>
            </w:r>
          </w:p>
        </w:tc>
        <w:tc>
          <w:tcPr>
            <w:tcW w:w="851" w:type="dxa"/>
            <w:tcBorders>
              <w:top w:val="nil"/>
              <w:left w:val="nil"/>
              <w:bottom w:val="single" w:sz="4" w:space="0" w:color="auto"/>
              <w:right w:val="single" w:sz="4" w:space="0" w:color="auto"/>
            </w:tcBorders>
            <w:shd w:val="clear" w:color="auto" w:fill="auto"/>
            <w:noWrap/>
          </w:tcPr>
          <w:p w14:paraId="53DA45B6" w14:textId="0251DE6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0,56</w:t>
            </w:r>
          </w:p>
        </w:tc>
        <w:tc>
          <w:tcPr>
            <w:tcW w:w="992" w:type="dxa"/>
            <w:tcBorders>
              <w:top w:val="nil"/>
              <w:left w:val="nil"/>
              <w:bottom w:val="single" w:sz="4" w:space="0" w:color="auto"/>
              <w:right w:val="single" w:sz="4" w:space="0" w:color="auto"/>
            </w:tcBorders>
            <w:shd w:val="clear" w:color="auto" w:fill="auto"/>
            <w:noWrap/>
          </w:tcPr>
          <w:p w14:paraId="77B12770" w14:textId="19CD0F2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6242E919" w14:textId="6ACAEB7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r>
      <w:tr w:rsidR="005E36B7" w:rsidRPr="005E36B7" w14:paraId="3506B09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F8AE8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N_48</w:t>
            </w:r>
          </w:p>
        </w:tc>
        <w:tc>
          <w:tcPr>
            <w:tcW w:w="5103" w:type="dxa"/>
            <w:tcBorders>
              <w:top w:val="nil"/>
              <w:left w:val="nil"/>
              <w:bottom w:val="single" w:sz="4" w:space="0" w:color="auto"/>
              <w:right w:val="single" w:sz="4" w:space="0" w:color="auto"/>
            </w:tcBorders>
            <w:shd w:val="clear" w:color="auto" w:fill="auto"/>
            <w:noWrap/>
            <w:vAlign w:val="bottom"/>
            <w:hideMark/>
          </w:tcPr>
          <w:p w14:paraId="584B6BB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El Cobre 220-&gt;Esperanza SING 220</w:t>
            </w:r>
          </w:p>
        </w:tc>
        <w:tc>
          <w:tcPr>
            <w:tcW w:w="992" w:type="dxa"/>
            <w:tcBorders>
              <w:top w:val="nil"/>
              <w:left w:val="nil"/>
              <w:bottom w:val="single" w:sz="4" w:space="0" w:color="auto"/>
              <w:right w:val="single" w:sz="4" w:space="0" w:color="auto"/>
            </w:tcBorders>
            <w:shd w:val="clear" w:color="auto" w:fill="auto"/>
            <w:noWrap/>
          </w:tcPr>
          <w:p w14:paraId="607152E7" w14:textId="05B809B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0,11</w:t>
            </w:r>
          </w:p>
        </w:tc>
        <w:tc>
          <w:tcPr>
            <w:tcW w:w="851" w:type="dxa"/>
            <w:tcBorders>
              <w:top w:val="nil"/>
              <w:left w:val="nil"/>
              <w:bottom w:val="single" w:sz="4" w:space="0" w:color="auto"/>
              <w:right w:val="single" w:sz="4" w:space="0" w:color="auto"/>
            </w:tcBorders>
            <w:shd w:val="clear" w:color="auto" w:fill="auto"/>
            <w:noWrap/>
          </w:tcPr>
          <w:p w14:paraId="768663EC" w14:textId="0059E1C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0,89</w:t>
            </w:r>
          </w:p>
        </w:tc>
        <w:tc>
          <w:tcPr>
            <w:tcW w:w="992" w:type="dxa"/>
            <w:tcBorders>
              <w:top w:val="nil"/>
              <w:left w:val="nil"/>
              <w:bottom w:val="single" w:sz="4" w:space="0" w:color="auto"/>
              <w:right w:val="single" w:sz="4" w:space="0" w:color="auto"/>
            </w:tcBorders>
            <w:shd w:val="clear" w:color="auto" w:fill="auto"/>
            <w:noWrap/>
          </w:tcPr>
          <w:p w14:paraId="1CB4462E" w14:textId="1337C53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0,12</w:t>
            </w:r>
          </w:p>
        </w:tc>
        <w:tc>
          <w:tcPr>
            <w:tcW w:w="992" w:type="dxa"/>
            <w:tcBorders>
              <w:top w:val="nil"/>
              <w:left w:val="nil"/>
              <w:bottom w:val="single" w:sz="4" w:space="0" w:color="auto"/>
              <w:right w:val="single" w:sz="4" w:space="0" w:color="auto"/>
            </w:tcBorders>
            <w:shd w:val="clear" w:color="auto" w:fill="auto"/>
            <w:noWrap/>
          </w:tcPr>
          <w:p w14:paraId="4AF5067C" w14:textId="5D95D01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0,88</w:t>
            </w:r>
          </w:p>
        </w:tc>
      </w:tr>
      <w:tr w:rsidR="005E36B7" w:rsidRPr="005E36B7" w14:paraId="277FBFC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CB1801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N_49</w:t>
            </w:r>
          </w:p>
        </w:tc>
        <w:tc>
          <w:tcPr>
            <w:tcW w:w="5103" w:type="dxa"/>
            <w:tcBorders>
              <w:top w:val="nil"/>
              <w:left w:val="nil"/>
              <w:bottom w:val="single" w:sz="4" w:space="0" w:color="auto"/>
              <w:right w:val="single" w:sz="4" w:space="0" w:color="auto"/>
            </w:tcBorders>
            <w:shd w:val="clear" w:color="auto" w:fill="auto"/>
            <w:noWrap/>
            <w:vAlign w:val="bottom"/>
            <w:hideMark/>
          </w:tcPr>
          <w:p w14:paraId="208D1B5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El Rosal 220-&gt;Los Varones 220</w:t>
            </w:r>
          </w:p>
        </w:tc>
        <w:tc>
          <w:tcPr>
            <w:tcW w:w="992" w:type="dxa"/>
            <w:tcBorders>
              <w:top w:val="nil"/>
              <w:left w:val="nil"/>
              <w:bottom w:val="single" w:sz="4" w:space="0" w:color="auto"/>
              <w:right w:val="single" w:sz="4" w:space="0" w:color="auto"/>
            </w:tcBorders>
            <w:shd w:val="clear" w:color="auto" w:fill="auto"/>
            <w:noWrap/>
          </w:tcPr>
          <w:p w14:paraId="605F095C" w14:textId="575C9C9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38F6FB12" w14:textId="16EF11B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760AA38C" w14:textId="6C864A7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1131330A" w14:textId="76E322D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0,51</w:t>
            </w:r>
          </w:p>
        </w:tc>
      </w:tr>
      <w:tr w:rsidR="005E36B7" w:rsidRPr="005E36B7" w14:paraId="5B21433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AEE0C0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N_50</w:t>
            </w:r>
          </w:p>
        </w:tc>
        <w:tc>
          <w:tcPr>
            <w:tcW w:w="5103" w:type="dxa"/>
            <w:tcBorders>
              <w:top w:val="nil"/>
              <w:left w:val="nil"/>
              <w:bottom w:val="single" w:sz="4" w:space="0" w:color="auto"/>
              <w:right w:val="single" w:sz="4" w:space="0" w:color="auto"/>
            </w:tcBorders>
            <w:shd w:val="clear" w:color="auto" w:fill="auto"/>
            <w:noWrap/>
            <w:vAlign w:val="bottom"/>
            <w:hideMark/>
          </w:tcPr>
          <w:p w14:paraId="494FC88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El Salto 220-&gt;Tap Chicureo 220</w:t>
            </w:r>
          </w:p>
        </w:tc>
        <w:tc>
          <w:tcPr>
            <w:tcW w:w="992" w:type="dxa"/>
            <w:tcBorders>
              <w:top w:val="nil"/>
              <w:left w:val="nil"/>
              <w:bottom w:val="single" w:sz="4" w:space="0" w:color="auto"/>
              <w:right w:val="single" w:sz="4" w:space="0" w:color="auto"/>
            </w:tcBorders>
            <w:shd w:val="clear" w:color="auto" w:fill="auto"/>
            <w:noWrap/>
          </w:tcPr>
          <w:p w14:paraId="14CD8DA3" w14:textId="02BCCF7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0,13</w:t>
            </w:r>
          </w:p>
        </w:tc>
        <w:tc>
          <w:tcPr>
            <w:tcW w:w="851" w:type="dxa"/>
            <w:tcBorders>
              <w:top w:val="nil"/>
              <w:left w:val="nil"/>
              <w:bottom w:val="single" w:sz="4" w:space="0" w:color="auto"/>
              <w:right w:val="single" w:sz="4" w:space="0" w:color="auto"/>
            </w:tcBorders>
            <w:shd w:val="clear" w:color="auto" w:fill="auto"/>
            <w:noWrap/>
          </w:tcPr>
          <w:p w14:paraId="2CBF5379" w14:textId="206F48E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0,87</w:t>
            </w:r>
          </w:p>
        </w:tc>
        <w:tc>
          <w:tcPr>
            <w:tcW w:w="992" w:type="dxa"/>
            <w:tcBorders>
              <w:top w:val="nil"/>
              <w:left w:val="nil"/>
              <w:bottom w:val="single" w:sz="4" w:space="0" w:color="auto"/>
              <w:right w:val="single" w:sz="4" w:space="0" w:color="auto"/>
            </w:tcBorders>
            <w:shd w:val="clear" w:color="auto" w:fill="auto"/>
            <w:noWrap/>
          </w:tcPr>
          <w:p w14:paraId="42F217B5" w14:textId="684D268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0,15</w:t>
            </w:r>
          </w:p>
        </w:tc>
        <w:tc>
          <w:tcPr>
            <w:tcW w:w="992" w:type="dxa"/>
            <w:tcBorders>
              <w:top w:val="nil"/>
              <w:left w:val="nil"/>
              <w:bottom w:val="single" w:sz="4" w:space="0" w:color="auto"/>
              <w:right w:val="single" w:sz="4" w:space="0" w:color="auto"/>
            </w:tcBorders>
            <w:shd w:val="clear" w:color="auto" w:fill="auto"/>
            <w:noWrap/>
          </w:tcPr>
          <w:p w14:paraId="5C8450EC" w14:textId="72CCF57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0,85</w:t>
            </w:r>
          </w:p>
        </w:tc>
      </w:tr>
      <w:tr w:rsidR="005E36B7" w:rsidRPr="005E36B7" w14:paraId="6BB43BE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61CEB9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N_51</w:t>
            </w:r>
          </w:p>
        </w:tc>
        <w:tc>
          <w:tcPr>
            <w:tcW w:w="5103" w:type="dxa"/>
            <w:tcBorders>
              <w:top w:val="nil"/>
              <w:left w:val="nil"/>
              <w:bottom w:val="single" w:sz="4" w:space="0" w:color="auto"/>
              <w:right w:val="single" w:sz="4" w:space="0" w:color="auto"/>
            </w:tcBorders>
            <w:shd w:val="clear" w:color="auto" w:fill="auto"/>
            <w:noWrap/>
            <w:vAlign w:val="bottom"/>
            <w:hideMark/>
          </w:tcPr>
          <w:p w14:paraId="3E8648A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Encuentro 220-&gt;Kimal 220</w:t>
            </w:r>
          </w:p>
        </w:tc>
        <w:tc>
          <w:tcPr>
            <w:tcW w:w="992" w:type="dxa"/>
            <w:tcBorders>
              <w:top w:val="nil"/>
              <w:left w:val="nil"/>
              <w:bottom w:val="single" w:sz="4" w:space="0" w:color="auto"/>
              <w:right w:val="single" w:sz="4" w:space="0" w:color="auto"/>
            </w:tcBorders>
            <w:shd w:val="clear" w:color="auto" w:fill="auto"/>
            <w:noWrap/>
          </w:tcPr>
          <w:p w14:paraId="409D4DB6" w14:textId="3BF2CFC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0,20</w:t>
            </w:r>
          </w:p>
        </w:tc>
        <w:tc>
          <w:tcPr>
            <w:tcW w:w="851" w:type="dxa"/>
            <w:tcBorders>
              <w:top w:val="nil"/>
              <w:left w:val="nil"/>
              <w:bottom w:val="single" w:sz="4" w:space="0" w:color="auto"/>
              <w:right w:val="single" w:sz="4" w:space="0" w:color="auto"/>
            </w:tcBorders>
            <w:shd w:val="clear" w:color="auto" w:fill="auto"/>
            <w:noWrap/>
          </w:tcPr>
          <w:p w14:paraId="6DBB174E" w14:textId="6D1A83A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0,80</w:t>
            </w:r>
          </w:p>
        </w:tc>
        <w:tc>
          <w:tcPr>
            <w:tcW w:w="992" w:type="dxa"/>
            <w:tcBorders>
              <w:top w:val="nil"/>
              <w:left w:val="nil"/>
              <w:bottom w:val="single" w:sz="4" w:space="0" w:color="auto"/>
              <w:right w:val="single" w:sz="4" w:space="0" w:color="auto"/>
            </w:tcBorders>
            <w:shd w:val="clear" w:color="auto" w:fill="auto"/>
            <w:noWrap/>
          </w:tcPr>
          <w:p w14:paraId="3D7A0385" w14:textId="2D3A510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0,27</w:t>
            </w:r>
          </w:p>
        </w:tc>
        <w:tc>
          <w:tcPr>
            <w:tcW w:w="992" w:type="dxa"/>
            <w:tcBorders>
              <w:top w:val="nil"/>
              <w:left w:val="nil"/>
              <w:bottom w:val="single" w:sz="4" w:space="0" w:color="auto"/>
              <w:right w:val="single" w:sz="4" w:space="0" w:color="auto"/>
            </w:tcBorders>
            <w:shd w:val="clear" w:color="auto" w:fill="auto"/>
            <w:noWrap/>
          </w:tcPr>
          <w:p w14:paraId="0CE5ECA5" w14:textId="3143309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0,73</w:t>
            </w:r>
          </w:p>
        </w:tc>
      </w:tr>
      <w:tr w:rsidR="005E36B7" w:rsidRPr="005E36B7" w14:paraId="5C268A9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C6BBF9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N_52</w:t>
            </w:r>
          </w:p>
        </w:tc>
        <w:tc>
          <w:tcPr>
            <w:tcW w:w="5103" w:type="dxa"/>
            <w:tcBorders>
              <w:top w:val="nil"/>
              <w:left w:val="nil"/>
              <w:bottom w:val="single" w:sz="4" w:space="0" w:color="auto"/>
              <w:right w:val="single" w:sz="4" w:space="0" w:color="auto"/>
            </w:tcBorders>
            <w:shd w:val="clear" w:color="auto" w:fill="auto"/>
            <w:noWrap/>
            <w:vAlign w:val="bottom"/>
            <w:hideMark/>
          </w:tcPr>
          <w:p w14:paraId="4CA23BF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Encuentro 220-&gt;Miraje 220</w:t>
            </w:r>
          </w:p>
        </w:tc>
        <w:tc>
          <w:tcPr>
            <w:tcW w:w="992" w:type="dxa"/>
            <w:tcBorders>
              <w:top w:val="nil"/>
              <w:left w:val="nil"/>
              <w:bottom w:val="single" w:sz="4" w:space="0" w:color="auto"/>
              <w:right w:val="single" w:sz="4" w:space="0" w:color="auto"/>
            </w:tcBorders>
            <w:shd w:val="clear" w:color="auto" w:fill="auto"/>
            <w:noWrap/>
          </w:tcPr>
          <w:p w14:paraId="06E2E4B9" w14:textId="79ACE44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0,13</w:t>
            </w:r>
          </w:p>
        </w:tc>
        <w:tc>
          <w:tcPr>
            <w:tcW w:w="851" w:type="dxa"/>
            <w:tcBorders>
              <w:top w:val="nil"/>
              <w:left w:val="nil"/>
              <w:bottom w:val="single" w:sz="4" w:space="0" w:color="auto"/>
              <w:right w:val="single" w:sz="4" w:space="0" w:color="auto"/>
            </w:tcBorders>
            <w:shd w:val="clear" w:color="auto" w:fill="auto"/>
            <w:noWrap/>
          </w:tcPr>
          <w:p w14:paraId="496D41F5" w14:textId="78BE718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0,87</w:t>
            </w:r>
          </w:p>
        </w:tc>
        <w:tc>
          <w:tcPr>
            <w:tcW w:w="992" w:type="dxa"/>
            <w:tcBorders>
              <w:top w:val="nil"/>
              <w:left w:val="nil"/>
              <w:bottom w:val="single" w:sz="4" w:space="0" w:color="auto"/>
              <w:right w:val="single" w:sz="4" w:space="0" w:color="auto"/>
            </w:tcBorders>
            <w:shd w:val="clear" w:color="auto" w:fill="auto"/>
            <w:noWrap/>
          </w:tcPr>
          <w:p w14:paraId="7F88290B" w14:textId="3D170E8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0,20</w:t>
            </w:r>
          </w:p>
        </w:tc>
        <w:tc>
          <w:tcPr>
            <w:tcW w:w="992" w:type="dxa"/>
            <w:tcBorders>
              <w:top w:val="nil"/>
              <w:left w:val="nil"/>
              <w:bottom w:val="single" w:sz="4" w:space="0" w:color="auto"/>
              <w:right w:val="single" w:sz="4" w:space="0" w:color="auto"/>
            </w:tcBorders>
            <w:shd w:val="clear" w:color="auto" w:fill="auto"/>
            <w:noWrap/>
          </w:tcPr>
          <w:p w14:paraId="259B916B" w14:textId="3894547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0,80</w:t>
            </w:r>
          </w:p>
        </w:tc>
      </w:tr>
      <w:tr w:rsidR="005E36B7" w:rsidRPr="005E36B7" w14:paraId="604EF24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A0939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N_53</w:t>
            </w:r>
          </w:p>
        </w:tc>
        <w:tc>
          <w:tcPr>
            <w:tcW w:w="5103" w:type="dxa"/>
            <w:tcBorders>
              <w:top w:val="nil"/>
              <w:left w:val="nil"/>
              <w:bottom w:val="single" w:sz="4" w:space="0" w:color="auto"/>
              <w:right w:val="single" w:sz="4" w:space="0" w:color="auto"/>
            </w:tcBorders>
            <w:shd w:val="clear" w:color="auto" w:fill="auto"/>
            <w:noWrap/>
            <w:vAlign w:val="bottom"/>
            <w:hideMark/>
          </w:tcPr>
          <w:p w14:paraId="244AA03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Encuentro 220-&gt;Tap off Sierra Gorda Eolico 220</w:t>
            </w:r>
          </w:p>
        </w:tc>
        <w:tc>
          <w:tcPr>
            <w:tcW w:w="992" w:type="dxa"/>
            <w:tcBorders>
              <w:top w:val="nil"/>
              <w:left w:val="nil"/>
              <w:bottom w:val="single" w:sz="4" w:space="0" w:color="auto"/>
              <w:right w:val="single" w:sz="4" w:space="0" w:color="auto"/>
            </w:tcBorders>
            <w:shd w:val="clear" w:color="auto" w:fill="auto"/>
            <w:noWrap/>
          </w:tcPr>
          <w:p w14:paraId="5DF0EC5D" w14:textId="2D7823E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0,09</w:t>
            </w:r>
          </w:p>
        </w:tc>
        <w:tc>
          <w:tcPr>
            <w:tcW w:w="851" w:type="dxa"/>
            <w:tcBorders>
              <w:top w:val="nil"/>
              <w:left w:val="nil"/>
              <w:bottom w:val="single" w:sz="4" w:space="0" w:color="auto"/>
              <w:right w:val="single" w:sz="4" w:space="0" w:color="auto"/>
            </w:tcBorders>
            <w:shd w:val="clear" w:color="auto" w:fill="auto"/>
            <w:noWrap/>
          </w:tcPr>
          <w:p w14:paraId="7EA8A730" w14:textId="75063F3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0,91</w:t>
            </w:r>
          </w:p>
        </w:tc>
        <w:tc>
          <w:tcPr>
            <w:tcW w:w="992" w:type="dxa"/>
            <w:tcBorders>
              <w:top w:val="nil"/>
              <w:left w:val="nil"/>
              <w:bottom w:val="single" w:sz="4" w:space="0" w:color="auto"/>
              <w:right w:val="single" w:sz="4" w:space="0" w:color="auto"/>
            </w:tcBorders>
            <w:shd w:val="clear" w:color="auto" w:fill="auto"/>
            <w:noWrap/>
          </w:tcPr>
          <w:p w14:paraId="2722E2DC" w14:textId="0BB4FDB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0,11</w:t>
            </w:r>
          </w:p>
        </w:tc>
        <w:tc>
          <w:tcPr>
            <w:tcW w:w="992" w:type="dxa"/>
            <w:tcBorders>
              <w:top w:val="nil"/>
              <w:left w:val="nil"/>
              <w:bottom w:val="single" w:sz="4" w:space="0" w:color="auto"/>
              <w:right w:val="single" w:sz="4" w:space="0" w:color="auto"/>
            </w:tcBorders>
            <w:shd w:val="clear" w:color="auto" w:fill="auto"/>
            <w:noWrap/>
          </w:tcPr>
          <w:p w14:paraId="0065E6AC" w14:textId="39757D4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0,89</w:t>
            </w:r>
          </w:p>
        </w:tc>
      </w:tr>
      <w:tr w:rsidR="005E36B7" w:rsidRPr="005E36B7" w14:paraId="14E0B5D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B27F6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N_54</w:t>
            </w:r>
          </w:p>
        </w:tc>
        <w:tc>
          <w:tcPr>
            <w:tcW w:w="5103" w:type="dxa"/>
            <w:tcBorders>
              <w:top w:val="nil"/>
              <w:left w:val="nil"/>
              <w:bottom w:val="single" w:sz="4" w:space="0" w:color="auto"/>
              <w:right w:val="single" w:sz="4" w:space="0" w:color="auto"/>
            </w:tcBorders>
            <w:shd w:val="clear" w:color="auto" w:fill="auto"/>
            <w:noWrap/>
            <w:vAlign w:val="bottom"/>
            <w:hideMark/>
          </w:tcPr>
          <w:p w14:paraId="0DCEEF0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Esperanza SING 220-&gt;Centinela 220</w:t>
            </w:r>
          </w:p>
        </w:tc>
        <w:tc>
          <w:tcPr>
            <w:tcW w:w="992" w:type="dxa"/>
            <w:tcBorders>
              <w:top w:val="nil"/>
              <w:left w:val="nil"/>
              <w:bottom w:val="single" w:sz="4" w:space="0" w:color="auto"/>
              <w:right w:val="single" w:sz="4" w:space="0" w:color="auto"/>
            </w:tcBorders>
            <w:shd w:val="clear" w:color="auto" w:fill="auto"/>
            <w:noWrap/>
          </w:tcPr>
          <w:p w14:paraId="56B3EFF9" w14:textId="6B5461B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0,15</w:t>
            </w:r>
          </w:p>
        </w:tc>
        <w:tc>
          <w:tcPr>
            <w:tcW w:w="851" w:type="dxa"/>
            <w:tcBorders>
              <w:top w:val="nil"/>
              <w:left w:val="nil"/>
              <w:bottom w:val="single" w:sz="4" w:space="0" w:color="auto"/>
              <w:right w:val="single" w:sz="4" w:space="0" w:color="auto"/>
            </w:tcBorders>
            <w:shd w:val="clear" w:color="auto" w:fill="auto"/>
            <w:noWrap/>
          </w:tcPr>
          <w:p w14:paraId="500A11E7" w14:textId="1F36720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0,85</w:t>
            </w:r>
          </w:p>
        </w:tc>
        <w:tc>
          <w:tcPr>
            <w:tcW w:w="992" w:type="dxa"/>
            <w:tcBorders>
              <w:top w:val="nil"/>
              <w:left w:val="nil"/>
              <w:bottom w:val="single" w:sz="4" w:space="0" w:color="auto"/>
              <w:right w:val="single" w:sz="4" w:space="0" w:color="auto"/>
            </w:tcBorders>
            <w:shd w:val="clear" w:color="auto" w:fill="auto"/>
            <w:noWrap/>
          </w:tcPr>
          <w:p w14:paraId="2D5D9AB8" w14:textId="06C1D68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992" w:type="dxa"/>
            <w:tcBorders>
              <w:top w:val="nil"/>
              <w:left w:val="nil"/>
              <w:bottom w:val="single" w:sz="4" w:space="0" w:color="auto"/>
              <w:right w:val="single" w:sz="4" w:space="0" w:color="auto"/>
            </w:tcBorders>
            <w:shd w:val="clear" w:color="auto" w:fill="auto"/>
            <w:noWrap/>
          </w:tcPr>
          <w:p w14:paraId="7B05497A" w14:textId="554EE9C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r>
      <w:tr w:rsidR="005E36B7" w:rsidRPr="005E36B7" w14:paraId="7C8B8FB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BAD084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N_55</w:t>
            </w:r>
          </w:p>
        </w:tc>
        <w:tc>
          <w:tcPr>
            <w:tcW w:w="5103" w:type="dxa"/>
            <w:tcBorders>
              <w:top w:val="nil"/>
              <w:left w:val="nil"/>
              <w:bottom w:val="single" w:sz="4" w:space="0" w:color="auto"/>
              <w:right w:val="single" w:sz="4" w:space="0" w:color="auto"/>
            </w:tcBorders>
            <w:shd w:val="clear" w:color="auto" w:fill="auto"/>
            <w:noWrap/>
            <w:vAlign w:val="bottom"/>
            <w:hideMark/>
          </w:tcPr>
          <w:p w14:paraId="0824038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Hualpen 220-&gt;Guindo 220</w:t>
            </w:r>
          </w:p>
        </w:tc>
        <w:tc>
          <w:tcPr>
            <w:tcW w:w="992" w:type="dxa"/>
            <w:tcBorders>
              <w:top w:val="nil"/>
              <w:left w:val="nil"/>
              <w:bottom w:val="single" w:sz="4" w:space="0" w:color="auto"/>
              <w:right w:val="single" w:sz="4" w:space="0" w:color="auto"/>
            </w:tcBorders>
            <w:shd w:val="clear" w:color="auto" w:fill="auto"/>
            <w:noWrap/>
          </w:tcPr>
          <w:p w14:paraId="68A75908" w14:textId="4F6B6C1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851" w:type="dxa"/>
            <w:tcBorders>
              <w:top w:val="nil"/>
              <w:left w:val="nil"/>
              <w:bottom w:val="single" w:sz="4" w:space="0" w:color="auto"/>
              <w:right w:val="single" w:sz="4" w:space="0" w:color="auto"/>
            </w:tcBorders>
            <w:shd w:val="clear" w:color="auto" w:fill="auto"/>
            <w:noWrap/>
          </w:tcPr>
          <w:p w14:paraId="770F7AB1" w14:textId="671F287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c>
          <w:tcPr>
            <w:tcW w:w="992" w:type="dxa"/>
            <w:tcBorders>
              <w:top w:val="nil"/>
              <w:left w:val="nil"/>
              <w:bottom w:val="single" w:sz="4" w:space="0" w:color="auto"/>
              <w:right w:val="single" w:sz="4" w:space="0" w:color="auto"/>
            </w:tcBorders>
            <w:shd w:val="clear" w:color="auto" w:fill="auto"/>
            <w:noWrap/>
          </w:tcPr>
          <w:p w14:paraId="27E2E2FF" w14:textId="3160433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462B0C81" w14:textId="54FF2A4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0,35</w:t>
            </w:r>
          </w:p>
        </w:tc>
      </w:tr>
      <w:tr w:rsidR="005E36B7" w:rsidRPr="005E36B7" w14:paraId="24C5E83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115846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N_56</w:t>
            </w:r>
          </w:p>
        </w:tc>
        <w:tc>
          <w:tcPr>
            <w:tcW w:w="5103" w:type="dxa"/>
            <w:tcBorders>
              <w:top w:val="nil"/>
              <w:left w:val="nil"/>
              <w:bottom w:val="single" w:sz="4" w:space="0" w:color="auto"/>
              <w:right w:val="single" w:sz="4" w:space="0" w:color="auto"/>
            </w:tcBorders>
            <w:shd w:val="clear" w:color="auto" w:fill="auto"/>
            <w:noWrap/>
            <w:vAlign w:val="bottom"/>
            <w:hideMark/>
          </w:tcPr>
          <w:p w14:paraId="01850EF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Hualpen 220-&gt;Trebol 220</w:t>
            </w:r>
          </w:p>
        </w:tc>
        <w:tc>
          <w:tcPr>
            <w:tcW w:w="992" w:type="dxa"/>
            <w:tcBorders>
              <w:top w:val="nil"/>
              <w:left w:val="nil"/>
              <w:bottom w:val="single" w:sz="4" w:space="0" w:color="auto"/>
              <w:right w:val="single" w:sz="4" w:space="0" w:color="auto"/>
            </w:tcBorders>
            <w:shd w:val="clear" w:color="auto" w:fill="auto"/>
            <w:noWrap/>
          </w:tcPr>
          <w:p w14:paraId="689B6E92" w14:textId="5C05164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c>
          <w:tcPr>
            <w:tcW w:w="851" w:type="dxa"/>
            <w:tcBorders>
              <w:top w:val="nil"/>
              <w:left w:val="nil"/>
              <w:bottom w:val="single" w:sz="4" w:space="0" w:color="auto"/>
              <w:right w:val="single" w:sz="4" w:space="0" w:color="auto"/>
            </w:tcBorders>
            <w:shd w:val="clear" w:color="auto" w:fill="auto"/>
            <w:noWrap/>
          </w:tcPr>
          <w:p w14:paraId="2DEDBF44" w14:textId="4A351FC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14CF6C0C" w14:textId="7311CC2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7470C1C0" w14:textId="0CD27F8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r>
      <w:tr w:rsidR="005E36B7" w:rsidRPr="005E36B7" w14:paraId="5B1FF3F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69B35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N_57</w:t>
            </w:r>
          </w:p>
        </w:tc>
        <w:tc>
          <w:tcPr>
            <w:tcW w:w="5103" w:type="dxa"/>
            <w:tcBorders>
              <w:top w:val="nil"/>
              <w:left w:val="nil"/>
              <w:bottom w:val="single" w:sz="4" w:space="0" w:color="auto"/>
              <w:right w:val="single" w:sz="4" w:space="0" w:color="auto"/>
            </w:tcBorders>
            <w:shd w:val="clear" w:color="auto" w:fill="auto"/>
            <w:noWrap/>
            <w:vAlign w:val="bottom"/>
            <w:hideMark/>
          </w:tcPr>
          <w:p w14:paraId="0D11B6A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Kapatur 220-&gt;Los Changos 220</w:t>
            </w:r>
          </w:p>
        </w:tc>
        <w:tc>
          <w:tcPr>
            <w:tcW w:w="992" w:type="dxa"/>
            <w:tcBorders>
              <w:top w:val="nil"/>
              <w:left w:val="nil"/>
              <w:bottom w:val="single" w:sz="4" w:space="0" w:color="auto"/>
              <w:right w:val="single" w:sz="4" w:space="0" w:color="auto"/>
            </w:tcBorders>
            <w:shd w:val="clear" w:color="auto" w:fill="auto"/>
            <w:noWrap/>
          </w:tcPr>
          <w:p w14:paraId="7B99A272" w14:textId="0272A20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4FF9F7EF" w14:textId="02BEAD6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43A963DD" w14:textId="681001F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468FF88" w14:textId="4929647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6E0594A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3DF830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N_58</w:t>
            </w:r>
          </w:p>
        </w:tc>
        <w:tc>
          <w:tcPr>
            <w:tcW w:w="5103" w:type="dxa"/>
            <w:tcBorders>
              <w:top w:val="nil"/>
              <w:left w:val="nil"/>
              <w:bottom w:val="single" w:sz="4" w:space="0" w:color="auto"/>
              <w:right w:val="single" w:sz="4" w:space="0" w:color="auto"/>
            </w:tcBorders>
            <w:shd w:val="clear" w:color="auto" w:fill="auto"/>
            <w:noWrap/>
            <w:vAlign w:val="bottom"/>
            <w:hideMark/>
          </w:tcPr>
          <w:p w14:paraId="60B383A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Kimal 220-&gt;Nueva Chuquicamata 220</w:t>
            </w:r>
          </w:p>
        </w:tc>
        <w:tc>
          <w:tcPr>
            <w:tcW w:w="992" w:type="dxa"/>
            <w:tcBorders>
              <w:top w:val="nil"/>
              <w:left w:val="nil"/>
              <w:bottom w:val="single" w:sz="4" w:space="0" w:color="auto"/>
              <w:right w:val="single" w:sz="4" w:space="0" w:color="auto"/>
            </w:tcBorders>
            <w:shd w:val="clear" w:color="auto" w:fill="auto"/>
            <w:noWrap/>
          </w:tcPr>
          <w:p w14:paraId="61CDA5B5" w14:textId="5400948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0,34</w:t>
            </w:r>
          </w:p>
        </w:tc>
        <w:tc>
          <w:tcPr>
            <w:tcW w:w="851" w:type="dxa"/>
            <w:tcBorders>
              <w:top w:val="nil"/>
              <w:left w:val="nil"/>
              <w:bottom w:val="single" w:sz="4" w:space="0" w:color="auto"/>
              <w:right w:val="single" w:sz="4" w:space="0" w:color="auto"/>
            </w:tcBorders>
            <w:shd w:val="clear" w:color="auto" w:fill="auto"/>
            <w:noWrap/>
          </w:tcPr>
          <w:p w14:paraId="295AF203" w14:textId="354E003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0,66</w:t>
            </w:r>
          </w:p>
        </w:tc>
        <w:tc>
          <w:tcPr>
            <w:tcW w:w="992" w:type="dxa"/>
            <w:tcBorders>
              <w:top w:val="nil"/>
              <w:left w:val="nil"/>
              <w:bottom w:val="single" w:sz="4" w:space="0" w:color="auto"/>
              <w:right w:val="single" w:sz="4" w:space="0" w:color="auto"/>
            </w:tcBorders>
            <w:shd w:val="clear" w:color="auto" w:fill="auto"/>
            <w:noWrap/>
          </w:tcPr>
          <w:p w14:paraId="21032E17" w14:textId="0C6A1DC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0,52</w:t>
            </w:r>
          </w:p>
        </w:tc>
        <w:tc>
          <w:tcPr>
            <w:tcW w:w="992" w:type="dxa"/>
            <w:tcBorders>
              <w:top w:val="nil"/>
              <w:left w:val="nil"/>
              <w:bottom w:val="single" w:sz="4" w:space="0" w:color="auto"/>
              <w:right w:val="single" w:sz="4" w:space="0" w:color="auto"/>
            </w:tcBorders>
            <w:shd w:val="clear" w:color="auto" w:fill="auto"/>
            <w:noWrap/>
          </w:tcPr>
          <w:p w14:paraId="120BE965" w14:textId="5E05748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0,48</w:t>
            </w:r>
          </w:p>
        </w:tc>
      </w:tr>
      <w:tr w:rsidR="005E36B7" w:rsidRPr="005E36B7" w14:paraId="521C5D0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24465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N_59</w:t>
            </w:r>
          </w:p>
        </w:tc>
        <w:tc>
          <w:tcPr>
            <w:tcW w:w="5103" w:type="dxa"/>
            <w:tcBorders>
              <w:top w:val="nil"/>
              <w:left w:val="nil"/>
              <w:bottom w:val="single" w:sz="4" w:space="0" w:color="auto"/>
              <w:right w:val="single" w:sz="4" w:space="0" w:color="auto"/>
            </w:tcBorders>
            <w:shd w:val="clear" w:color="auto" w:fill="auto"/>
            <w:noWrap/>
            <w:vAlign w:val="bottom"/>
            <w:hideMark/>
          </w:tcPr>
          <w:p w14:paraId="75AAA39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Laberinto 220-&gt;El Cobre 220</w:t>
            </w:r>
          </w:p>
        </w:tc>
        <w:tc>
          <w:tcPr>
            <w:tcW w:w="992" w:type="dxa"/>
            <w:tcBorders>
              <w:top w:val="nil"/>
              <w:left w:val="nil"/>
              <w:bottom w:val="single" w:sz="4" w:space="0" w:color="auto"/>
              <w:right w:val="single" w:sz="4" w:space="0" w:color="auto"/>
            </w:tcBorders>
            <w:shd w:val="clear" w:color="auto" w:fill="auto"/>
            <w:noWrap/>
          </w:tcPr>
          <w:p w14:paraId="2E538020" w14:textId="1253FD9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0,10</w:t>
            </w:r>
          </w:p>
        </w:tc>
        <w:tc>
          <w:tcPr>
            <w:tcW w:w="851" w:type="dxa"/>
            <w:tcBorders>
              <w:top w:val="nil"/>
              <w:left w:val="nil"/>
              <w:bottom w:val="single" w:sz="4" w:space="0" w:color="auto"/>
              <w:right w:val="single" w:sz="4" w:space="0" w:color="auto"/>
            </w:tcBorders>
            <w:shd w:val="clear" w:color="auto" w:fill="auto"/>
            <w:noWrap/>
          </w:tcPr>
          <w:p w14:paraId="54670731" w14:textId="3B354E1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0,90</w:t>
            </w:r>
          </w:p>
        </w:tc>
        <w:tc>
          <w:tcPr>
            <w:tcW w:w="992" w:type="dxa"/>
            <w:tcBorders>
              <w:top w:val="nil"/>
              <w:left w:val="nil"/>
              <w:bottom w:val="single" w:sz="4" w:space="0" w:color="auto"/>
              <w:right w:val="single" w:sz="4" w:space="0" w:color="auto"/>
            </w:tcBorders>
            <w:shd w:val="clear" w:color="auto" w:fill="auto"/>
            <w:noWrap/>
          </w:tcPr>
          <w:p w14:paraId="0F8BCC27" w14:textId="0700E0C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0,12</w:t>
            </w:r>
          </w:p>
        </w:tc>
        <w:tc>
          <w:tcPr>
            <w:tcW w:w="992" w:type="dxa"/>
            <w:tcBorders>
              <w:top w:val="nil"/>
              <w:left w:val="nil"/>
              <w:bottom w:val="single" w:sz="4" w:space="0" w:color="auto"/>
              <w:right w:val="single" w:sz="4" w:space="0" w:color="auto"/>
            </w:tcBorders>
            <w:shd w:val="clear" w:color="auto" w:fill="auto"/>
            <w:noWrap/>
          </w:tcPr>
          <w:p w14:paraId="0123B67C" w14:textId="47BD17A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0,88</w:t>
            </w:r>
          </w:p>
        </w:tc>
      </w:tr>
      <w:tr w:rsidR="005E36B7" w:rsidRPr="005E36B7" w14:paraId="1B3F23E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528E4C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N_60</w:t>
            </w:r>
          </w:p>
        </w:tc>
        <w:tc>
          <w:tcPr>
            <w:tcW w:w="5103" w:type="dxa"/>
            <w:tcBorders>
              <w:top w:val="nil"/>
              <w:left w:val="nil"/>
              <w:bottom w:val="single" w:sz="4" w:space="0" w:color="auto"/>
              <w:right w:val="single" w:sz="4" w:space="0" w:color="auto"/>
            </w:tcBorders>
            <w:shd w:val="clear" w:color="auto" w:fill="auto"/>
            <w:noWrap/>
            <w:vAlign w:val="bottom"/>
            <w:hideMark/>
          </w:tcPr>
          <w:p w14:paraId="2CDD7D7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Laberinto 220-&gt;Kapatur 220</w:t>
            </w:r>
          </w:p>
        </w:tc>
        <w:tc>
          <w:tcPr>
            <w:tcW w:w="992" w:type="dxa"/>
            <w:tcBorders>
              <w:top w:val="nil"/>
              <w:left w:val="nil"/>
              <w:bottom w:val="single" w:sz="4" w:space="0" w:color="auto"/>
              <w:right w:val="single" w:sz="4" w:space="0" w:color="auto"/>
            </w:tcBorders>
            <w:shd w:val="clear" w:color="auto" w:fill="auto"/>
            <w:noWrap/>
          </w:tcPr>
          <w:p w14:paraId="4821EEAE" w14:textId="3C40385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0,05</w:t>
            </w:r>
          </w:p>
        </w:tc>
        <w:tc>
          <w:tcPr>
            <w:tcW w:w="851" w:type="dxa"/>
            <w:tcBorders>
              <w:top w:val="nil"/>
              <w:left w:val="nil"/>
              <w:bottom w:val="single" w:sz="4" w:space="0" w:color="auto"/>
              <w:right w:val="single" w:sz="4" w:space="0" w:color="auto"/>
            </w:tcBorders>
            <w:shd w:val="clear" w:color="auto" w:fill="auto"/>
            <w:noWrap/>
          </w:tcPr>
          <w:p w14:paraId="58CE5D81" w14:textId="06BDDB3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0,95</w:t>
            </w:r>
          </w:p>
        </w:tc>
        <w:tc>
          <w:tcPr>
            <w:tcW w:w="992" w:type="dxa"/>
            <w:tcBorders>
              <w:top w:val="nil"/>
              <w:left w:val="nil"/>
              <w:bottom w:val="single" w:sz="4" w:space="0" w:color="auto"/>
              <w:right w:val="single" w:sz="4" w:space="0" w:color="auto"/>
            </w:tcBorders>
            <w:shd w:val="clear" w:color="auto" w:fill="auto"/>
            <w:noWrap/>
          </w:tcPr>
          <w:p w14:paraId="7FE604F6" w14:textId="3C907C2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0,06</w:t>
            </w:r>
          </w:p>
        </w:tc>
        <w:tc>
          <w:tcPr>
            <w:tcW w:w="992" w:type="dxa"/>
            <w:tcBorders>
              <w:top w:val="nil"/>
              <w:left w:val="nil"/>
              <w:bottom w:val="single" w:sz="4" w:space="0" w:color="auto"/>
              <w:right w:val="single" w:sz="4" w:space="0" w:color="auto"/>
            </w:tcBorders>
            <w:shd w:val="clear" w:color="auto" w:fill="auto"/>
            <w:noWrap/>
          </w:tcPr>
          <w:p w14:paraId="36594F2C" w14:textId="0DF747C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0,94</w:t>
            </w:r>
          </w:p>
        </w:tc>
      </w:tr>
      <w:tr w:rsidR="005E36B7" w:rsidRPr="005E36B7" w14:paraId="423F34A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05205E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N_61</w:t>
            </w:r>
          </w:p>
        </w:tc>
        <w:tc>
          <w:tcPr>
            <w:tcW w:w="5103" w:type="dxa"/>
            <w:tcBorders>
              <w:top w:val="nil"/>
              <w:left w:val="nil"/>
              <w:bottom w:val="single" w:sz="4" w:space="0" w:color="auto"/>
              <w:right w:val="single" w:sz="4" w:space="0" w:color="auto"/>
            </w:tcBorders>
            <w:shd w:val="clear" w:color="auto" w:fill="auto"/>
            <w:noWrap/>
            <w:vAlign w:val="bottom"/>
            <w:hideMark/>
          </w:tcPr>
          <w:p w14:paraId="45B846D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Laberinto 220-&gt;Kimal 220</w:t>
            </w:r>
          </w:p>
        </w:tc>
        <w:tc>
          <w:tcPr>
            <w:tcW w:w="992" w:type="dxa"/>
            <w:tcBorders>
              <w:top w:val="nil"/>
              <w:left w:val="nil"/>
              <w:bottom w:val="single" w:sz="4" w:space="0" w:color="auto"/>
              <w:right w:val="single" w:sz="4" w:space="0" w:color="auto"/>
            </w:tcBorders>
            <w:shd w:val="clear" w:color="auto" w:fill="auto"/>
            <w:noWrap/>
          </w:tcPr>
          <w:p w14:paraId="4983094A" w14:textId="6289307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43082B88" w14:textId="44157EF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2B7ADD78" w14:textId="07B521A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c>
          <w:tcPr>
            <w:tcW w:w="992" w:type="dxa"/>
            <w:tcBorders>
              <w:top w:val="nil"/>
              <w:left w:val="nil"/>
              <w:bottom w:val="single" w:sz="4" w:space="0" w:color="auto"/>
              <w:right w:val="single" w:sz="4" w:space="0" w:color="auto"/>
            </w:tcBorders>
            <w:shd w:val="clear" w:color="auto" w:fill="auto"/>
            <w:noWrap/>
          </w:tcPr>
          <w:p w14:paraId="238F0F00" w14:textId="4AD9B00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r>
      <w:tr w:rsidR="005E36B7" w:rsidRPr="005E36B7" w14:paraId="7ADCF61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DD32F8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N_62</w:t>
            </w:r>
          </w:p>
        </w:tc>
        <w:tc>
          <w:tcPr>
            <w:tcW w:w="5103" w:type="dxa"/>
            <w:tcBorders>
              <w:top w:val="nil"/>
              <w:left w:val="nil"/>
              <w:bottom w:val="single" w:sz="4" w:space="0" w:color="auto"/>
              <w:right w:val="single" w:sz="4" w:space="0" w:color="auto"/>
            </w:tcBorders>
            <w:shd w:val="clear" w:color="auto" w:fill="auto"/>
            <w:noWrap/>
            <w:vAlign w:val="bottom"/>
            <w:hideMark/>
          </w:tcPr>
          <w:p w14:paraId="79D401F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Laberinto 220-&gt;Nueva Zaldivar 220</w:t>
            </w:r>
          </w:p>
        </w:tc>
        <w:tc>
          <w:tcPr>
            <w:tcW w:w="992" w:type="dxa"/>
            <w:tcBorders>
              <w:top w:val="nil"/>
              <w:left w:val="nil"/>
              <w:bottom w:val="single" w:sz="4" w:space="0" w:color="auto"/>
              <w:right w:val="single" w:sz="4" w:space="0" w:color="auto"/>
            </w:tcBorders>
            <w:shd w:val="clear" w:color="auto" w:fill="auto"/>
            <w:noWrap/>
          </w:tcPr>
          <w:p w14:paraId="555D824E" w14:textId="1C43EA7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7F5CCF1C" w14:textId="7487C2B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26827124" w14:textId="174578E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c>
          <w:tcPr>
            <w:tcW w:w="992" w:type="dxa"/>
            <w:tcBorders>
              <w:top w:val="nil"/>
              <w:left w:val="nil"/>
              <w:bottom w:val="single" w:sz="4" w:space="0" w:color="auto"/>
              <w:right w:val="single" w:sz="4" w:space="0" w:color="auto"/>
            </w:tcBorders>
            <w:shd w:val="clear" w:color="auto" w:fill="auto"/>
            <w:noWrap/>
          </w:tcPr>
          <w:p w14:paraId="753B313D" w14:textId="5F3C76D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r>
      <w:tr w:rsidR="005E36B7" w:rsidRPr="005E36B7" w14:paraId="6E155E8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D9667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N_63</w:t>
            </w:r>
          </w:p>
        </w:tc>
        <w:tc>
          <w:tcPr>
            <w:tcW w:w="5103" w:type="dxa"/>
            <w:tcBorders>
              <w:top w:val="nil"/>
              <w:left w:val="nil"/>
              <w:bottom w:val="single" w:sz="4" w:space="0" w:color="auto"/>
              <w:right w:val="single" w:sz="4" w:space="0" w:color="auto"/>
            </w:tcBorders>
            <w:shd w:val="clear" w:color="auto" w:fill="auto"/>
            <w:noWrap/>
            <w:vAlign w:val="bottom"/>
            <w:hideMark/>
          </w:tcPr>
          <w:p w14:paraId="743C86D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Lagunas 220-&gt;Encuentro 220</w:t>
            </w:r>
          </w:p>
        </w:tc>
        <w:tc>
          <w:tcPr>
            <w:tcW w:w="992" w:type="dxa"/>
            <w:tcBorders>
              <w:top w:val="nil"/>
              <w:left w:val="nil"/>
              <w:bottom w:val="single" w:sz="4" w:space="0" w:color="auto"/>
              <w:right w:val="single" w:sz="4" w:space="0" w:color="auto"/>
            </w:tcBorders>
            <w:shd w:val="clear" w:color="auto" w:fill="auto"/>
            <w:noWrap/>
          </w:tcPr>
          <w:p w14:paraId="510D0AD8" w14:textId="2DA8A53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0,01</w:t>
            </w:r>
          </w:p>
        </w:tc>
        <w:tc>
          <w:tcPr>
            <w:tcW w:w="851" w:type="dxa"/>
            <w:tcBorders>
              <w:top w:val="nil"/>
              <w:left w:val="nil"/>
              <w:bottom w:val="single" w:sz="4" w:space="0" w:color="auto"/>
              <w:right w:val="single" w:sz="4" w:space="0" w:color="auto"/>
            </w:tcBorders>
            <w:shd w:val="clear" w:color="auto" w:fill="auto"/>
            <w:noWrap/>
          </w:tcPr>
          <w:p w14:paraId="7C65D150" w14:textId="39D64FB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0,99</w:t>
            </w:r>
          </w:p>
        </w:tc>
        <w:tc>
          <w:tcPr>
            <w:tcW w:w="992" w:type="dxa"/>
            <w:tcBorders>
              <w:top w:val="nil"/>
              <w:left w:val="nil"/>
              <w:bottom w:val="single" w:sz="4" w:space="0" w:color="auto"/>
              <w:right w:val="single" w:sz="4" w:space="0" w:color="auto"/>
            </w:tcBorders>
            <w:shd w:val="clear" w:color="auto" w:fill="auto"/>
            <w:noWrap/>
          </w:tcPr>
          <w:p w14:paraId="691BE9E3" w14:textId="6DBE316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0,01</w:t>
            </w:r>
          </w:p>
        </w:tc>
        <w:tc>
          <w:tcPr>
            <w:tcW w:w="992" w:type="dxa"/>
            <w:tcBorders>
              <w:top w:val="nil"/>
              <w:left w:val="nil"/>
              <w:bottom w:val="single" w:sz="4" w:space="0" w:color="auto"/>
              <w:right w:val="single" w:sz="4" w:space="0" w:color="auto"/>
            </w:tcBorders>
            <w:shd w:val="clear" w:color="auto" w:fill="auto"/>
            <w:noWrap/>
          </w:tcPr>
          <w:p w14:paraId="6EE8A52B" w14:textId="3479D5D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0,99</w:t>
            </w:r>
          </w:p>
        </w:tc>
      </w:tr>
      <w:tr w:rsidR="005E36B7" w:rsidRPr="005E36B7" w14:paraId="37C2A85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D931D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N_64</w:t>
            </w:r>
          </w:p>
        </w:tc>
        <w:tc>
          <w:tcPr>
            <w:tcW w:w="5103" w:type="dxa"/>
            <w:tcBorders>
              <w:top w:val="nil"/>
              <w:left w:val="nil"/>
              <w:bottom w:val="single" w:sz="4" w:space="0" w:color="auto"/>
              <w:right w:val="single" w:sz="4" w:space="0" w:color="auto"/>
            </w:tcBorders>
            <w:shd w:val="clear" w:color="auto" w:fill="auto"/>
            <w:noWrap/>
            <w:vAlign w:val="bottom"/>
            <w:hideMark/>
          </w:tcPr>
          <w:p w14:paraId="5B5A179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Lagunas 220-&gt;Nueva Pozo Almonte 220</w:t>
            </w:r>
          </w:p>
        </w:tc>
        <w:tc>
          <w:tcPr>
            <w:tcW w:w="992" w:type="dxa"/>
            <w:tcBorders>
              <w:top w:val="nil"/>
              <w:left w:val="nil"/>
              <w:bottom w:val="single" w:sz="4" w:space="0" w:color="auto"/>
              <w:right w:val="single" w:sz="4" w:space="0" w:color="auto"/>
            </w:tcBorders>
            <w:shd w:val="clear" w:color="auto" w:fill="auto"/>
            <w:noWrap/>
          </w:tcPr>
          <w:p w14:paraId="2A47D9D1" w14:textId="410CA2F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0,40</w:t>
            </w:r>
          </w:p>
        </w:tc>
        <w:tc>
          <w:tcPr>
            <w:tcW w:w="851" w:type="dxa"/>
            <w:tcBorders>
              <w:top w:val="nil"/>
              <w:left w:val="nil"/>
              <w:bottom w:val="single" w:sz="4" w:space="0" w:color="auto"/>
              <w:right w:val="single" w:sz="4" w:space="0" w:color="auto"/>
            </w:tcBorders>
            <w:shd w:val="clear" w:color="auto" w:fill="auto"/>
            <w:noWrap/>
          </w:tcPr>
          <w:p w14:paraId="217BF83A" w14:textId="1CD3E69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0,60</w:t>
            </w:r>
          </w:p>
        </w:tc>
        <w:tc>
          <w:tcPr>
            <w:tcW w:w="992" w:type="dxa"/>
            <w:tcBorders>
              <w:top w:val="nil"/>
              <w:left w:val="nil"/>
              <w:bottom w:val="single" w:sz="4" w:space="0" w:color="auto"/>
              <w:right w:val="single" w:sz="4" w:space="0" w:color="auto"/>
            </w:tcBorders>
            <w:shd w:val="clear" w:color="auto" w:fill="auto"/>
            <w:noWrap/>
          </w:tcPr>
          <w:p w14:paraId="2BEE7F9F" w14:textId="0842366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77A2B33A" w14:textId="6F2DD77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r>
      <w:tr w:rsidR="005E36B7" w:rsidRPr="005E36B7" w14:paraId="6231D50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1BFE2C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N_65</w:t>
            </w:r>
          </w:p>
        </w:tc>
        <w:tc>
          <w:tcPr>
            <w:tcW w:w="5103" w:type="dxa"/>
            <w:tcBorders>
              <w:top w:val="nil"/>
              <w:left w:val="nil"/>
              <w:bottom w:val="single" w:sz="4" w:space="0" w:color="auto"/>
              <w:right w:val="single" w:sz="4" w:space="0" w:color="auto"/>
            </w:tcBorders>
            <w:shd w:val="clear" w:color="auto" w:fill="auto"/>
            <w:noWrap/>
            <w:vAlign w:val="bottom"/>
            <w:hideMark/>
          </w:tcPr>
          <w:p w14:paraId="796C8ED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Lagunas 220-&gt;Nueva Victoria 220</w:t>
            </w:r>
          </w:p>
        </w:tc>
        <w:tc>
          <w:tcPr>
            <w:tcW w:w="992" w:type="dxa"/>
            <w:tcBorders>
              <w:top w:val="nil"/>
              <w:left w:val="nil"/>
              <w:bottom w:val="single" w:sz="4" w:space="0" w:color="auto"/>
              <w:right w:val="single" w:sz="4" w:space="0" w:color="auto"/>
            </w:tcBorders>
            <w:shd w:val="clear" w:color="auto" w:fill="auto"/>
            <w:noWrap/>
          </w:tcPr>
          <w:p w14:paraId="54B19D8F" w14:textId="4CAF1BF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0,26</w:t>
            </w:r>
          </w:p>
        </w:tc>
        <w:tc>
          <w:tcPr>
            <w:tcW w:w="851" w:type="dxa"/>
            <w:tcBorders>
              <w:top w:val="nil"/>
              <w:left w:val="nil"/>
              <w:bottom w:val="single" w:sz="4" w:space="0" w:color="auto"/>
              <w:right w:val="single" w:sz="4" w:space="0" w:color="auto"/>
            </w:tcBorders>
            <w:shd w:val="clear" w:color="auto" w:fill="auto"/>
            <w:noWrap/>
          </w:tcPr>
          <w:p w14:paraId="3CF658BB" w14:textId="74CF92D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0,74</w:t>
            </w:r>
          </w:p>
        </w:tc>
        <w:tc>
          <w:tcPr>
            <w:tcW w:w="992" w:type="dxa"/>
            <w:tcBorders>
              <w:top w:val="nil"/>
              <w:left w:val="nil"/>
              <w:bottom w:val="single" w:sz="4" w:space="0" w:color="auto"/>
              <w:right w:val="single" w:sz="4" w:space="0" w:color="auto"/>
            </w:tcBorders>
            <w:shd w:val="clear" w:color="auto" w:fill="auto"/>
            <w:noWrap/>
          </w:tcPr>
          <w:p w14:paraId="51B6D958" w14:textId="5A4114F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6EBCF5E2" w14:textId="0DCE90C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r>
      <w:tr w:rsidR="005E36B7" w:rsidRPr="005E36B7" w14:paraId="3BB686A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CC6B6E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N_66</w:t>
            </w:r>
          </w:p>
        </w:tc>
        <w:tc>
          <w:tcPr>
            <w:tcW w:w="5103" w:type="dxa"/>
            <w:tcBorders>
              <w:top w:val="nil"/>
              <w:left w:val="nil"/>
              <w:bottom w:val="single" w:sz="4" w:space="0" w:color="auto"/>
              <w:right w:val="single" w:sz="4" w:space="0" w:color="auto"/>
            </w:tcBorders>
            <w:shd w:val="clear" w:color="auto" w:fill="auto"/>
            <w:noWrap/>
            <w:vAlign w:val="bottom"/>
            <w:hideMark/>
          </w:tcPr>
          <w:p w14:paraId="5E628BD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Lagunas 220-&gt;San Simon 220</w:t>
            </w:r>
          </w:p>
        </w:tc>
        <w:tc>
          <w:tcPr>
            <w:tcW w:w="992" w:type="dxa"/>
            <w:tcBorders>
              <w:top w:val="nil"/>
              <w:left w:val="nil"/>
              <w:bottom w:val="single" w:sz="4" w:space="0" w:color="auto"/>
              <w:right w:val="single" w:sz="4" w:space="0" w:color="auto"/>
            </w:tcBorders>
            <w:shd w:val="clear" w:color="auto" w:fill="auto"/>
            <w:noWrap/>
          </w:tcPr>
          <w:p w14:paraId="059B7021" w14:textId="48946FC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0,23</w:t>
            </w:r>
          </w:p>
        </w:tc>
        <w:tc>
          <w:tcPr>
            <w:tcW w:w="851" w:type="dxa"/>
            <w:tcBorders>
              <w:top w:val="nil"/>
              <w:left w:val="nil"/>
              <w:bottom w:val="single" w:sz="4" w:space="0" w:color="auto"/>
              <w:right w:val="single" w:sz="4" w:space="0" w:color="auto"/>
            </w:tcBorders>
            <w:shd w:val="clear" w:color="auto" w:fill="auto"/>
            <w:noWrap/>
          </w:tcPr>
          <w:p w14:paraId="37295E3B" w14:textId="0191884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0,77</w:t>
            </w:r>
          </w:p>
        </w:tc>
        <w:tc>
          <w:tcPr>
            <w:tcW w:w="992" w:type="dxa"/>
            <w:tcBorders>
              <w:top w:val="nil"/>
              <w:left w:val="nil"/>
              <w:bottom w:val="single" w:sz="4" w:space="0" w:color="auto"/>
              <w:right w:val="single" w:sz="4" w:space="0" w:color="auto"/>
            </w:tcBorders>
            <w:shd w:val="clear" w:color="auto" w:fill="auto"/>
            <w:noWrap/>
          </w:tcPr>
          <w:p w14:paraId="4910D8C5" w14:textId="4724E05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0,34</w:t>
            </w:r>
          </w:p>
        </w:tc>
        <w:tc>
          <w:tcPr>
            <w:tcW w:w="992" w:type="dxa"/>
            <w:tcBorders>
              <w:top w:val="nil"/>
              <w:left w:val="nil"/>
              <w:bottom w:val="single" w:sz="4" w:space="0" w:color="auto"/>
              <w:right w:val="single" w:sz="4" w:space="0" w:color="auto"/>
            </w:tcBorders>
            <w:shd w:val="clear" w:color="auto" w:fill="auto"/>
            <w:noWrap/>
          </w:tcPr>
          <w:p w14:paraId="2658E784" w14:textId="6CBFEC7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0,66</w:t>
            </w:r>
          </w:p>
        </w:tc>
      </w:tr>
      <w:tr w:rsidR="005E36B7" w:rsidRPr="005E36B7" w14:paraId="72D6FB5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458640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N_67</w:t>
            </w:r>
          </w:p>
        </w:tc>
        <w:tc>
          <w:tcPr>
            <w:tcW w:w="5103" w:type="dxa"/>
            <w:tcBorders>
              <w:top w:val="nil"/>
              <w:left w:val="nil"/>
              <w:bottom w:val="single" w:sz="4" w:space="0" w:color="auto"/>
              <w:right w:val="single" w:sz="4" w:space="0" w:color="auto"/>
            </w:tcBorders>
            <w:shd w:val="clear" w:color="auto" w:fill="auto"/>
            <w:noWrap/>
            <w:vAlign w:val="bottom"/>
            <w:hideMark/>
          </w:tcPr>
          <w:p w14:paraId="2E020C3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Lagunillas 220-&gt;Guindo 220</w:t>
            </w:r>
          </w:p>
        </w:tc>
        <w:tc>
          <w:tcPr>
            <w:tcW w:w="992" w:type="dxa"/>
            <w:tcBorders>
              <w:top w:val="nil"/>
              <w:left w:val="nil"/>
              <w:bottom w:val="single" w:sz="4" w:space="0" w:color="auto"/>
              <w:right w:val="single" w:sz="4" w:space="0" w:color="auto"/>
            </w:tcBorders>
            <w:shd w:val="clear" w:color="auto" w:fill="auto"/>
            <w:noWrap/>
          </w:tcPr>
          <w:p w14:paraId="1F9BE2F1" w14:textId="19E025C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c>
          <w:tcPr>
            <w:tcW w:w="851" w:type="dxa"/>
            <w:tcBorders>
              <w:top w:val="nil"/>
              <w:left w:val="nil"/>
              <w:bottom w:val="single" w:sz="4" w:space="0" w:color="auto"/>
              <w:right w:val="single" w:sz="4" w:space="0" w:color="auto"/>
            </w:tcBorders>
            <w:shd w:val="clear" w:color="auto" w:fill="auto"/>
            <w:noWrap/>
          </w:tcPr>
          <w:p w14:paraId="3A5DF12C" w14:textId="4716A10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40F9F29C" w14:textId="4A2B8F6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4FDD2B67" w14:textId="0429862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r>
      <w:tr w:rsidR="005E36B7" w:rsidRPr="005E36B7" w14:paraId="57411B1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C75FCA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N_68</w:t>
            </w:r>
          </w:p>
        </w:tc>
        <w:tc>
          <w:tcPr>
            <w:tcW w:w="5103" w:type="dxa"/>
            <w:tcBorders>
              <w:top w:val="nil"/>
              <w:left w:val="nil"/>
              <w:bottom w:val="single" w:sz="4" w:space="0" w:color="auto"/>
              <w:right w:val="single" w:sz="4" w:space="0" w:color="auto"/>
            </w:tcBorders>
            <w:shd w:val="clear" w:color="auto" w:fill="auto"/>
            <w:noWrap/>
            <w:vAlign w:val="bottom"/>
            <w:hideMark/>
          </w:tcPr>
          <w:p w14:paraId="156B1CE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 Aguirre 220-&gt;Cerro Navia 220</w:t>
            </w:r>
          </w:p>
        </w:tc>
        <w:tc>
          <w:tcPr>
            <w:tcW w:w="992" w:type="dxa"/>
            <w:tcBorders>
              <w:top w:val="nil"/>
              <w:left w:val="nil"/>
              <w:bottom w:val="single" w:sz="4" w:space="0" w:color="auto"/>
              <w:right w:val="single" w:sz="4" w:space="0" w:color="auto"/>
            </w:tcBorders>
            <w:shd w:val="clear" w:color="auto" w:fill="auto"/>
            <w:noWrap/>
          </w:tcPr>
          <w:p w14:paraId="49401877" w14:textId="480BC22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3AF76B91" w14:textId="06236EE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40E66774" w14:textId="1861E0D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21B9572" w14:textId="7DFA906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30ED325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7BA2C8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N_69</w:t>
            </w:r>
          </w:p>
        </w:tc>
        <w:tc>
          <w:tcPr>
            <w:tcW w:w="5103" w:type="dxa"/>
            <w:tcBorders>
              <w:top w:val="nil"/>
              <w:left w:val="nil"/>
              <w:bottom w:val="single" w:sz="4" w:space="0" w:color="auto"/>
              <w:right w:val="single" w:sz="4" w:space="0" w:color="auto"/>
            </w:tcBorders>
            <w:shd w:val="clear" w:color="auto" w:fill="auto"/>
            <w:noWrap/>
            <w:vAlign w:val="bottom"/>
            <w:hideMark/>
          </w:tcPr>
          <w:p w14:paraId="3C4B470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 Aguirre 220-&gt;Nueva Alto Melipilla 220</w:t>
            </w:r>
          </w:p>
        </w:tc>
        <w:tc>
          <w:tcPr>
            <w:tcW w:w="992" w:type="dxa"/>
            <w:tcBorders>
              <w:top w:val="nil"/>
              <w:left w:val="nil"/>
              <w:bottom w:val="single" w:sz="4" w:space="0" w:color="auto"/>
              <w:right w:val="single" w:sz="4" w:space="0" w:color="auto"/>
            </w:tcBorders>
            <w:shd w:val="clear" w:color="auto" w:fill="auto"/>
            <w:noWrap/>
          </w:tcPr>
          <w:p w14:paraId="2EF1C26C" w14:textId="1082E7D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c>
          <w:tcPr>
            <w:tcW w:w="851" w:type="dxa"/>
            <w:tcBorders>
              <w:top w:val="nil"/>
              <w:left w:val="nil"/>
              <w:bottom w:val="single" w:sz="4" w:space="0" w:color="auto"/>
              <w:right w:val="single" w:sz="4" w:space="0" w:color="auto"/>
            </w:tcBorders>
            <w:shd w:val="clear" w:color="auto" w:fill="auto"/>
            <w:noWrap/>
          </w:tcPr>
          <w:p w14:paraId="0BBC7703" w14:textId="0905A2F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582E7665" w14:textId="384A830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0,60</w:t>
            </w:r>
          </w:p>
        </w:tc>
        <w:tc>
          <w:tcPr>
            <w:tcW w:w="992" w:type="dxa"/>
            <w:tcBorders>
              <w:top w:val="nil"/>
              <w:left w:val="nil"/>
              <w:bottom w:val="single" w:sz="4" w:space="0" w:color="auto"/>
              <w:right w:val="single" w:sz="4" w:space="0" w:color="auto"/>
            </w:tcBorders>
            <w:shd w:val="clear" w:color="auto" w:fill="auto"/>
            <w:noWrap/>
          </w:tcPr>
          <w:p w14:paraId="0980E566" w14:textId="1D906E9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0,40</w:t>
            </w:r>
          </w:p>
        </w:tc>
      </w:tr>
      <w:tr w:rsidR="005E36B7" w:rsidRPr="005E36B7" w14:paraId="5E5D1CA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6B083C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N_70</w:t>
            </w:r>
          </w:p>
        </w:tc>
        <w:tc>
          <w:tcPr>
            <w:tcW w:w="5103" w:type="dxa"/>
            <w:tcBorders>
              <w:top w:val="nil"/>
              <w:left w:val="nil"/>
              <w:bottom w:val="single" w:sz="4" w:space="0" w:color="auto"/>
              <w:right w:val="single" w:sz="4" w:space="0" w:color="auto"/>
            </w:tcBorders>
            <w:shd w:val="clear" w:color="auto" w:fill="auto"/>
            <w:noWrap/>
            <w:vAlign w:val="bottom"/>
            <w:hideMark/>
          </w:tcPr>
          <w:p w14:paraId="0CBD2DA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 Aguirre 500-&gt;Alto Jahuel 500</w:t>
            </w:r>
          </w:p>
        </w:tc>
        <w:tc>
          <w:tcPr>
            <w:tcW w:w="992" w:type="dxa"/>
            <w:tcBorders>
              <w:top w:val="nil"/>
              <w:left w:val="nil"/>
              <w:bottom w:val="single" w:sz="4" w:space="0" w:color="auto"/>
              <w:right w:val="single" w:sz="4" w:space="0" w:color="auto"/>
            </w:tcBorders>
            <w:shd w:val="clear" w:color="auto" w:fill="auto"/>
            <w:noWrap/>
          </w:tcPr>
          <w:p w14:paraId="508D6C3C" w14:textId="48EF7DA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5C7E0A58" w14:textId="26B477F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6A5FB5EC" w14:textId="746B01B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74D30469" w14:textId="482DB22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r>
      <w:tr w:rsidR="005E36B7" w:rsidRPr="005E36B7" w14:paraId="29E5F4E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5209A0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N_71</w:t>
            </w:r>
          </w:p>
        </w:tc>
        <w:tc>
          <w:tcPr>
            <w:tcW w:w="5103" w:type="dxa"/>
            <w:tcBorders>
              <w:top w:val="nil"/>
              <w:left w:val="nil"/>
              <w:bottom w:val="single" w:sz="4" w:space="0" w:color="auto"/>
              <w:right w:val="single" w:sz="4" w:space="0" w:color="auto"/>
            </w:tcBorders>
            <w:shd w:val="clear" w:color="auto" w:fill="auto"/>
            <w:noWrap/>
            <w:vAlign w:val="bottom"/>
            <w:hideMark/>
          </w:tcPr>
          <w:p w14:paraId="3EC16E8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 Aguirre 500-&gt;Lo Aguirre 220</w:t>
            </w:r>
          </w:p>
        </w:tc>
        <w:tc>
          <w:tcPr>
            <w:tcW w:w="992" w:type="dxa"/>
            <w:tcBorders>
              <w:top w:val="nil"/>
              <w:left w:val="nil"/>
              <w:bottom w:val="single" w:sz="4" w:space="0" w:color="auto"/>
              <w:right w:val="single" w:sz="4" w:space="0" w:color="auto"/>
            </w:tcBorders>
            <w:shd w:val="clear" w:color="auto" w:fill="auto"/>
            <w:noWrap/>
          </w:tcPr>
          <w:p w14:paraId="1DB95003" w14:textId="1C1878E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693F544F" w14:textId="71E4187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D925701" w14:textId="568BEE3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220A851" w14:textId="513F85F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66B62E1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5F22F9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N_72</w:t>
            </w:r>
          </w:p>
        </w:tc>
        <w:tc>
          <w:tcPr>
            <w:tcW w:w="5103" w:type="dxa"/>
            <w:tcBorders>
              <w:top w:val="nil"/>
              <w:left w:val="nil"/>
              <w:bottom w:val="single" w:sz="4" w:space="0" w:color="auto"/>
              <w:right w:val="single" w:sz="4" w:space="0" w:color="auto"/>
            </w:tcBorders>
            <w:shd w:val="clear" w:color="auto" w:fill="auto"/>
            <w:noWrap/>
            <w:vAlign w:val="bottom"/>
            <w:hideMark/>
          </w:tcPr>
          <w:p w14:paraId="6717B71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Changos 500-&gt;Cumbre 500</w:t>
            </w:r>
          </w:p>
        </w:tc>
        <w:tc>
          <w:tcPr>
            <w:tcW w:w="992" w:type="dxa"/>
            <w:tcBorders>
              <w:top w:val="nil"/>
              <w:left w:val="nil"/>
              <w:bottom w:val="single" w:sz="4" w:space="0" w:color="auto"/>
              <w:right w:val="single" w:sz="4" w:space="0" w:color="auto"/>
            </w:tcBorders>
            <w:shd w:val="clear" w:color="auto" w:fill="auto"/>
            <w:noWrap/>
          </w:tcPr>
          <w:p w14:paraId="13D829CE" w14:textId="0D03D6A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0,06</w:t>
            </w:r>
          </w:p>
        </w:tc>
        <w:tc>
          <w:tcPr>
            <w:tcW w:w="851" w:type="dxa"/>
            <w:tcBorders>
              <w:top w:val="nil"/>
              <w:left w:val="nil"/>
              <w:bottom w:val="single" w:sz="4" w:space="0" w:color="auto"/>
              <w:right w:val="single" w:sz="4" w:space="0" w:color="auto"/>
            </w:tcBorders>
            <w:shd w:val="clear" w:color="auto" w:fill="auto"/>
            <w:noWrap/>
          </w:tcPr>
          <w:p w14:paraId="66C870A4" w14:textId="674DE6A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0,94</w:t>
            </w:r>
          </w:p>
        </w:tc>
        <w:tc>
          <w:tcPr>
            <w:tcW w:w="992" w:type="dxa"/>
            <w:tcBorders>
              <w:top w:val="nil"/>
              <w:left w:val="nil"/>
              <w:bottom w:val="single" w:sz="4" w:space="0" w:color="auto"/>
              <w:right w:val="single" w:sz="4" w:space="0" w:color="auto"/>
            </w:tcBorders>
            <w:shd w:val="clear" w:color="auto" w:fill="auto"/>
            <w:noWrap/>
          </w:tcPr>
          <w:p w14:paraId="3296353F" w14:textId="3295B04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0,10</w:t>
            </w:r>
          </w:p>
        </w:tc>
        <w:tc>
          <w:tcPr>
            <w:tcW w:w="992" w:type="dxa"/>
            <w:tcBorders>
              <w:top w:val="nil"/>
              <w:left w:val="nil"/>
              <w:bottom w:val="single" w:sz="4" w:space="0" w:color="auto"/>
              <w:right w:val="single" w:sz="4" w:space="0" w:color="auto"/>
            </w:tcBorders>
            <w:shd w:val="clear" w:color="auto" w:fill="auto"/>
            <w:noWrap/>
          </w:tcPr>
          <w:p w14:paraId="47857A6B" w14:textId="3397EB4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0,90</w:t>
            </w:r>
          </w:p>
        </w:tc>
      </w:tr>
      <w:tr w:rsidR="005E36B7" w:rsidRPr="005E36B7" w14:paraId="3EB060A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614072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N_73</w:t>
            </w:r>
          </w:p>
        </w:tc>
        <w:tc>
          <w:tcPr>
            <w:tcW w:w="5103" w:type="dxa"/>
            <w:tcBorders>
              <w:top w:val="nil"/>
              <w:left w:val="nil"/>
              <w:bottom w:val="single" w:sz="4" w:space="0" w:color="auto"/>
              <w:right w:val="single" w:sz="4" w:space="0" w:color="auto"/>
            </w:tcBorders>
            <w:shd w:val="clear" w:color="auto" w:fill="auto"/>
            <w:noWrap/>
            <w:vAlign w:val="bottom"/>
            <w:hideMark/>
          </w:tcPr>
          <w:p w14:paraId="7963E76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Changos 500-&gt;Los Changos 220</w:t>
            </w:r>
          </w:p>
        </w:tc>
        <w:tc>
          <w:tcPr>
            <w:tcW w:w="992" w:type="dxa"/>
            <w:tcBorders>
              <w:top w:val="nil"/>
              <w:left w:val="nil"/>
              <w:bottom w:val="single" w:sz="4" w:space="0" w:color="auto"/>
              <w:right w:val="single" w:sz="4" w:space="0" w:color="auto"/>
            </w:tcBorders>
            <w:shd w:val="clear" w:color="auto" w:fill="auto"/>
            <w:noWrap/>
          </w:tcPr>
          <w:p w14:paraId="08B0E164" w14:textId="6629128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0,07</w:t>
            </w:r>
          </w:p>
        </w:tc>
        <w:tc>
          <w:tcPr>
            <w:tcW w:w="851" w:type="dxa"/>
            <w:tcBorders>
              <w:top w:val="nil"/>
              <w:left w:val="nil"/>
              <w:bottom w:val="single" w:sz="4" w:space="0" w:color="auto"/>
              <w:right w:val="single" w:sz="4" w:space="0" w:color="auto"/>
            </w:tcBorders>
            <w:shd w:val="clear" w:color="auto" w:fill="auto"/>
            <w:noWrap/>
          </w:tcPr>
          <w:p w14:paraId="04C368C3" w14:textId="50B9815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0,93</w:t>
            </w:r>
          </w:p>
        </w:tc>
        <w:tc>
          <w:tcPr>
            <w:tcW w:w="992" w:type="dxa"/>
            <w:tcBorders>
              <w:top w:val="nil"/>
              <w:left w:val="nil"/>
              <w:bottom w:val="single" w:sz="4" w:space="0" w:color="auto"/>
              <w:right w:val="single" w:sz="4" w:space="0" w:color="auto"/>
            </w:tcBorders>
            <w:shd w:val="clear" w:color="auto" w:fill="auto"/>
            <w:noWrap/>
          </w:tcPr>
          <w:p w14:paraId="5796B37E" w14:textId="77A2CEF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0,11</w:t>
            </w:r>
          </w:p>
        </w:tc>
        <w:tc>
          <w:tcPr>
            <w:tcW w:w="992" w:type="dxa"/>
            <w:tcBorders>
              <w:top w:val="nil"/>
              <w:left w:val="nil"/>
              <w:bottom w:val="single" w:sz="4" w:space="0" w:color="auto"/>
              <w:right w:val="single" w:sz="4" w:space="0" w:color="auto"/>
            </w:tcBorders>
            <w:shd w:val="clear" w:color="auto" w:fill="auto"/>
            <w:noWrap/>
          </w:tcPr>
          <w:p w14:paraId="4B70BA85" w14:textId="3BEA27E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0,89</w:t>
            </w:r>
          </w:p>
        </w:tc>
      </w:tr>
      <w:tr w:rsidR="005E36B7" w:rsidRPr="005E36B7" w14:paraId="688DAEF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7996F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N_74</w:t>
            </w:r>
          </w:p>
        </w:tc>
        <w:tc>
          <w:tcPr>
            <w:tcW w:w="5103" w:type="dxa"/>
            <w:tcBorders>
              <w:top w:val="nil"/>
              <w:left w:val="nil"/>
              <w:bottom w:val="single" w:sz="4" w:space="0" w:color="auto"/>
              <w:right w:val="single" w:sz="4" w:space="0" w:color="auto"/>
            </w:tcBorders>
            <w:shd w:val="clear" w:color="auto" w:fill="auto"/>
            <w:noWrap/>
            <w:vAlign w:val="bottom"/>
            <w:hideMark/>
          </w:tcPr>
          <w:p w14:paraId="46A0DAC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Maquis 220-&gt;Quilapilun 220</w:t>
            </w:r>
          </w:p>
        </w:tc>
        <w:tc>
          <w:tcPr>
            <w:tcW w:w="992" w:type="dxa"/>
            <w:tcBorders>
              <w:top w:val="nil"/>
              <w:left w:val="nil"/>
              <w:bottom w:val="single" w:sz="4" w:space="0" w:color="auto"/>
              <w:right w:val="single" w:sz="4" w:space="0" w:color="auto"/>
            </w:tcBorders>
            <w:shd w:val="clear" w:color="auto" w:fill="auto"/>
            <w:noWrap/>
          </w:tcPr>
          <w:p w14:paraId="23F58006" w14:textId="2109AAD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0,02</w:t>
            </w:r>
          </w:p>
        </w:tc>
        <w:tc>
          <w:tcPr>
            <w:tcW w:w="851" w:type="dxa"/>
            <w:tcBorders>
              <w:top w:val="nil"/>
              <w:left w:val="nil"/>
              <w:bottom w:val="single" w:sz="4" w:space="0" w:color="auto"/>
              <w:right w:val="single" w:sz="4" w:space="0" w:color="auto"/>
            </w:tcBorders>
            <w:shd w:val="clear" w:color="auto" w:fill="auto"/>
            <w:noWrap/>
          </w:tcPr>
          <w:p w14:paraId="1C3D3276" w14:textId="0AEC302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0,98</w:t>
            </w:r>
          </w:p>
        </w:tc>
        <w:tc>
          <w:tcPr>
            <w:tcW w:w="992" w:type="dxa"/>
            <w:tcBorders>
              <w:top w:val="nil"/>
              <w:left w:val="nil"/>
              <w:bottom w:val="single" w:sz="4" w:space="0" w:color="auto"/>
              <w:right w:val="single" w:sz="4" w:space="0" w:color="auto"/>
            </w:tcBorders>
            <w:shd w:val="clear" w:color="auto" w:fill="auto"/>
            <w:noWrap/>
          </w:tcPr>
          <w:p w14:paraId="72C588E5" w14:textId="22013D6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0,03</w:t>
            </w:r>
          </w:p>
        </w:tc>
        <w:tc>
          <w:tcPr>
            <w:tcW w:w="992" w:type="dxa"/>
            <w:tcBorders>
              <w:top w:val="nil"/>
              <w:left w:val="nil"/>
              <w:bottom w:val="single" w:sz="4" w:space="0" w:color="auto"/>
              <w:right w:val="single" w:sz="4" w:space="0" w:color="auto"/>
            </w:tcBorders>
            <w:shd w:val="clear" w:color="auto" w:fill="auto"/>
            <w:noWrap/>
          </w:tcPr>
          <w:p w14:paraId="1F21A398" w14:textId="249CCF4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0,97</w:t>
            </w:r>
          </w:p>
        </w:tc>
      </w:tr>
      <w:tr w:rsidR="005E36B7" w:rsidRPr="005E36B7" w14:paraId="74315DC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E7F4FF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N_75</w:t>
            </w:r>
          </w:p>
        </w:tc>
        <w:tc>
          <w:tcPr>
            <w:tcW w:w="5103" w:type="dxa"/>
            <w:tcBorders>
              <w:top w:val="nil"/>
              <w:left w:val="nil"/>
              <w:bottom w:val="single" w:sz="4" w:space="0" w:color="auto"/>
              <w:right w:val="single" w:sz="4" w:space="0" w:color="auto"/>
            </w:tcBorders>
            <w:shd w:val="clear" w:color="auto" w:fill="auto"/>
            <w:noWrap/>
            <w:vAlign w:val="bottom"/>
            <w:hideMark/>
          </w:tcPr>
          <w:p w14:paraId="152C979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Vilos 220-&gt;Las Palmas 220</w:t>
            </w:r>
          </w:p>
        </w:tc>
        <w:tc>
          <w:tcPr>
            <w:tcW w:w="992" w:type="dxa"/>
            <w:tcBorders>
              <w:top w:val="nil"/>
              <w:left w:val="nil"/>
              <w:bottom w:val="single" w:sz="4" w:space="0" w:color="auto"/>
              <w:right w:val="single" w:sz="4" w:space="0" w:color="auto"/>
            </w:tcBorders>
            <w:shd w:val="clear" w:color="auto" w:fill="auto"/>
            <w:noWrap/>
          </w:tcPr>
          <w:p w14:paraId="6ABF7CC6" w14:textId="2EC918E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0,34</w:t>
            </w:r>
          </w:p>
        </w:tc>
        <w:tc>
          <w:tcPr>
            <w:tcW w:w="851" w:type="dxa"/>
            <w:tcBorders>
              <w:top w:val="nil"/>
              <w:left w:val="nil"/>
              <w:bottom w:val="single" w:sz="4" w:space="0" w:color="auto"/>
              <w:right w:val="single" w:sz="4" w:space="0" w:color="auto"/>
            </w:tcBorders>
            <w:shd w:val="clear" w:color="auto" w:fill="auto"/>
            <w:noWrap/>
          </w:tcPr>
          <w:p w14:paraId="4F22B5BC" w14:textId="73CE548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0,66</w:t>
            </w:r>
          </w:p>
        </w:tc>
        <w:tc>
          <w:tcPr>
            <w:tcW w:w="992" w:type="dxa"/>
            <w:tcBorders>
              <w:top w:val="nil"/>
              <w:left w:val="nil"/>
              <w:bottom w:val="single" w:sz="4" w:space="0" w:color="auto"/>
              <w:right w:val="single" w:sz="4" w:space="0" w:color="auto"/>
            </w:tcBorders>
            <w:shd w:val="clear" w:color="auto" w:fill="auto"/>
            <w:noWrap/>
          </w:tcPr>
          <w:p w14:paraId="01A2C62A" w14:textId="4D8C9DD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5C98FD11" w14:textId="2691591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r>
      <w:tr w:rsidR="005E36B7" w:rsidRPr="005E36B7" w14:paraId="11D4CE3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4E7701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N_76</w:t>
            </w:r>
          </w:p>
        </w:tc>
        <w:tc>
          <w:tcPr>
            <w:tcW w:w="5103" w:type="dxa"/>
            <w:tcBorders>
              <w:top w:val="nil"/>
              <w:left w:val="nil"/>
              <w:bottom w:val="single" w:sz="4" w:space="0" w:color="auto"/>
              <w:right w:val="single" w:sz="4" w:space="0" w:color="auto"/>
            </w:tcBorders>
            <w:shd w:val="clear" w:color="auto" w:fill="auto"/>
            <w:noWrap/>
            <w:vAlign w:val="bottom"/>
            <w:hideMark/>
          </w:tcPr>
          <w:p w14:paraId="5DC4D3B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Vilos 220-&gt;Nogales 220</w:t>
            </w:r>
          </w:p>
        </w:tc>
        <w:tc>
          <w:tcPr>
            <w:tcW w:w="992" w:type="dxa"/>
            <w:tcBorders>
              <w:top w:val="nil"/>
              <w:left w:val="nil"/>
              <w:bottom w:val="single" w:sz="4" w:space="0" w:color="auto"/>
              <w:right w:val="single" w:sz="4" w:space="0" w:color="auto"/>
            </w:tcBorders>
            <w:shd w:val="clear" w:color="auto" w:fill="auto"/>
            <w:noWrap/>
          </w:tcPr>
          <w:p w14:paraId="62F9E7E5" w14:textId="3113A27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284217AE" w14:textId="594CAAA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0A933FBD" w14:textId="6D3B0F4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4E00DAC0" w14:textId="0DC5C50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r>
      <w:tr w:rsidR="005E36B7" w:rsidRPr="005E36B7" w14:paraId="45D19241"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BF8055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N_77</w:t>
            </w:r>
          </w:p>
        </w:tc>
        <w:tc>
          <w:tcPr>
            <w:tcW w:w="5103" w:type="dxa"/>
            <w:tcBorders>
              <w:top w:val="nil"/>
              <w:left w:val="nil"/>
              <w:bottom w:val="single" w:sz="4" w:space="0" w:color="auto"/>
              <w:right w:val="single" w:sz="4" w:space="0" w:color="auto"/>
            </w:tcBorders>
            <w:shd w:val="clear" w:color="auto" w:fill="auto"/>
            <w:noWrap/>
            <w:vAlign w:val="bottom"/>
            <w:hideMark/>
          </w:tcPr>
          <w:p w14:paraId="64F1FA5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Los Vilos 220-&gt;Tap Doña Carmen 220</w:t>
            </w:r>
          </w:p>
        </w:tc>
        <w:tc>
          <w:tcPr>
            <w:tcW w:w="992" w:type="dxa"/>
            <w:tcBorders>
              <w:top w:val="nil"/>
              <w:left w:val="nil"/>
              <w:bottom w:val="single" w:sz="4" w:space="0" w:color="auto"/>
              <w:right w:val="single" w:sz="4" w:space="0" w:color="auto"/>
            </w:tcBorders>
            <w:shd w:val="clear" w:color="auto" w:fill="auto"/>
            <w:noWrap/>
          </w:tcPr>
          <w:p w14:paraId="321E326D" w14:textId="772453D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c>
          <w:tcPr>
            <w:tcW w:w="851" w:type="dxa"/>
            <w:tcBorders>
              <w:top w:val="nil"/>
              <w:left w:val="nil"/>
              <w:bottom w:val="single" w:sz="4" w:space="0" w:color="auto"/>
              <w:right w:val="single" w:sz="4" w:space="0" w:color="auto"/>
            </w:tcBorders>
            <w:shd w:val="clear" w:color="auto" w:fill="auto"/>
            <w:noWrap/>
          </w:tcPr>
          <w:p w14:paraId="4B81505F" w14:textId="47B2399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c>
          <w:tcPr>
            <w:tcW w:w="992" w:type="dxa"/>
            <w:tcBorders>
              <w:top w:val="nil"/>
              <w:left w:val="nil"/>
              <w:bottom w:val="single" w:sz="4" w:space="0" w:color="auto"/>
              <w:right w:val="single" w:sz="4" w:space="0" w:color="auto"/>
            </w:tcBorders>
            <w:shd w:val="clear" w:color="auto" w:fill="auto"/>
            <w:noWrap/>
          </w:tcPr>
          <w:p w14:paraId="3AF51F02" w14:textId="1B5792A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992" w:type="dxa"/>
            <w:tcBorders>
              <w:top w:val="nil"/>
              <w:left w:val="nil"/>
              <w:bottom w:val="single" w:sz="4" w:space="0" w:color="auto"/>
              <w:right w:val="single" w:sz="4" w:space="0" w:color="auto"/>
            </w:tcBorders>
            <w:shd w:val="clear" w:color="auto" w:fill="auto"/>
            <w:noWrap/>
          </w:tcPr>
          <w:p w14:paraId="68B3690A" w14:textId="09A1A06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r>
      <w:tr w:rsidR="005E36B7" w:rsidRPr="005E36B7" w14:paraId="3FD1380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3E4977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N_78</w:t>
            </w:r>
          </w:p>
        </w:tc>
        <w:tc>
          <w:tcPr>
            <w:tcW w:w="5103" w:type="dxa"/>
            <w:tcBorders>
              <w:top w:val="nil"/>
              <w:left w:val="nil"/>
              <w:bottom w:val="single" w:sz="4" w:space="0" w:color="auto"/>
              <w:right w:val="single" w:sz="4" w:space="0" w:color="auto"/>
            </w:tcBorders>
            <w:shd w:val="clear" w:color="auto" w:fill="auto"/>
            <w:noWrap/>
            <w:vAlign w:val="bottom"/>
            <w:hideMark/>
          </w:tcPr>
          <w:p w14:paraId="4394620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Maitencillo 220-&gt;Algarrobal 220</w:t>
            </w:r>
          </w:p>
        </w:tc>
        <w:tc>
          <w:tcPr>
            <w:tcW w:w="992" w:type="dxa"/>
            <w:tcBorders>
              <w:top w:val="nil"/>
              <w:left w:val="nil"/>
              <w:bottom w:val="single" w:sz="4" w:space="0" w:color="auto"/>
              <w:right w:val="single" w:sz="4" w:space="0" w:color="auto"/>
            </w:tcBorders>
            <w:shd w:val="clear" w:color="auto" w:fill="auto"/>
            <w:noWrap/>
          </w:tcPr>
          <w:p w14:paraId="2E80F17F" w14:textId="18936EC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851" w:type="dxa"/>
            <w:tcBorders>
              <w:top w:val="nil"/>
              <w:left w:val="nil"/>
              <w:bottom w:val="single" w:sz="4" w:space="0" w:color="auto"/>
              <w:right w:val="single" w:sz="4" w:space="0" w:color="auto"/>
            </w:tcBorders>
            <w:shd w:val="clear" w:color="auto" w:fill="auto"/>
            <w:noWrap/>
          </w:tcPr>
          <w:p w14:paraId="23BD57E6" w14:textId="6B0E911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31E1E653" w14:textId="28E0879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c>
          <w:tcPr>
            <w:tcW w:w="992" w:type="dxa"/>
            <w:tcBorders>
              <w:top w:val="nil"/>
              <w:left w:val="nil"/>
              <w:bottom w:val="single" w:sz="4" w:space="0" w:color="auto"/>
              <w:right w:val="single" w:sz="4" w:space="0" w:color="auto"/>
            </w:tcBorders>
            <w:shd w:val="clear" w:color="auto" w:fill="auto"/>
            <w:noWrap/>
          </w:tcPr>
          <w:p w14:paraId="424DDAD7" w14:textId="48BF08F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r>
      <w:tr w:rsidR="005E36B7" w:rsidRPr="005E36B7" w14:paraId="4658E75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85F612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N_79</w:t>
            </w:r>
          </w:p>
        </w:tc>
        <w:tc>
          <w:tcPr>
            <w:tcW w:w="5103" w:type="dxa"/>
            <w:tcBorders>
              <w:top w:val="nil"/>
              <w:left w:val="nil"/>
              <w:bottom w:val="single" w:sz="4" w:space="0" w:color="auto"/>
              <w:right w:val="single" w:sz="4" w:space="0" w:color="auto"/>
            </w:tcBorders>
            <w:shd w:val="clear" w:color="auto" w:fill="auto"/>
            <w:noWrap/>
            <w:vAlign w:val="bottom"/>
            <w:hideMark/>
          </w:tcPr>
          <w:p w14:paraId="5E1ECB4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Maitencillo 220-&gt;Don Hector 220</w:t>
            </w:r>
          </w:p>
        </w:tc>
        <w:tc>
          <w:tcPr>
            <w:tcW w:w="992" w:type="dxa"/>
            <w:tcBorders>
              <w:top w:val="nil"/>
              <w:left w:val="nil"/>
              <w:bottom w:val="single" w:sz="4" w:space="0" w:color="auto"/>
              <w:right w:val="single" w:sz="4" w:space="0" w:color="auto"/>
            </w:tcBorders>
            <w:shd w:val="clear" w:color="auto" w:fill="auto"/>
            <w:noWrap/>
          </w:tcPr>
          <w:p w14:paraId="5E68CF16" w14:textId="63C7ECC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0,05</w:t>
            </w:r>
          </w:p>
        </w:tc>
        <w:tc>
          <w:tcPr>
            <w:tcW w:w="851" w:type="dxa"/>
            <w:tcBorders>
              <w:top w:val="nil"/>
              <w:left w:val="nil"/>
              <w:bottom w:val="single" w:sz="4" w:space="0" w:color="auto"/>
              <w:right w:val="single" w:sz="4" w:space="0" w:color="auto"/>
            </w:tcBorders>
            <w:shd w:val="clear" w:color="auto" w:fill="auto"/>
            <w:noWrap/>
          </w:tcPr>
          <w:p w14:paraId="75DD6198" w14:textId="07D2A01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0,95</w:t>
            </w:r>
          </w:p>
        </w:tc>
        <w:tc>
          <w:tcPr>
            <w:tcW w:w="992" w:type="dxa"/>
            <w:tcBorders>
              <w:top w:val="nil"/>
              <w:left w:val="nil"/>
              <w:bottom w:val="single" w:sz="4" w:space="0" w:color="auto"/>
              <w:right w:val="single" w:sz="4" w:space="0" w:color="auto"/>
            </w:tcBorders>
            <w:shd w:val="clear" w:color="auto" w:fill="auto"/>
            <w:noWrap/>
          </w:tcPr>
          <w:p w14:paraId="48F605EB" w14:textId="3653CB5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0,11</w:t>
            </w:r>
          </w:p>
        </w:tc>
        <w:tc>
          <w:tcPr>
            <w:tcW w:w="992" w:type="dxa"/>
            <w:tcBorders>
              <w:top w:val="nil"/>
              <w:left w:val="nil"/>
              <w:bottom w:val="single" w:sz="4" w:space="0" w:color="auto"/>
              <w:right w:val="single" w:sz="4" w:space="0" w:color="auto"/>
            </w:tcBorders>
            <w:shd w:val="clear" w:color="auto" w:fill="auto"/>
            <w:noWrap/>
          </w:tcPr>
          <w:p w14:paraId="214DF266" w14:textId="47AC018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0,89</w:t>
            </w:r>
          </w:p>
        </w:tc>
      </w:tr>
      <w:tr w:rsidR="005E36B7" w:rsidRPr="005E36B7" w14:paraId="540E5C9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BB05FA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N_80</w:t>
            </w:r>
          </w:p>
        </w:tc>
        <w:tc>
          <w:tcPr>
            <w:tcW w:w="5103" w:type="dxa"/>
            <w:tcBorders>
              <w:top w:val="nil"/>
              <w:left w:val="nil"/>
              <w:bottom w:val="single" w:sz="4" w:space="0" w:color="auto"/>
              <w:right w:val="single" w:sz="4" w:space="0" w:color="auto"/>
            </w:tcBorders>
            <w:shd w:val="clear" w:color="auto" w:fill="auto"/>
            <w:noWrap/>
            <w:vAlign w:val="bottom"/>
            <w:hideMark/>
          </w:tcPr>
          <w:p w14:paraId="1852827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Maitencillo 220-&gt;Tap El Romero 220</w:t>
            </w:r>
          </w:p>
        </w:tc>
        <w:tc>
          <w:tcPr>
            <w:tcW w:w="992" w:type="dxa"/>
            <w:tcBorders>
              <w:top w:val="nil"/>
              <w:left w:val="nil"/>
              <w:bottom w:val="single" w:sz="4" w:space="0" w:color="auto"/>
              <w:right w:val="single" w:sz="4" w:space="0" w:color="auto"/>
            </w:tcBorders>
            <w:shd w:val="clear" w:color="auto" w:fill="auto"/>
            <w:noWrap/>
          </w:tcPr>
          <w:p w14:paraId="30636E7D" w14:textId="2CC256E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0,06</w:t>
            </w:r>
          </w:p>
        </w:tc>
        <w:tc>
          <w:tcPr>
            <w:tcW w:w="851" w:type="dxa"/>
            <w:tcBorders>
              <w:top w:val="nil"/>
              <w:left w:val="nil"/>
              <w:bottom w:val="single" w:sz="4" w:space="0" w:color="auto"/>
              <w:right w:val="single" w:sz="4" w:space="0" w:color="auto"/>
            </w:tcBorders>
            <w:shd w:val="clear" w:color="auto" w:fill="auto"/>
            <w:noWrap/>
          </w:tcPr>
          <w:p w14:paraId="71927CC9" w14:textId="368BC53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0,94</w:t>
            </w:r>
          </w:p>
        </w:tc>
        <w:tc>
          <w:tcPr>
            <w:tcW w:w="992" w:type="dxa"/>
            <w:tcBorders>
              <w:top w:val="nil"/>
              <w:left w:val="nil"/>
              <w:bottom w:val="single" w:sz="4" w:space="0" w:color="auto"/>
              <w:right w:val="single" w:sz="4" w:space="0" w:color="auto"/>
            </w:tcBorders>
            <w:shd w:val="clear" w:color="auto" w:fill="auto"/>
            <w:noWrap/>
          </w:tcPr>
          <w:p w14:paraId="1BCA20E2" w14:textId="2B1A844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0,12</w:t>
            </w:r>
          </w:p>
        </w:tc>
        <w:tc>
          <w:tcPr>
            <w:tcW w:w="992" w:type="dxa"/>
            <w:tcBorders>
              <w:top w:val="nil"/>
              <w:left w:val="nil"/>
              <w:bottom w:val="single" w:sz="4" w:space="0" w:color="auto"/>
              <w:right w:val="single" w:sz="4" w:space="0" w:color="auto"/>
            </w:tcBorders>
            <w:shd w:val="clear" w:color="auto" w:fill="auto"/>
            <w:noWrap/>
          </w:tcPr>
          <w:p w14:paraId="345C4D4D" w14:textId="3351B72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0,88</w:t>
            </w:r>
          </w:p>
        </w:tc>
      </w:tr>
      <w:tr w:rsidR="005E36B7" w:rsidRPr="005E36B7" w14:paraId="07DF43E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602C99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N_81</w:t>
            </w:r>
          </w:p>
        </w:tc>
        <w:tc>
          <w:tcPr>
            <w:tcW w:w="5103" w:type="dxa"/>
            <w:tcBorders>
              <w:top w:val="nil"/>
              <w:left w:val="nil"/>
              <w:bottom w:val="single" w:sz="4" w:space="0" w:color="auto"/>
              <w:right w:val="single" w:sz="4" w:space="0" w:color="auto"/>
            </w:tcBorders>
            <w:shd w:val="clear" w:color="auto" w:fill="auto"/>
            <w:noWrap/>
            <w:vAlign w:val="bottom"/>
            <w:hideMark/>
          </w:tcPr>
          <w:p w14:paraId="73FDBE8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Maria Elena 220-&gt;Kimal 220</w:t>
            </w:r>
          </w:p>
        </w:tc>
        <w:tc>
          <w:tcPr>
            <w:tcW w:w="992" w:type="dxa"/>
            <w:tcBorders>
              <w:top w:val="nil"/>
              <w:left w:val="nil"/>
              <w:bottom w:val="single" w:sz="4" w:space="0" w:color="auto"/>
              <w:right w:val="single" w:sz="4" w:space="0" w:color="auto"/>
            </w:tcBorders>
            <w:shd w:val="clear" w:color="auto" w:fill="auto"/>
            <w:noWrap/>
          </w:tcPr>
          <w:p w14:paraId="68829B0D" w14:textId="60ECAD8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0,24</w:t>
            </w:r>
          </w:p>
        </w:tc>
        <w:tc>
          <w:tcPr>
            <w:tcW w:w="851" w:type="dxa"/>
            <w:tcBorders>
              <w:top w:val="nil"/>
              <w:left w:val="nil"/>
              <w:bottom w:val="single" w:sz="4" w:space="0" w:color="auto"/>
              <w:right w:val="single" w:sz="4" w:space="0" w:color="auto"/>
            </w:tcBorders>
            <w:shd w:val="clear" w:color="auto" w:fill="auto"/>
            <w:noWrap/>
          </w:tcPr>
          <w:p w14:paraId="75833E7A" w14:textId="72C9399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4700B8B8" w14:textId="2CB3BFE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01BB41FD" w14:textId="06D6F86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r>
      <w:tr w:rsidR="005E36B7" w:rsidRPr="005E36B7" w14:paraId="7ED1A7A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B3CC93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N_82</w:t>
            </w:r>
          </w:p>
        </w:tc>
        <w:tc>
          <w:tcPr>
            <w:tcW w:w="5103" w:type="dxa"/>
            <w:tcBorders>
              <w:top w:val="nil"/>
              <w:left w:val="nil"/>
              <w:bottom w:val="single" w:sz="4" w:space="0" w:color="auto"/>
              <w:right w:val="single" w:sz="4" w:space="0" w:color="auto"/>
            </w:tcBorders>
            <w:shd w:val="clear" w:color="auto" w:fill="auto"/>
            <w:noWrap/>
            <w:vAlign w:val="bottom"/>
            <w:hideMark/>
          </w:tcPr>
          <w:p w14:paraId="06001AB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Maria Elena 220-&gt;Quillagua 220</w:t>
            </w:r>
          </w:p>
        </w:tc>
        <w:tc>
          <w:tcPr>
            <w:tcW w:w="992" w:type="dxa"/>
            <w:tcBorders>
              <w:top w:val="nil"/>
              <w:left w:val="nil"/>
              <w:bottom w:val="single" w:sz="4" w:space="0" w:color="auto"/>
              <w:right w:val="single" w:sz="4" w:space="0" w:color="auto"/>
            </w:tcBorders>
            <w:shd w:val="clear" w:color="auto" w:fill="auto"/>
            <w:noWrap/>
          </w:tcPr>
          <w:p w14:paraId="4D0D9D9B" w14:textId="0003A92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1E643191" w14:textId="277D506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04CE5934" w14:textId="0D82565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992" w:type="dxa"/>
            <w:tcBorders>
              <w:top w:val="nil"/>
              <w:left w:val="nil"/>
              <w:bottom w:val="single" w:sz="4" w:space="0" w:color="auto"/>
              <w:right w:val="single" w:sz="4" w:space="0" w:color="auto"/>
            </w:tcBorders>
            <w:shd w:val="clear" w:color="auto" w:fill="auto"/>
            <w:noWrap/>
          </w:tcPr>
          <w:p w14:paraId="7B40C4FA" w14:textId="5C36FD8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r>
      <w:tr w:rsidR="005E36B7" w:rsidRPr="005E36B7" w14:paraId="7AB86C9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C197CD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N_83</w:t>
            </w:r>
          </w:p>
        </w:tc>
        <w:tc>
          <w:tcPr>
            <w:tcW w:w="5103" w:type="dxa"/>
            <w:tcBorders>
              <w:top w:val="nil"/>
              <w:left w:val="nil"/>
              <w:bottom w:val="single" w:sz="4" w:space="0" w:color="auto"/>
              <w:right w:val="single" w:sz="4" w:space="0" w:color="auto"/>
            </w:tcBorders>
            <w:shd w:val="clear" w:color="auto" w:fill="auto"/>
            <w:noWrap/>
            <w:vAlign w:val="bottom"/>
            <w:hideMark/>
          </w:tcPr>
          <w:p w14:paraId="08D6655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Melipulli 220-&gt;Pargua 220</w:t>
            </w:r>
          </w:p>
        </w:tc>
        <w:tc>
          <w:tcPr>
            <w:tcW w:w="992" w:type="dxa"/>
            <w:tcBorders>
              <w:top w:val="nil"/>
              <w:left w:val="nil"/>
              <w:bottom w:val="single" w:sz="4" w:space="0" w:color="auto"/>
              <w:right w:val="single" w:sz="4" w:space="0" w:color="auto"/>
            </w:tcBorders>
            <w:shd w:val="clear" w:color="auto" w:fill="auto"/>
            <w:noWrap/>
          </w:tcPr>
          <w:p w14:paraId="23F9DD3F" w14:textId="44A8921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c>
          <w:tcPr>
            <w:tcW w:w="851" w:type="dxa"/>
            <w:tcBorders>
              <w:top w:val="nil"/>
              <w:left w:val="nil"/>
              <w:bottom w:val="single" w:sz="4" w:space="0" w:color="auto"/>
              <w:right w:val="single" w:sz="4" w:space="0" w:color="auto"/>
            </w:tcBorders>
            <w:shd w:val="clear" w:color="auto" w:fill="auto"/>
            <w:noWrap/>
          </w:tcPr>
          <w:p w14:paraId="43A9874A" w14:textId="11F9A2D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992" w:type="dxa"/>
            <w:tcBorders>
              <w:top w:val="nil"/>
              <w:left w:val="nil"/>
              <w:bottom w:val="single" w:sz="4" w:space="0" w:color="auto"/>
              <w:right w:val="single" w:sz="4" w:space="0" w:color="auto"/>
            </w:tcBorders>
            <w:shd w:val="clear" w:color="auto" w:fill="auto"/>
            <w:noWrap/>
          </w:tcPr>
          <w:p w14:paraId="59B7EDB6" w14:textId="30E9298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0,73</w:t>
            </w:r>
          </w:p>
        </w:tc>
        <w:tc>
          <w:tcPr>
            <w:tcW w:w="992" w:type="dxa"/>
            <w:tcBorders>
              <w:top w:val="nil"/>
              <w:left w:val="nil"/>
              <w:bottom w:val="single" w:sz="4" w:space="0" w:color="auto"/>
              <w:right w:val="single" w:sz="4" w:space="0" w:color="auto"/>
            </w:tcBorders>
            <w:shd w:val="clear" w:color="auto" w:fill="auto"/>
            <w:noWrap/>
          </w:tcPr>
          <w:p w14:paraId="00273211" w14:textId="7BEB4A4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0,27</w:t>
            </w:r>
          </w:p>
        </w:tc>
      </w:tr>
      <w:tr w:rsidR="005E36B7" w:rsidRPr="005E36B7" w14:paraId="6AA72A0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02A184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N_84</w:t>
            </w:r>
          </w:p>
        </w:tc>
        <w:tc>
          <w:tcPr>
            <w:tcW w:w="5103" w:type="dxa"/>
            <w:tcBorders>
              <w:top w:val="nil"/>
              <w:left w:val="nil"/>
              <w:bottom w:val="single" w:sz="4" w:space="0" w:color="auto"/>
              <w:right w:val="single" w:sz="4" w:space="0" w:color="auto"/>
            </w:tcBorders>
            <w:shd w:val="clear" w:color="auto" w:fill="auto"/>
            <w:noWrap/>
            <w:vAlign w:val="bottom"/>
            <w:hideMark/>
          </w:tcPr>
          <w:p w14:paraId="39F2FC3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Melipulli 220-&gt;Puerto Montt 220</w:t>
            </w:r>
          </w:p>
        </w:tc>
        <w:tc>
          <w:tcPr>
            <w:tcW w:w="992" w:type="dxa"/>
            <w:tcBorders>
              <w:top w:val="nil"/>
              <w:left w:val="nil"/>
              <w:bottom w:val="single" w:sz="4" w:space="0" w:color="auto"/>
              <w:right w:val="single" w:sz="4" w:space="0" w:color="auto"/>
            </w:tcBorders>
            <w:shd w:val="clear" w:color="auto" w:fill="auto"/>
            <w:noWrap/>
          </w:tcPr>
          <w:p w14:paraId="39C1C2D0" w14:textId="0C8D7A0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595B6553" w14:textId="2A8E6E1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1,00</w:t>
            </w:r>
          </w:p>
        </w:tc>
        <w:tc>
          <w:tcPr>
            <w:tcW w:w="992" w:type="dxa"/>
            <w:tcBorders>
              <w:top w:val="nil"/>
              <w:left w:val="nil"/>
              <w:bottom w:val="single" w:sz="4" w:space="0" w:color="auto"/>
              <w:right w:val="single" w:sz="4" w:space="0" w:color="auto"/>
            </w:tcBorders>
            <w:shd w:val="clear" w:color="auto" w:fill="auto"/>
            <w:noWrap/>
          </w:tcPr>
          <w:p w14:paraId="224B1119" w14:textId="3521B67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0,01</w:t>
            </w:r>
          </w:p>
        </w:tc>
        <w:tc>
          <w:tcPr>
            <w:tcW w:w="992" w:type="dxa"/>
            <w:tcBorders>
              <w:top w:val="nil"/>
              <w:left w:val="nil"/>
              <w:bottom w:val="single" w:sz="4" w:space="0" w:color="auto"/>
              <w:right w:val="single" w:sz="4" w:space="0" w:color="auto"/>
            </w:tcBorders>
            <w:shd w:val="clear" w:color="auto" w:fill="auto"/>
            <w:noWrap/>
          </w:tcPr>
          <w:p w14:paraId="34DBADCC" w14:textId="69615B0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0,99</w:t>
            </w:r>
          </w:p>
        </w:tc>
      </w:tr>
      <w:tr w:rsidR="005E36B7" w:rsidRPr="005E36B7" w14:paraId="5974531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A04FE6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N_85</w:t>
            </w:r>
          </w:p>
        </w:tc>
        <w:tc>
          <w:tcPr>
            <w:tcW w:w="5103" w:type="dxa"/>
            <w:tcBorders>
              <w:top w:val="nil"/>
              <w:left w:val="nil"/>
              <w:bottom w:val="single" w:sz="4" w:space="0" w:color="auto"/>
              <w:right w:val="single" w:sz="4" w:space="0" w:color="auto"/>
            </w:tcBorders>
            <w:shd w:val="clear" w:color="auto" w:fill="auto"/>
            <w:noWrap/>
            <w:vAlign w:val="bottom"/>
            <w:hideMark/>
          </w:tcPr>
          <w:p w14:paraId="1C9F97E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Miraje 220-&gt;Atacama 220</w:t>
            </w:r>
          </w:p>
        </w:tc>
        <w:tc>
          <w:tcPr>
            <w:tcW w:w="992" w:type="dxa"/>
            <w:tcBorders>
              <w:top w:val="nil"/>
              <w:left w:val="nil"/>
              <w:bottom w:val="single" w:sz="4" w:space="0" w:color="auto"/>
              <w:right w:val="single" w:sz="4" w:space="0" w:color="auto"/>
            </w:tcBorders>
            <w:shd w:val="clear" w:color="auto" w:fill="auto"/>
            <w:noWrap/>
          </w:tcPr>
          <w:p w14:paraId="3193F38E" w14:textId="56EE020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0,14</w:t>
            </w:r>
          </w:p>
        </w:tc>
        <w:tc>
          <w:tcPr>
            <w:tcW w:w="851" w:type="dxa"/>
            <w:tcBorders>
              <w:top w:val="nil"/>
              <w:left w:val="nil"/>
              <w:bottom w:val="single" w:sz="4" w:space="0" w:color="auto"/>
              <w:right w:val="single" w:sz="4" w:space="0" w:color="auto"/>
            </w:tcBorders>
            <w:shd w:val="clear" w:color="auto" w:fill="auto"/>
            <w:noWrap/>
          </w:tcPr>
          <w:p w14:paraId="13F3589E" w14:textId="03D14C6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0,86</w:t>
            </w:r>
          </w:p>
        </w:tc>
        <w:tc>
          <w:tcPr>
            <w:tcW w:w="992" w:type="dxa"/>
            <w:tcBorders>
              <w:top w:val="nil"/>
              <w:left w:val="nil"/>
              <w:bottom w:val="single" w:sz="4" w:space="0" w:color="auto"/>
              <w:right w:val="single" w:sz="4" w:space="0" w:color="auto"/>
            </w:tcBorders>
            <w:shd w:val="clear" w:color="auto" w:fill="auto"/>
            <w:noWrap/>
          </w:tcPr>
          <w:p w14:paraId="799B6A8E" w14:textId="0F6D785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0,21</w:t>
            </w:r>
          </w:p>
        </w:tc>
        <w:tc>
          <w:tcPr>
            <w:tcW w:w="992" w:type="dxa"/>
            <w:tcBorders>
              <w:top w:val="nil"/>
              <w:left w:val="nil"/>
              <w:bottom w:val="single" w:sz="4" w:space="0" w:color="auto"/>
              <w:right w:val="single" w:sz="4" w:space="0" w:color="auto"/>
            </w:tcBorders>
            <w:shd w:val="clear" w:color="auto" w:fill="auto"/>
            <w:noWrap/>
          </w:tcPr>
          <w:p w14:paraId="5A53BC86" w14:textId="75AE88C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0,79</w:t>
            </w:r>
          </w:p>
        </w:tc>
      </w:tr>
      <w:tr w:rsidR="005E36B7" w:rsidRPr="005E36B7" w14:paraId="4A2353D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EA4A79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N_86</w:t>
            </w:r>
          </w:p>
        </w:tc>
        <w:tc>
          <w:tcPr>
            <w:tcW w:w="5103" w:type="dxa"/>
            <w:tcBorders>
              <w:top w:val="nil"/>
              <w:left w:val="nil"/>
              <w:bottom w:val="single" w:sz="4" w:space="0" w:color="auto"/>
              <w:right w:val="single" w:sz="4" w:space="0" w:color="auto"/>
            </w:tcBorders>
            <w:shd w:val="clear" w:color="auto" w:fill="auto"/>
            <w:noWrap/>
            <w:vAlign w:val="bottom"/>
            <w:hideMark/>
          </w:tcPr>
          <w:p w14:paraId="6DBD5C6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Miraje 220-&gt;Tap Enlace 220</w:t>
            </w:r>
          </w:p>
        </w:tc>
        <w:tc>
          <w:tcPr>
            <w:tcW w:w="992" w:type="dxa"/>
            <w:tcBorders>
              <w:top w:val="nil"/>
              <w:left w:val="nil"/>
              <w:bottom w:val="single" w:sz="4" w:space="0" w:color="auto"/>
              <w:right w:val="single" w:sz="4" w:space="0" w:color="auto"/>
            </w:tcBorders>
            <w:shd w:val="clear" w:color="auto" w:fill="auto"/>
            <w:noWrap/>
          </w:tcPr>
          <w:p w14:paraId="14900AB5" w14:textId="43C23F1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851" w:type="dxa"/>
            <w:tcBorders>
              <w:top w:val="nil"/>
              <w:left w:val="nil"/>
              <w:bottom w:val="single" w:sz="4" w:space="0" w:color="auto"/>
              <w:right w:val="single" w:sz="4" w:space="0" w:color="auto"/>
            </w:tcBorders>
            <w:shd w:val="clear" w:color="auto" w:fill="auto"/>
            <w:noWrap/>
          </w:tcPr>
          <w:p w14:paraId="74F7894F" w14:textId="0DFA43E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c>
          <w:tcPr>
            <w:tcW w:w="992" w:type="dxa"/>
            <w:tcBorders>
              <w:top w:val="nil"/>
              <w:left w:val="nil"/>
              <w:bottom w:val="single" w:sz="4" w:space="0" w:color="auto"/>
              <w:right w:val="single" w:sz="4" w:space="0" w:color="auto"/>
            </w:tcBorders>
            <w:shd w:val="clear" w:color="auto" w:fill="auto"/>
            <w:noWrap/>
          </w:tcPr>
          <w:p w14:paraId="575B8772" w14:textId="550C78E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0,28</w:t>
            </w:r>
          </w:p>
        </w:tc>
        <w:tc>
          <w:tcPr>
            <w:tcW w:w="992" w:type="dxa"/>
            <w:tcBorders>
              <w:top w:val="nil"/>
              <w:left w:val="nil"/>
              <w:bottom w:val="single" w:sz="4" w:space="0" w:color="auto"/>
              <w:right w:val="single" w:sz="4" w:space="0" w:color="auto"/>
            </w:tcBorders>
            <w:shd w:val="clear" w:color="auto" w:fill="auto"/>
            <w:noWrap/>
          </w:tcPr>
          <w:p w14:paraId="6D68020B" w14:textId="5A87B47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0,72</w:t>
            </w:r>
          </w:p>
        </w:tc>
      </w:tr>
      <w:tr w:rsidR="005E36B7" w:rsidRPr="005E36B7" w14:paraId="3315DA9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8540BB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N_87</w:t>
            </w:r>
          </w:p>
        </w:tc>
        <w:tc>
          <w:tcPr>
            <w:tcW w:w="5103" w:type="dxa"/>
            <w:tcBorders>
              <w:top w:val="nil"/>
              <w:left w:val="nil"/>
              <w:bottom w:val="single" w:sz="4" w:space="0" w:color="auto"/>
              <w:right w:val="single" w:sz="4" w:space="0" w:color="auto"/>
            </w:tcBorders>
            <w:shd w:val="clear" w:color="auto" w:fill="auto"/>
            <w:noWrap/>
            <w:vAlign w:val="bottom"/>
            <w:hideMark/>
          </w:tcPr>
          <w:p w14:paraId="5B513BB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Mulchen 220-&gt;Rio Malleco 220</w:t>
            </w:r>
          </w:p>
        </w:tc>
        <w:tc>
          <w:tcPr>
            <w:tcW w:w="992" w:type="dxa"/>
            <w:tcBorders>
              <w:top w:val="nil"/>
              <w:left w:val="nil"/>
              <w:bottom w:val="single" w:sz="4" w:space="0" w:color="auto"/>
              <w:right w:val="single" w:sz="4" w:space="0" w:color="auto"/>
            </w:tcBorders>
            <w:shd w:val="clear" w:color="auto" w:fill="auto"/>
            <w:noWrap/>
          </w:tcPr>
          <w:p w14:paraId="566C16EC" w14:textId="23227AE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0,15</w:t>
            </w:r>
          </w:p>
        </w:tc>
        <w:tc>
          <w:tcPr>
            <w:tcW w:w="851" w:type="dxa"/>
            <w:tcBorders>
              <w:top w:val="nil"/>
              <w:left w:val="nil"/>
              <w:bottom w:val="single" w:sz="4" w:space="0" w:color="auto"/>
              <w:right w:val="single" w:sz="4" w:space="0" w:color="auto"/>
            </w:tcBorders>
            <w:shd w:val="clear" w:color="auto" w:fill="auto"/>
            <w:noWrap/>
          </w:tcPr>
          <w:p w14:paraId="0BB82DDC" w14:textId="7CD151D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0,85</w:t>
            </w:r>
          </w:p>
        </w:tc>
        <w:tc>
          <w:tcPr>
            <w:tcW w:w="992" w:type="dxa"/>
            <w:tcBorders>
              <w:top w:val="nil"/>
              <w:left w:val="nil"/>
              <w:bottom w:val="single" w:sz="4" w:space="0" w:color="auto"/>
              <w:right w:val="single" w:sz="4" w:space="0" w:color="auto"/>
            </w:tcBorders>
            <w:shd w:val="clear" w:color="auto" w:fill="auto"/>
            <w:noWrap/>
          </w:tcPr>
          <w:p w14:paraId="33C40765" w14:textId="053EB81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0,23</w:t>
            </w:r>
          </w:p>
        </w:tc>
        <w:tc>
          <w:tcPr>
            <w:tcW w:w="992" w:type="dxa"/>
            <w:tcBorders>
              <w:top w:val="nil"/>
              <w:left w:val="nil"/>
              <w:bottom w:val="single" w:sz="4" w:space="0" w:color="auto"/>
              <w:right w:val="single" w:sz="4" w:space="0" w:color="auto"/>
            </w:tcBorders>
            <w:shd w:val="clear" w:color="auto" w:fill="auto"/>
            <w:noWrap/>
          </w:tcPr>
          <w:p w14:paraId="025C898F" w14:textId="52285F4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0,77</w:t>
            </w:r>
          </w:p>
        </w:tc>
      </w:tr>
      <w:tr w:rsidR="005E36B7" w:rsidRPr="005E36B7" w14:paraId="774D39C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6F89B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N_88</w:t>
            </w:r>
          </w:p>
        </w:tc>
        <w:tc>
          <w:tcPr>
            <w:tcW w:w="5103" w:type="dxa"/>
            <w:tcBorders>
              <w:top w:val="nil"/>
              <w:left w:val="nil"/>
              <w:bottom w:val="single" w:sz="4" w:space="0" w:color="auto"/>
              <w:right w:val="single" w:sz="4" w:space="0" w:color="auto"/>
            </w:tcBorders>
            <w:shd w:val="clear" w:color="auto" w:fill="auto"/>
            <w:noWrap/>
            <w:vAlign w:val="bottom"/>
            <w:hideMark/>
          </w:tcPr>
          <w:p w14:paraId="1A02ADB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Nogales 220-&gt;Quillota 220</w:t>
            </w:r>
          </w:p>
        </w:tc>
        <w:tc>
          <w:tcPr>
            <w:tcW w:w="992" w:type="dxa"/>
            <w:tcBorders>
              <w:top w:val="nil"/>
              <w:left w:val="nil"/>
              <w:bottom w:val="single" w:sz="4" w:space="0" w:color="auto"/>
              <w:right w:val="single" w:sz="4" w:space="0" w:color="auto"/>
            </w:tcBorders>
            <w:shd w:val="clear" w:color="auto" w:fill="auto"/>
            <w:noWrap/>
          </w:tcPr>
          <w:p w14:paraId="73CFDBFC" w14:textId="71DC37B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851" w:type="dxa"/>
            <w:tcBorders>
              <w:top w:val="nil"/>
              <w:left w:val="nil"/>
              <w:bottom w:val="single" w:sz="4" w:space="0" w:color="auto"/>
              <w:right w:val="single" w:sz="4" w:space="0" w:color="auto"/>
            </w:tcBorders>
            <w:shd w:val="clear" w:color="auto" w:fill="auto"/>
            <w:noWrap/>
          </w:tcPr>
          <w:p w14:paraId="083758D2" w14:textId="2851D97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4E5736F2" w14:textId="6710ABC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c>
          <w:tcPr>
            <w:tcW w:w="992" w:type="dxa"/>
            <w:tcBorders>
              <w:top w:val="nil"/>
              <w:left w:val="nil"/>
              <w:bottom w:val="single" w:sz="4" w:space="0" w:color="auto"/>
              <w:right w:val="single" w:sz="4" w:space="0" w:color="auto"/>
            </w:tcBorders>
            <w:shd w:val="clear" w:color="auto" w:fill="auto"/>
            <w:noWrap/>
          </w:tcPr>
          <w:p w14:paraId="02E3C6C6" w14:textId="059AF3A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r>
      <w:tr w:rsidR="005E36B7" w:rsidRPr="005E36B7" w14:paraId="57F78F5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AE425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N_89</w:t>
            </w:r>
          </w:p>
        </w:tc>
        <w:tc>
          <w:tcPr>
            <w:tcW w:w="5103" w:type="dxa"/>
            <w:tcBorders>
              <w:top w:val="nil"/>
              <w:left w:val="nil"/>
              <w:bottom w:val="single" w:sz="4" w:space="0" w:color="auto"/>
              <w:right w:val="single" w:sz="4" w:space="0" w:color="auto"/>
            </w:tcBorders>
            <w:shd w:val="clear" w:color="auto" w:fill="auto"/>
            <w:noWrap/>
            <w:vAlign w:val="bottom"/>
            <w:hideMark/>
          </w:tcPr>
          <w:p w14:paraId="0033D34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Nogales 220-&gt;Rio Aconcagua 220</w:t>
            </w:r>
          </w:p>
        </w:tc>
        <w:tc>
          <w:tcPr>
            <w:tcW w:w="992" w:type="dxa"/>
            <w:tcBorders>
              <w:top w:val="nil"/>
              <w:left w:val="nil"/>
              <w:bottom w:val="single" w:sz="4" w:space="0" w:color="auto"/>
              <w:right w:val="single" w:sz="4" w:space="0" w:color="auto"/>
            </w:tcBorders>
            <w:shd w:val="clear" w:color="auto" w:fill="auto"/>
            <w:noWrap/>
          </w:tcPr>
          <w:p w14:paraId="5F3C41AC" w14:textId="2482C30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25B05441" w14:textId="4781EB6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89D11A2" w14:textId="5E3140F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CBA73C1" w14:textId="2295F61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53FA10D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433A2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N_90</w:t>
            </w:r>
          </w:p>
        </w:tc>
        <w:tc>
          <w:tcPr>
            <w:tcW w:w="5103" w:type="dxa"/>
            <w:tcBorders>
              <w:top w:val="nil"/>
              <w:left w:val="nil"/>
              <w:bottom w:val="single" w:sz="4" w:space="0" w:color="auto"/>
              <w:right w:val="single" w:sz="4" w:space="0" w:color="auto"/>
            </w:tcBorders>
            <w:shd w:val="clear" w:color="auto" w:fill="auto"/>
            <w:noWrap/>
            <w:vAlign w:val="bottom"/>
            <w:hideMark/>
          </w:tcPr>
          <w:p w14:paraId="611B98F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Nogales 220-&gt;Tap Doña Carmen 220</w:t>
            </w:r>
          </w:p>
        </w:tc>
        <w:tc>
          <w:tcPr>
            <w:tcW w:w="992" w:type="dxa"/>
            <w:tcBorders>
              <w:top w:val="nil"/>
              <w:left w:val="nil"/>
              <w:bottom w:val="single" w:sz="4" w:space="0" w:color="auto"/>
              <w:right w:val="single" w:sz="4" w:space="0" w:color="auto"/>
            </w:tcBorders>
            <w:shd w:val="clear" w:color="auto" w:fill="auto"/>
            <w:noWrap/>
          </w:tcPr>
          <w:p w14:paraId="7AC7A2DA" w14:textId="6E0E5FD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851" w:type="dxa"/>
            <w:tcBorders>
              <w:top w:val="nil"/>
              <w:left w:val="nil"/>
              <w:bottom w:val="single" w:sz="4" w:space="0" w:color="auto"/>
              <w:right w:val="single" w:sz="4" w:space="0" w:color="auto"/>
            </w:tcBorders>
            <w:shd w:val="clear" w:color="auto" w:fill="auto"/>
            <w:noWrap/>
          </w:tcPr>
          <w:p w14:paraId="57BF79B5" w14:textId="3880922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67ACFFF9" w14:textId="3772C4B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72E4F0E2" w14:textId="48F2952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r>
      <w:tr w:rsidR="005E36B7" w:rsidRPr="005E36B7" w14:paraId="000A033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B6553B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N_91</w:t>
            </w:r>
          </w:p>
        </w:tc>
        <w:tc>
          <w:tcPr>
            <w:tcW w:w="5103" w:type="dxa"/>
            <w:tcBorders>
              <w:top w:val="nil"/>
              <w:left w:val="nil"/>
              <w:bottom w:val="single" w:sz="4" w:space="0" w:color="auto"/>
              <w:right w:val="single" w:sz="4" w:space="0" w:color="auto"/>
            </w:tcBorders>
            <w:shd w:val="clear" w:color="auto" w:fill="auto"/>
            <w:noWrap/>
            <w:vAlign w:val="bottom"/>
            <w:hideMark/>
          </w:tcPr>
          <w:p w14:paraId="39484E4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Alto Melipilla 220-&gt;Alto Melipilla 220</w:t>
            </w:r>
          </w:p>
        </w:tc>
        <w:tc>
          <w:tcPr>
            <w:tcW w:w="992" w:type="dxa"/>
            <w:tcBorders>
              <w:top w:val="nil"/>
              <w:left w:val="nil"/>
              <w:bottom w:val="single" w:sz="4" w:space="0" w:color="auto"/>
              <w:right w:val="single" w:sz="4" w:space="0" w:color="auto"/>
            </w:tcBorders>
            <w:shd w:val="clear" w:color="auto" w:fill="auto"/>
            <w:noWrap/>
          </w:tcPr>
          <w:p w14:paraId="25EF83E9" w14:textId="1D51A54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c>
          <w:tcPr>
            <w:tcW w:w="851" w:type="dxa"/>
            <w:tcBorders>
              <w:top w:val="nil"/>
              <w:left w:val="nil"/>
              <w:bottom w:val="single" w:sz="4" w:space="0" w:color="auto"/>
              <w:right w:val="single" w:sz="4" w:space="0" w:color="auto"/>
            </w:tcBorders>
            <w:shd w:val="clear" w:color="auto" w:fill="auto"/>
            <w:noWrap/>
          </w:tcPr>
          <w:p w14:paraId="70A44920" w14:textId="603D9A8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69963567" w14:textId="365D5CA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c>
          <w:tcPr>
            <w:tcW w:w="992" w:type="dxa"/>
            <w:tcBorders>
              <w:top w:val="nil"/>
              <w:left w:val="nil"/>
              <w:bottom w:val="single" w:sz="4" w:space="0" w:color="auto"/>
              <w:right w:val="single" w:sz="4" w:space="0" w:color="auto"/>
            </w:tcBorders>
            <w:shd w:val="clear" w:color="auto" w:fill="auto"/>
            <w:noWrap/>
          </w:tcPr>
          <w:p w14:paraId="428B9619" w14:textId="36B8039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r>
      <w:tr w:rsidR="005E36B7" w:rsidRPr="005E36B7" w14:paraId="5315592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B2A2F6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N_92</w:t>
            </w:r>
          </w:p>
        </w:tc>
        <w:tc>
          <w:tcPr>
            <w:tcW w:w="5103" w:type="dxa"/>
            <w:tcBorders>
              <w:top w:val="nil"/>
              <w:left w:val="nil"/>
              <w:bottom w:val="single" w:sz="4" w:space="0" w:color="auto"/>
              <w:right w:val="single" w:sz="4" w:space="0" w:color="auto"/>
            </w:tcBorders>
            <w:shd w:val="clear" w:color="auto" w:fill="auto"/>
            <w:noWrap/>
            <w:vAlign w:val="bottom"/>
            <w:hideMark/>
          </w:tcPr>
          <w:p w14:paraId="3C69FEE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Alto Melipilla 220-&gt;Rapel 220</w:t>
            </w:r>
          </w:p>
        </w:tc>
        <w:tc>
          <w:tcPr>
            <w:tcW w:w="992" w:type="dxa"/>
            <w:tcBorders>
              <w:top w:val="nil"/>
              <w:left w:val="nil"/>
              <w:bottom w:val="single" w:sz="4" w:space="0" w:color="auto"/>
              <w:right w:val="single" w:sz="4" w:space="0" w:color="auto"/>
            </w:tcBorders>
            <w:shd w:val="clear" w:color="auto" w:fill="auto"/>
            <w:noWrap/>
          </w:tcPr>
          <w:p w14:paraId="4965B685" w14:textId="4C6F06B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c>
          <w:tcPr>
            <w:tcW w:w="851" w:type="dxa"/>
            <w:tcBorders>
              <w:top w:val="nil"/>
              <w:left w:val="nil"/>
              <w:bottom w:val="single" w:sz="4" w:space="0" w:color="auto"/>
              <w:right w:val="single" w:sz="4" w:space="0" w:color="auto"/>
            </w:tcBorders>
            <w:shd w:val="clear" w:color="auto" w:fill="auto"/>
            <w:noWrap/>
          </w:tcPr>
          <w:p w14:paraId="5E17DFC9" w14:textId="5A62215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54F10932" w14:textId="01A574D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0,56</w:t>
            </w:r>
          </w:p>
        </w:tc>
        <w:tc>
          <w:tcPr>
            <w:tcW w:w="992" w:type="dxa"/>
            <w:tcBorders>
              <w:top w:val="nil"/>
              <w:left w:val="nil"/>
              <w:bottom w:val="single" w:sz="4" w:space="0" w:color="auto"/>
              <w:right w:val="single" w:sz="4" w:space="0" w:color="auto"/>
            </w:tcBorders>
            <w:shd w:val="clear" w:color="auto" w:fill="auto"/>
            <w:noWrap/>
          </w:tcPr>
          <w:p w14:paraId="3DFAA193" w14:textId="438080C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0,44</w:t>
            </w:r>
          </w:p>
        </w:tc>
      </w:tr>
      <w:tr w:rsidR="005E36B7" w:rsidRPr="005E36B7" w14:paraId="663D0A2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509CAF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N_93</w:t>
            </w:r>
          </w:p>
        </w:tc>
        <w:tc>
          <w:tcPr>
            <w:tcW w:w="5103" w:type="dxa"/>
            <w:tcBorders>
              <w:top w:val="nil"/>
              <w:left w:val="nil"/>
              <w:bottom w:val="single" w:sz="4" w:space="0" w:color="auto"/>
              <w:right w:val="single" w:sz="4" w:space="0" w:color="auto"/>
            </w:tcBorders>
            <w:shd w:val="clear" w:color="auto" w:fill="auto"/>
            <w:noWrap/>
            <w:vAlign w:val="bottom"/>
            <w:hideMark/>
          </w:tcPr>
          <w:p w14:paraId="13BD30F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Cardones 220-&gt;Nueva Cardones 500</w:t>
            </w:r>
          </w:p>
        </w:tc>
        <w:tc>
          <w:tcPr>
            <w:tcW w:w="992" w:type="dxa"/>
            <w:tcBorders>
              <w:top w:val="nil"/>
              <w:left w:val="nil"/>
              <w:bottom w:val="single" w:sz="4" w:space="0" w:color="auto"/>
              <w:right w:val="single" w:sz="4" w:space="0" w:color="auto"/>
            </w:tcBorders>
            <w:shd w:val="clear" w:color="auto" w:fill="auto"/>
            <w:noWrap/>
          </w:tcPr>
          <w:p w14:paraId="5C0D3519" w14:textId="33D9F56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01BADC19" w14:textId="4BA7D61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89A60A7" w14:textId="00CE201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57AE200" w14:textId="7EB2722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46EED221"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EBBEA3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N_94</w:t>
            </w:r>
          </w:p>
        </w:tc>
        <w:tc>
          <w:tcPr>
            <w:tcW w:w="5103" w:type="dxa"/>
            <w:tcBorders>
              <w:top w:val="nil"/>
              <w:left w:val="nil"/>
              <w:bottom w:val="single" w:sz="4" w:space="0" w:color="auto"/>
              <w:right w:val="single" w:sz="4" w:space="0" w:color="auto"/>
            </w:tcBorders>
            <w:shd w:val="clear" w:color="auto" w:fill="auto"/>
            <w:noWrap/>
            <w:vAlign w:val="bottom"/>
            <w:hideMark/>
          </w:tcPr>
          <w:p w14:paraId="1A15FF1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Diego de Almagro 220-&gt;Diego de Almagro 220</w:t>
            </w:r>
          </w:p>
        </w:tc>
        <w:tc>
          <w:tcPr>
            <w:tcW w:w="992" w:type="dxa"/>
            <w:tcBorders>
              <w:top w:val="nil"/>
              <w:left w:val="nil"/>
              <w:bottom w:val="single" w:sz="4" w:space="0" w:color="auto"/>
              <w:right w:val="single" w:sz="4" w:space="0" w:color="auto"/>
            </w:tcBorders>
            <w:shd w:val="clear" w:color="auto" w:fill="auto"/>
            <w:noWrap/>
          </w:tcPr>
          <w:p w14:paraId="58E85339" w14:textId="1ED2A49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0,24</w:t>
            </w:r>
          </w:p>
        </w:tc>
        <w:tc>
          <w:tcPr>
            <w:tcW w:w="851" w:type="dxa"/>
            <w:tcBorders>
              <w:top w:val="nil"/>
              <w:left w:val="nil"/>
              <w:bottom w:val="single" w:sz="4" w:space="0" w:color="auto"/>
              <w:right w:val="single" w:sz="4" w:space="0" w:color="auto"/>
            </w:tcBorders>
            <w:shd w:val="clear" w:color="auto" w:fill="auto"/>
            <w:noWrap/>
          </w:tcPr>
          <w:p w14:paraId="63CD962F" w14:textId="12018A2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6107792A" w14:textId="601EBF3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76C03644" w14:textId="169A2C7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r>
      <w:tr w:rsidR="005E36B7" w:rsidRPr="005E36B7" w14:paraId="0B2C4A71"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300068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N_95</w:t>
            </w:r>
          </w:p>
        </w:tc>
        <w:tc>
          <w:tcPr>
            <w:tcW w:w="5103" w:type="dxa"/>
            <w:tcBorders>
              <w:top w:val="nil"/>
              <w:left w:val="nil"/>
              <w:bottom w:val="single" w:sz="4" w:space="0" w:color="auto"/>
              <w:right w:val="single" w:sz="4" w:space="0" w:color="auto"/>
            </w:tcBorders>
            <w:shd w:val="clear" w:color="auto" w:fill="auto"/>
            <w:noWrap/>
            <w:vAlign w:val="bottom"/>
            <w:hideMark/>
          </w:tcPr>
          <w:p w14:paraId="4307D21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Lampa 220-&gt;Cerro Navia Desf 220</w:t>
            </w:r>
          </w:p>
        </w:tc>
        <w:tc>
          <w:tcPr>
            <w:tcW w:w="992" w:type="dxa"/>
            <w:tcBorders>
              <w:top w:val="nil"/>
              <w:left w:val="nil"/>
              <w:bottom w:val="single" w:sz="4" w:space="0" w:color="auto"/>
              <w:right w:val="single" w:sz="4" w:space="0" w:color="auto"/>
            </w:tcBorders>
            <w:shd w:val="clear" w:color="auto" w:fill="auto"/>
            <w:noWrap/>
          </w:tcPr>
          <w:p w14:paraId="1E12D2A2" w14:textId="33A7E33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c>
          <w:tcPr>
            <w:tcW w:w="851" w:type="dxa"/>
            <w:tcBorders>
              <w:top w:val="nil"/>
              <w:left w:val="nil"/>
              <w:bottom w:val="single" w:sz="4" w:space="0" w:color="auto"/>
              <w:right w:val="single" w:sz="4" w:space="0" w:color="auto"/>
            </w:tcBorders>
            <w:shd w:val="clear" w:color="auto" w:fill="auto"/>
            <w:noWrap/>
          </w:tcPr>
          <w:p w14:paraId="53275F60" w14:textId="4AC55C1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2882CD81" w14:textId="106BFD9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0,52</w:t>
            </w:r>
          </w:p>
        </w:tc>
        <w:tc>
          <w:tcPr>
            <w:tcW w:w="992" w:type="dxa"/>
            <w:tcBorders>
              <w:top w:val="nil"/>
              <w:left w:val="nil"/>
              <w:bottom w:val="single" w:sz="4" w:space="0" w:color="auto"/>
              <w:right w:val="single" w:sz="4" w:space="0" w:color="auto"/>
            </w:tcBorders>
            <w:shd w:val="clear" w:color="auto" w:fill="auto"/>
            <w:noWrap/>
          </w:tcPr>
          <w:p w14:paraId="3D12895B" w14:textId="19ED162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0,48</w:t>
            </w:r>
          </w:p>
        </w:tc>
      </w:tr>
      <w:tr w:rsidR="005E36B7" w:rsidRPr="005E36B7" w14:paraId="22E2908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D30977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N_96</w:t>
            </w:r>
          </w:p>
        </w:tc>
        <w:tc>
          <w:tcPr>
            <w:tcW w:w="5103" w:type="dxa"/>
            <w:tcBorders>
              <w:top w:val="nil"/>
              <w:left w:val="nil"/>
              <w:bottom w:val="single" w:sz="4" w:space="0" w:color="auto"/>
              <w:right w:val="single" w:sz="4" w:space="0" w:color="auto"/>
            </w:tcBorders>
            <w:shd w:val="clear" w:color="auto" w:fill="auto"/>
            <w:noWrap/>
            <w:vAlign w:val="bottom"/>
            <w:hideMark/>
          </w:tcPr>
          <w:p w14:paraId="0C30400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Lampa 220-&gt;Polpaico 220</w:t>
            </w:r>
          </w:p>
        </w:tc>
        <w:tc>
          <w:tcPr>
            <w:tcW w:w="992" w:type="dxa"/>
            <w:tcBorders>
              <w:top w:val="nil"/>
              <w:left w:val="nil"/>
              <w:bottom w:val="single" w:sz="4" w:space="0" w:color="auto"/>
              <w:right w:val="single" w:sz="4" w:space="0" w:color="auto"/>
            </w:tcBorders>
            <w:shd w:val="clear" w:color="auto" w:fill="auto"/>
            <w:noWrap/>
          </w:tcPr>
          <w:p w14:paraId="3213EC35" w14:textId="3778814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0,35</w:t>
            </w:r>
          </w:p>
        </w:tc>
        <w:tc>
          <w:tcPr>
            <w:tcW w:w="851" w:type="dxa"/>
            <w:tcBorders>
              <w:top w:val="nil"/>
              <w:left w:val="nil"/>
              <w:bottom w:val="single" w:sz="4" w:space="0" w:color="auto"/>
              <w:right w:val="single" w:sz="4" w:space="0" w:color="auto"/>
            </w:tcBorders>
            <w:shd w:val="clear" w:color="auto" w:fill="auto"/>
            <w:noWrap/>
          </w:tcPr>
          <w:p w14:paraId="41598D89" w14:textId="2504853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2397AA45" w14:textId="3976811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0C6BE951" w14:textId="124241F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0,51</w:t>
            </w:r>
          </w:p>
        </w:tc>
      </w:tr>
      <w:tr w:rsidR="005E36B7" w:rsidRPr="005E36B7" w14:paraId="0BA715D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CE9B0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N_97</w:t>
            </w:r>
          </w:p>
        </w:tc>
        <w:tc>
          <w:tcPr>
            <w:tcW w:w="5103" w:type="dxa"/>
            <w:tcBorders>
              <w:top w:val="nil"/>
              <w:left w:val="nil"/>
              <w:bottom w:val="single" w:sz="4" w:space="0" w:color="auto"/>
              <w:right w:val="single" w:sz="4" w:space="0" w:color="auto"/>
            </w:tcBorders>
            <w:shd w:val="clear" w:color="auto" w:fill="auto"/>
            <w:noWrap/>
            <w:vAlign w:val="bottom"/>
            <w:hideMark/>
          </w:tcPr>
          <w:p w14:paraId="591E202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Pan de Azucar 500-&gt;Polpaico 500</w:t>
            </w:r>
          </w:p>
        </w:tc>
        <w:tc>
          <w:tcPr>
            <w:tcW w:w="992" w:type="dxa"/>
            <w:tcBorders>
              <w:top w:val="nil"/>
              <w:left w:val="nil"/>
              <w:bottom w:val="single" w:sz="4" w:space="0" w:color="auto"/>
              <w:right w:val="single" w:sz="4" w:space="0" w:color="auto"/>
            </w:tcBorders>
            <w:shd w:val="clear" w:color="auto" w:fill="auto"/>
            <w:noWrap/>
          </w:tcPr>
          <w:p w14:paraId="73C546DF" w14:textId="12E983F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723CC1C2" w14:textId="2377548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FE22D49" w14:textId="33F347D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42EFFC19" w14:textId="1717D9C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3908936D"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3FE7D6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N_98</w:t>
            </w:r>
          </w:p>
        </w:tc>
        <w:tc>
          <w:tcPr>
            <w:tcW w:w="5103" w:type="dxa"/>
            <w:tcBorders>
              <w:top w:val="nil"/>
              <w:left w:val="nil"/>
              <w:bottom w:val="single" w:sz="4" w:space="0" w:color="auto"/>
              <w:right w:val="single" w:sz="4" w:space="0" w:color="auto"/>
            </w:tcBorders>
            <w:shd w:val="clear" w:color="auto" w:fill="auto"/>
            <w:noWrap/>
            <w:vAlign w:val="bottom"/>
            <w:hideMark/>
          </w:tcPr>
          <w:p w14:paraId="751DA22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Pichirropulli 220-&gt;Nueva Valdivia 220</w:t>
            </w:r>
          </w:p>
        </w:tc>
        <w:tc>
          <w:tcPr>
            <w:tcW w:w="992" w:type="dxa"/>
            <w:tcBorders>
              <w:top w:val="nil"/>
              <w:left w:val="nil"/>
              <w:bottom w:val="single" w:sz="4" w:space="0" w:color="auto"/>
              <w:right w:val="single" w:sz="4" w:space="0" w:color="auto"/>
            </w:tcBorders>
            <w:shd w:val="clear" w:color="auto" w:fill="auto"/>
            <w:noWrap/>
          </w:tcPr>
          <w:p w14:paraId="0CE25B75" w14:textId="090B470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0,27</w:t>
            </w:r>
          </w:p>
        </w:tc>
        <w:tc>
          <w:tcPr>
            <w:tcW w:w="851" w:type="dxa"/>
            <w:tcBorders>
              <w:top w:val="nil"/>
              <w:left w:val="nil"/>
              <w:bottom w:val="single" w:sz="4" w:space="0" w:color="auto"/>
              <w:right w:val="single" w:sz="4" w:space="0" w:color="auto"/>
            </w:tcBorders>
            <w:shd w:val="clear" w:color="auto" w:fill="auto"/>
            <w:noWrap/>
          </w:tcPr>
          <w:p w14:paraId="62DB4E46" w14:textId="10B0517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0,73</w:t>
            </w:r>
          </w:p>
        </w:tc>
        <w:tc>
          <w:tcPr>
            <w:tcW w:w="992" w:type="dxa"/>
            <w:tcBorders>
              <w:top w:val="nil"/>
              <w:left w:val="nil"/>
              <w:bottom w:val="single" w:sz="4" w:space="0" w:color="auto"/>
              <w:right w:val="single" w:sz="4" w:space="0" w:color="auto"/>
            </w:tcBorders>
            <w:shd w:val="clear" w:color="auto" w:fill="auto"/>
            <w:noWrap/>
          </w:tcPr>
          <w:p w14:paraId="1256CB2B" w14:textId="573273C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c>
          <w:tcPr>
            <w:tcW w:w="992" w:type="dxa"/>
            <w:tcBorders>
              <w:top w:val="nil"/>
              <w:left w:val="nil"/>
              <w:bottom w:val="single" w:sz="4" w:space="0" w:color="auto"/>
              <w:right w:val="single" w:sz="4" w:space="0" w:color="auto"/>
            </w:tcBorders>
            <w:shd w:val="clear" w:color="auto" w:fill="auto"/>
            <w:noWrap/>
          </w:tcPr>
          <w:p w14:paraId="26BCEE24" w14:textId="4591B8C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r>
      <w:tr w:rsidR="005E36B7" w:rsidRPr="005E36B7" w14:paraId="3F9C990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90C86D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N_99</w:t>
            </w:r>
          </w:p>
        </w:tc>
        <w:tc>
          <w:tcPr>
            <w:tcW w:w="5103" w:type="dxa"/>
            <w:tcBorders>
              <w:top w:val="nil"/>
              <w:left w:val="nil"/>
              <w:bottom w:val="single" w:sz="4" w:space="0" w:color="auto"/>
              <w:right w:val="single" w:sz="4" w:space="0" w:color="auto"/>
            </w:tcBorders>
            <w:shd w:val="clear" w:color="auto" w:fill="auto"/>
            <w:noWrap/>
            <w:vAlign w:val="bottom"/>
            <w:hideMark/>
          </w:tcPr>
          <w:p w14:paraId="109E334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Puerto Montt 220-&gt;Frutillar Norte 220</w:t>
            </w:r>
          </w:p>
        </w:tc>
        <w:tc>
          <w:tcPr>
            <w:tcW w:w="992" w:type="dxa"/>
            <w:tcBorders>
              <w:top w:val="nil"/>
              <w:left w:val="nil"/>
              <w:bottom w:val="single" w:sz="4" w:space="0" w:color="auto"/>
              <w:right w:val="single" w:sz="4" w:space="0" w:color="auto"/>
            </w:tcBorders>
            <w:shd w:val="clear" w:color="auto" w:fill="auto"/>
            <w:noWrap/>
          </w:tcPr>
          <w:p w14:paraId="2021518E" w14:textId="026A3EF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851" w:type="dxa"/>
            <w:tcBorders>
              <w:top w:val="nil"/>
              <w:left w:val="nil"/>
              <w:bottom w:val="single" w:sz="4" w:space="0" w:color="auto"/>
              <w:right w:val="single" w:sz="4" w:space="0" w:color="auto"/>
            </w:tcBorders>
            <w:shd w:val="clear" w:color="auto" w:fill="auto"/>
            <w:noWrap/>
          </w:tcPr>
          <w:p w14:paraId="3942819D" w14:textId="40FEB56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c>
          <w:tcPr>
            <w:tcW w:w="992" w:type="dxa"/>
            <w:tcBorders>
              <w:top w:val="nil"/>
              <w:left w:val="nil"/>
              <w:bottom w:val="single" w:sz="4" w:space="0" w:color="auto"/>
              <w:right w:val="single" w:sz="4" w:space="0" w:color="auto"/>
            </w:tcBorders>
            <w:shd w:val="clear" w:color="auto" w:fill="auto"/>
            <w:noWrap/>
          </w:tcPr>
          <w:p w14:paraId="47733362" w14:textId="06819C7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0,18</w:t>
            </w:r>
          </w:p>
        </w:tc>
        <w:tc>
          <w:tcPr>
            <w:tcW w:w="992" w:type="dxa"/>
            <w:tcBorders>
              <w:top w:val="nil"/>
              <w:left w:val="nil"/>
              <w:bottom w:val="single" w:sz="4" w:space="0" w:color="auto"/>
              <w:right w:val="single" w:sz="4" w:space="0" w:color="auto"/>
            </w:tcBorders>
            <w:shd w:val="clear" w:color="auto" w:fill="auto"/>
            <w:noWrap/>
          </w:tcPr>
          <w:p w14:paraId="29871E27" w14:textId="355D4C1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0,82</w:t>
            </w:r>
          </w:p>
        </w:tc>
      </w:tr>
      <w:tr w:rsidR="005E36B7" w:rsidRPr="005E36B7" w14:paraId="35BA63C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5A8949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N_100</w:t>
            </w:r>
          </w:p>
        </w:tc>
        <w:tc>
          <w:tcPr>
            <w:tcW w:w="5103" w:type="dxa"/>
            <w:tcBorders>
              <w:top w:val="nil"/>
              <w:left w:val="nil"/>
              <w:bottom w:val="single" w:sz="4" w:space="0" w:color="auto"/>
              <w:right w:val="single" w:sz="4" w:space="0" w:color="auto"/>
            </w:tcBorders>
            <w:shd w:val="clear" w:color="auto" w:fill="auto"/>
            <w:noWrap/>
            <w:vAlign w:val="bottom"/>
            <w:hideMark/>
          </w:tcPr>
          <w:p w14:paraId="5F592AE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Puerto Montt 220-&gt;Llanquihue 220</w:t>
            </w:r>
          </w:p>
        </w:tc>
        <w:tc>
          <w:tcPr>
            <w:tcW w:w="992" w:type="dxa"/>
            <w:tcBorders>
              <w:top w:val="nil"/>
              <w:left w:val="nil"/>
              <w:bottom w:val="single" w:sz="4" w:space="0" w:color="auto"/>
              <w:right w:val="single" w:sz="4" w:space="0" w:color="auto"/>
            </w:tcBorders>
            <w:shd w:val="clear" w:color="auto" w:fill="auto"/>
            <w:noWrap/>
          </w:tcPr>
          <w:p w14:paraId="7AD0268D" w14:textId="573DD32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0,16</w:t>
            </w:r>
          </w:p>
        </w:tc>
        <w:tc>
          <w:tcPr>
            <w:tcW w:w="851" w:type="dxa"/>
            <w:tcBorders>
              <w:top w:val="nil"/>
              <w:left w:val="nil"/>
              <w:bottom w:val="single" w:sz="4" w:space="0" w:color="auto"/>
              <w:right w:val="single" w:sz="4" w:space="0" w:color="auto"/>
            </w:tcBorders>
            <w:shd w:val="clear" w:color="auto" w:fill="auto"/>
            <w:noWrap/>
          </w:tcPr>
          <w:p w14:paraId="1E63DD5F" w14:textId="79DB024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0,84</w:t>
            </w:r>
          </w:p>
        </w:tc>
        <w:tc>
          <w:tcPr>
            <w:tcW w:w="992" w:type="dxa"/>
            <w:tcBorders>
              <w:top w:val="nil"/>
              <w:left w:val="nil"/>
              <w:bottom w:val="single" w:sz="4" w:space="0" w:color="auto"/>
              <w:right w:val="single" w:sz="4" w:space="0" w:color="auto"/>
            </w:tcBorders>
            <w:shd w:val="clear" w:color="auto" w:fill="auto"/>
            <w:noWrap/>
          </w:tcPr>
          <w:p w14:paraId="78303995" w14:textId="61F2EF4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0,18</w:t>
            </w:r>
          </w:p>
        </w:tc>
        <w:tc>
          <w:tcPr>
            <w:tcW w:w="992" w:type="dxa"/>
            <w:tcBorders>
              <w:top w:val="nil"/>
              <w:left w:val="nil"/>
              <w:bottom w:val="single" w:sz="4" w:space="0" w:color="auto"/>
              <w:right w:val="single" w:sz="4" w:space="0" w:color="auto"/>
            </w:tcBorders>
            <w:shd w:val="clear" w:color="auto" w:fill="auto"/>
            <w:noWrap/>
          </w:tcPr>
          <w:p w14:paraId="6D1E128C" w14:textId="3FD1508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0,82</w:t>
            </w:r>
          </w:p>
        </w:tc>
      </w:tr>
      <w:tr w:rsidR="005E36B7" w:rsidRPr="005E36B7" w14:paraId="3531DE0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A9341F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N_101</w:t>
            </w:r>
          </w:p>
        </w:tc>
        <w:tc>
          <w:tcPr>
            <w:tcW w:w="5103" w:type="dxa"/>
            <w:tcBorders>
              <w:top w:val="nil"/>
              <w:left w:val="nil"/>
              <w:bottom w:val="single" w:sz="4" w:space="0" w:color="auto"/>
              <w:right w:val="single" w:sz="4" w:space="0" w:color="auto"/>
            </w:tcBorders>
            <w:shd w:val="clear" w:color="auto" w:fill="auto"/>
            <w:noWrap/>
            <w:vAlign w:val="bottom"/>
            <w:hideMark/>
          </w:tcPr>
          <w:p w14:paraId="0E570ED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Nueva Puerto Montt 220-&gt;Puerto Montt 220</w:t>
            </w:r>
          </w:p>
        </w:tc>
        <w:tc>
          <w:tcPr>
            <w:tcW w:w="992" w:type="dxa"/>
            <w:tcBorders>
              <w:top w:val="nil"/>
              <w:left w:val="nil"/>
              <w:bottom w:val="single" w:sz="4" w:space="0" w:color="auto"/>
              <w:right w:val="single" w:sz="4" w:space="0" w:color="auto"/>
            </w:tcBorders>
            <w:shd w:val="clear" w:color="auto" w:fill="auto"/>
            <w:noWrap/>
          </w:tcPr>
          <w:p w14:paraId="3CE1A4C7" w14:textId="5C0B228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0,19</w:t>
            </w:r>
          </w:p>
        </w:tc>
        <w:tc>
          <w:tcPr>
            <w:tcW w:w="851" w:type="dxa"/>
            <w:tcBorders>
              <w:top w:val="nil"/>
              <w:left w:val="nil"/>
              <w:bottom w:val="single" w:sz="4" w:space="0" w:color="auto"/>
              <w:right w:val="single" w:sz="4" w:space="0" w:color="auto"/>
            </w:tcBorders>
            <w:shd w:val="clear" w:color="auto" w:fill="auto"/>
            <w:noWrap/>
          </w:tcPr>
          <w:p w14:paraId="377B2921" w14:textId="3239A7C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0,81</w:t>
            </w:r>
          </w:p>
        </w:tc>
        <w:tc>
          <w:tcPr>
            <w:tcW w:w="992" w:type="dxa"/>
            <w:tcBorders>
              <w:top w:val="nil"/>
              <w:left w:val="nil"/>
              <w:bottom w:val="single" w:sz="4" w:space="0" w:color="auto"/>
              <w:right w:val="single" w:sz="4" w:space="0" w:color="auto"/>
            </w:tcBorders>
            <w:shd w:val="clear" w:color="auto" w:fill="auto"/>
            <w:noWrap/>
          </w:tcPr>
          <w:p w14:paraId="0AE5B1BB" w14:textId="68E689B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0,23</w:t>
            </w:r>
          </w:p>
        </w:tc>
        <w:tc>
          <w:tcPr>
            <w:tcW w:w="992" w:type="dxa"/>
            <w:tcBorders>
              <w:top w:val="nil"/>
              <w:left w:val="nil"/>
              <w:bottom w:val="single" w:sz="4" w:space="0" w:color="auto"/>
              <w:right w:val="single" w:sz="4" w:space="0" w:color="auto"/>
            </w:tcBorders>
            <w:shd w:val="clear" w:color="auto" w:fill="auto"/>
            <w:noWrap/>
          </w:tcPr>
          <w:p w14:paraId="28E00523" w14:textId="6F3DCDB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0,77</w:t>
            </w:r>
          </w:p>
        </w:tc>
      </w:tr>
      <w:tr w:rsidR="005E36B7" w:rsidRPr="005E36B7" w14:paraId="7BAD21E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51F122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N_102</w:t>
            </w:r>
          </w:p>
        </w:tc>
        <w:tc>
          <w:tcPr>
            <w:tcW w:w="5103" w:type="dxa"/>
            <w:tcBorders>
              <w:top w:val="nil"/>
              <w:left w:val="nil"/>
              <w:bottom w:val="single" w:sz="4" w:space="0" w:color="auto"/>
              <w:right w:val="single" w:sz="4" w:space="0" w:color="auto"/>
            </w:tcBorders>
            <w:shd w:val="clear" w:color="auto" w:fill="auto"/>
            <w:noWrap/>
            <w:vAlign w:val="bottom"/>
            <w:hideMark/>
          </w:tcPr>
          <w:p w14:paraId="2409103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O Higgins 220-&gt;Atacama 220</w:t>
            </w:r>
          </w:p>
        </w:tc>
        <w:tc>
          <w:tcPr>
            <w:tcW w:w="992" w:type="dxa"/>
            <w:tcBorders>
              <w:top w:val="nil"/>
              <w:left w:val="nil"/>
              <w:bottom w:val="single" w:sz="4" w:space="0" w:color="auto"/>
              <w:right w:val="single" w:sz="4" w:space="0" w:color="auto"/>
            </w:tcBorders>
            <w:shd w:val="clear" w:color="auto" w:fill="auto"/>
            <w:noWrap/>
          </w:tcPr>
          <w:p w14:paraId="0ABF7C27" w14:textId="310A44C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6F0A8ECD" w14:textId="71FCF82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031535E1" w14:textId="10C7FD8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c>
          <w:tcPr>
            <w:tcW w:w="992" w:type="dxa"/>
            <w:tcBorders>
              <w:top w:val="nil"/>
              <w:left w:val="nil"/>
              <w:bottom w:val="single" w:sz="4" w:space="0" w:color="auto"/>
              <w:right w:val="single" w:sz="4" w:space="0" w:color="auto"/>
            </w:tcBorders>
            <w:shd w:val="clear" w:color="auto" w:fill="auto"/>
            <w:noWrap/>
          </w:tcPr>
          <w:p w14:paraId="5FC09F53" w14:textId="6356017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r>
      <w:tr w:rsidR="005E36B7" w:rsidRPr="005E36B7" w14:paraId="7B1C853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BFA50D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N_103</w:t>
            </w:r>
          </w:p>
        </w:tc>
        <w:tc>
          <w:tcPr>
            <w:tcW w:w="5103" w:type="dxa"/>
            <w:tcBorders>
              <w:top w:val="nil"/>
              <w:left w:val="nil"/>
              <w:bottom w:val="single" w:sz="4" w:space="0" w:color="auto"/>
              <w:right w:val="single" w:sz="4" w:space="0" w:color="auto"/>
            </w:tcBorders>
            <w:shd w:val="clear" w:color="auto" w:fill="auto"/>
            <w:noWrap/>
            <w:vAlign w:val="bottom"/>
            <w:hideMark/>
          </w:tcPr>
          <w:p w14:paraId="0CFD261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O Higgins 220-&gt;Kapatur 220</w:t>
            </w:r>
          </w:p>
        </w:tc>
        <w:tc>
          <w:tcPr>
            <w:tcW w:w="992" w:type="dxa"/>
            <w:tcBorders>
              <w:top w:val="nil"/>
              <w:left w:val="nil"/>
              <w:bottom w:val="single" w:sz="4" w:space="0" w:color="auto"/>
              <w:right w:val="single" w:sz="4" w:space="0" w:color="auto"/>
            </w:tcBorders>
            <w:shd w:val="clear" w:color="auto" w:fill="auto"/>
            <w:noWrap/>
          </w:tcPr>
          <w:p w14:paraId="66AB5191" w14:textId="7583929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0,03</w:t>
            </w:r>
          </w:p>
        </w:tc>
        <w:tc>
          <w:tcPr>
            <w:tcW w:w="851" w:type="dxa"/>
            <w:tcBorders>
              <w:top w:val="nil"/>
              <w:left w:val="nil"/>
              <w:bottom w:val="single" w:sz="4" w:space="0" w:color="auto"/>
              <w:right w:val="single" w:sz="4" w:space="0" w:color="auto"/>
            </w:tcBorders>
            <w:shd w:val="clear" w:color="auto" w:fill="auto"/>
            <w:noWrap/>
          </w:tcPr>
          <w:p w14:paraId="55650243" w14:textId="539A981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0,97</w:t>
            </w:r>
          </w:p>
        </w:tc>
        <w:tc>
          <w:tcPr>
            <w:tcW w:w="992" w:type="dxa"/>
            <w:tcBorders>
              <w:top w:val="nil"/>
              <w:left w:val="nil"/>
              <w:bottom w:val="single" w:sz="4" w:space="0" w:color="auto"/>
              <w:right w:val="single" w:sz="4" w:space="0" w:color="auto"/>
            </w:tcBorders>
            <w:shd w:val="clear" w:color="auto" w:fill="auto"/>
            <w:noWrap/>
          </w:tcPr>
          <w:p w14:paraId="1F14B556" w14:textId="6CC8CAD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992" w:type="dxa"/>
            <w:tcBorders>
              <w:top w:val="nil"/>
              <w:left w:val="nil"/>
              <w:bottom w:val="single" w:sz="4" w:space="0" w:color="auto"/>
              <w:right w:val="single" w:sz="4" w:space="0" w:color="auto"/>
            </w:tcBorders>
            <w:shd w:val="clear" w:color="auto" w:fill="auto"/>
            <w:noWrap/>
          </w:tcPr>
          <w:p w14:paraId="787D546B" w14:textId="6E19C3C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r>
      <w:tr w:rsidR="005E36B7" w:rsidRPr="005E36B7" w14:paraId="530B13A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02F114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N_104</w:t>
            </w:r>
          </w:p>
        </w:tc>
        <w:tc>
          <w:tcPr>
            <w:tcW w:w="5103" w:type="dxa"/>
            <w:tcBorders>
              <w:top w:val="nil"/>
              <w:left w:val="nil"/>
              <w:bottom w:val="single" w:sz="4" w:space="0" w:color="auto"/>
              <w:right w:val="single" w:sz="4" w:space="0" w:color="auto"/>
            </w:tcBorders>
            <w:shd w:val="clear" w:color="auto" w:fill="auto"/>
            <w:noWrap/>
            <w:vAlign w:val="bottom"/>
            <w:hideMark/>
          </w:tcPr>
          <w:p w14:paraId="78B7A91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Pan de Azucar 220-&gt;Don Goyo 220</w:t>
            </w:r>
          </w:p>
        </w:tc>
        <w:tc>
          <w:tcPr>
            <w:tcW w:w="992" w:type="dxa"/>
            <w:tcBorders>
              <w:top w:val="nil"/>
              <w:left w:val="nil"/>
              <w:bottom w:val="single" w:sz="4" w:space="0" w:color="auto"/>
              <w:right w:val="single" w:sz="4" w:space="0" w:color="auto"/>
            </w:tcBorders>
            <w:shd w:val="clear" w:color="auto" w:fill="auto"/>
            <w:noWrap/>
          </w:tcPr>
          <w:p w14:paraId="38DEA355" w14:textId="6D78ECA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502CD4E9" w14:textId="531ACB0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62F0D119" w14:textId="45EAE29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4B929FD9" w14:textId="5F02C28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r>
      <w:tr w:rsidR="005E36B7" w:rsidRPr="005E36B7" w14:paraId="340C62A2"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AFE0D5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N_105</w:t>
            </w:r>
          </w:p>
        </w:tc>
        <w:tc>
          <w:tcPr>
            <w:tcW w:w="5103" w:type="dxa"/>
            <w:tcBorders>
              <w:top w:val="nil"/>
              <w:left w:val="nil"/>
              <w:bottom w:val="single" w:sz="4" w:space="0" w:color="auto"/>
              <w:right w:val="single" w:sz="4" w:space="0" w:color="auto"/>
            </w:tcBorders>
            <w:shd w:val="clear" w:color="auto" w:fill="auto"/>
            <w:noWrap/>
            <w:vAlign w:val="bottom"/>
            <w:hideMark/>
          </w:tcPr>
          <w:p w14:paraId="2F529F5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Pan de Azucar 220-&gt;Punta Colorada 220</w:t>
            </w:r>
          </w:p>
        </w:tc>
        <w:tc>
          <w:tcPr>
            <w:tcW w:w="992" w:type="dxa"/>
            <w:tcBorders>
              <w:top w:val="nil"/>
              <w:left w:val="nil"/>
              <w:bottom w:val="single" w:sz="4" w:space="0" w:color="auto"/>
              <w:right w:val="single" w:sz="4" w:space="0" w:color="auto"/>
            </w:tcBorders>
            <w:shd w:val="clear" w:color="auto" w:fill="auto"/>
            <w:noWrap/>
          </w:tcPr>
          <w:p w14:paraId="0FB8AE32" w14:textId="07ED4D1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851" w:type="dxa"/>
            <w:tcBorders>
              <w:top w:val="nil"/>
              <w:left w:val="nil"/>
              <w:bottom w:val="single" w:sz="4" w:space="0" w:color="auto"/>
              <w:right w:val="single" w:sz="4" w:space="0" w:color="auto"/>
            </w:tcBorders>
            <w:shd w:val="clear" w:color="auto" w:fill="auto"/>
            <w:noWrap/>
          </w:tcPr>
          <w:p w14:paraId="3AFF6DDC" w14:textId="35B3775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74266583" w14:textId="40F56A5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c>
          <w:tcPr>
            <w:tcW w:w="992" w:type="dxa"/>
            <w:tcBorders>
              <w:top w:val="nil"/>
              <w:left w:val="nil"/>
              <w:bottom w:val="single" w:sz="4" w:space="0" w:color="auto"/>
              <w:right w:val="single" w:sz="4" w:space="0" w:color="auto"/>
            </w:tcBorders>
            <w:shd w:val="clear" w:color="auto" w:fill="auto"/>
            <w:noWrap/>
          </w:tcPr>
          <w:p w14:paraId="00115592" w14:textId="21FC83F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r>
      <w:tr w:rsidR="005E36B7" w:rsidRPr="005E36B7" w14:paraId="727EE59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A30BB3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N_106</w:t>
            </w:r>
          </w:p>
        </w:tc>
        <w:tc>
          <w:tcPr>
            <w:tcW w:w="5103" w:type="dxa"/>
            <w:tcBorders>
              <w:top w:val="nil"/>
              <w:left w:val="nil"/>
              <w:bottom w:val="single" w:sz="4" w:space="0" w:color="auto"/>
              <w:right w:val="single" w:sz="4" w:space="0" w:color="auto"/>
            </w:tcBorders>
            <w:shd w:val="clear" w:color="auto" w:fill="auto"/>
            <w:noWrap/>
            <w:vAlign w:val="bottom"/>
            <w:hideMark/>
          </w:tcPr>
          <w:p w14:paraId="1A8B16B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Pargua 220-&gt;Nueva Ancud 220</w:t>
            </w:r>
          </w:p>
        </w:tc>
        <w:tc>
          <w:tcPr>
            <w:tcW w:w="992" w:type="dxa"/>
            <w:tcBorders>
              <w:top w:val="nil"/>
              <w:left w:val="nil"/>
              <w:bottom w:val="single" w:sz="4" w:space="0" w:color="auto"/>
              <w:right w:val="single" w:sz="4" w:space="0" w:color="auto"/>
            </w:tcBorders>
            <w:shd w:val="clear" w:color="auto" w:fill="auto"/>
            <w:noWrap/>
          </w:tcPr>
          <w:p w14:paraId="64F2DC8B" w14:textId="6F603D3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851" w:type="dxa"/>
            <w:tcBorders>
              <w:top w:val="nil"/>
              <w:left w:val="nil"/>
              <w:bottom w:val="single" w:sz="4" w:space="0" w:color="auto"/>
              <w:right w:val="single" w:sz="4" w:space="0" w:color="auto"/>
            </w:tcBorders>
            <w:shd w:val="clear" w:color="auto" w:fill="auto"/>
            <w:noWrap/>
          </w:tcPr>
          <w:p w14:paraId="5403A294" w14:textId="5A19BC6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c>
          <w:tcPr>
            <w:tcW w:w="992" w:type="dxa"/>
            <w:tcBorders>
              <w:top w:val="nil"/>
              <w:left w:val="nil"/>
              <w:bottom w:val="single" w:sz="4" w:space="0" w:color="auto"/>
              <w:right w:val="single" w:sz="4" w:space="0" w:color="auto"/>
            </w:tcBorders>
            <w:shd w:val="clear" w:color="auto" w:fill="auto"/>
            <w:noWrap/>
          </w:tcPr>
          <w:p w14:paraId="2A80D8B1" w14:textId="285C94B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0,20</w:t>
            </w:r>
          </w:p>
        </w:tc>
        <w:tc>
          <w:tcPr>
            <w:tcW w:w="992" w:type="dxa"/>
            <w:tcBorders>
              <w:top w:val="nil"/>
              <w:left w:val="nil"/>
              <w:bottom w:val="single" w:sz="4" w:space="0" w:color="auto"/>
              <w:right w:val="single" w:sz="4" w:space="0" w:color="auto"/>
            </w:tcBorders>
            <w:shd w:val="clear" w:color="auto" w:fill="auto"/>
            <w:noWrap/>
          </w:tcPr>
          <w:p w14:paraId="2C05B85F" w14:textId="02C1917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0,80</w:t>
            </w:r>
          </w:p>
        </w:tc>
      </w:tr>
      <w:tr w:rsidR="005E36B7" w:rsidRPr="005E36B7" w14:paraId="7B297B6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3A738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N_107</w:t>
            </w:r>
          </w:p>
        </w:tc>
        <w:tc>
          <w:tcPr>
            <w:tcW w:w="5103" w:type="dxa"/>
            <w:tcBorders>
              <w:top w:val="nil"/>
              <w:left w:val="nil"/>
              <w:bottom w:val="single" w:sz="4" w:space="0" w:color="auto"/>
              <w:right w:val="single" w:sz="4" w:space="0" w:color="auto"/>
            </w:tcBorders>
            <w:shd w:val="clear" w:color="auto" w:fill="auto"/>
            <w:noWrap/>
            <w:vAlign w:val="bottom"/>
            <w:hideMark/>
          </w:tcPr>
          <w:p w14:paraId="226DBE6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Polpaico 220-&gt;Quilapilun 220</w:t>
            </w:r>
          </w:p>
        </w:tc>
        <w:tc>
          <w:tcPr>
            <w:tcW w:w="992" w:type="dxa"/>
            <w:tcBorders>
              <w:top w:val="nil"/>
              <w:left w:val="nil"/>
              <w:bottom w:val="single" w:sz="4" w:space="0" w:color="auto"/>
              <w:right w:val="single" w:sz="4" w:space="0" w:color="auto"/>
            </w:tcBorders>
            <w:shd w:val="clear" w:color="auto" w:fill="auto"/>
            <w:noWrap/>
          </w:tcPr>
          <w:p w14:paraId="672E6B81" w14:textId="56F62E1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7ADF17E4" w14:textId="3D51FF9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1,00</w:t>
            </w:r>
          </w:p>
        </w:tc>
        <w:tc>
          <w:tcPr>
            <w:tcW w:w="992" w:type="dxa"/>
            <w:tcBorders>
              <w:top w:val="nil"/>
              <w:left w:val="nil"/>
              <w:bottom w:val="single" w:sz="4" w:space="0" w:color="auto"/>
              <w:right w:val="single" w:sz="4" w:space="0" w:color="auto"/>
            </w:tcBorders>
            <w:shd w:val="clear" w:color="auto" w:fill="auto"/>
            <w:noWrap/>
          </w:tcPr>
          <w:p w14:paraId="5BA47279" w14:textId="0DC83F2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0,01</w:t>
            </w:r>
          </w:p>
        </w:tc>
        <w:tc>
          <w:tcPr>
            <w:tcW w:w="992" w:type="dxa"/>
            <w:tcBorders>
              <w:top w:val="nil"/>
              <w:left w:val="nil"/>
              <w:bottom w:val="single" w:sz="4" w:space="0" w:color="auto"/>
              <w:right w:val="single" w:sz="4" w:space="0" w:color="auto"/>
            </w:tcBorders>
            <w:shd w:val="clear" w:color="auto" w:fill="auto"/>
            <w:noWrap/>
          </w:tcPr>
          <w:p w14:paraId="4EC8747B" w14:textId="562B33C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0,99</w:t>
            </w:r>
          </w:p>
        </w:tc>
      </w:tr>
      <w:tr w:rsidR="005E36B7" w:rsidRPr="005E36B7" w14:paraId="13515C3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171289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N_108</w:t>
            </w:r>
          </w:p>
        </w:tc>
        <w:tc>
          <w:tcPr>
            <w:tcW w:w="5103" w:type="dxa"/>
            <w:tcBorders>
              <w:top w:val="nil"/>
              <w:left w:val="nil"/>
              <w:bottom w:val="single" w:sz="4" w:space="0" w:color="auto"/>
              <w:right w:val="single" w:sz="4" w:space="0" w:color="auto"/>
            </w:tcBorders>
            <w:shd w:val="clear" w:color="auto" w:fill="auto"/>
            <w:noWrap/>
            <w:vAlign w:val="bottom"/>
            <w:hideMark/>
          </w:tcPr>
          <w:p w14:paraId="6D30006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Polpaico 220-&gt;Rio Aconcagua 220</w:t>
            </w:r>
          </w:p>
        </w:tc>
        <w:tc>
          <w:tcPr>
            <w:tcW w:w="992" w:type="dxa"/>
            <w:tcBorders>
              <w:top w:val="nil"/>
              <w:left w:val="nil"/>
              <w:bottom w:val="single" w:sz="4" w:space="0" w:color="auto"/>
              <w:right w:val="single" w:sz="4" w:space="0" w:color="auto"/>
            </w:tcBorders>
            <w:shd w:val="clear" w:color="auto" w:fill="auto"/>
            <w:noWrap/>
          </w:tcPr>
          <w:p w14:paraId="658C4270" w14:textId="526D274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50DDB1F5" w14:textId="40881F5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400D3BA" w14:textId="41280D7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0EC76A9A" w14:textId="3898C66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1FA212F7"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34C057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N_109</w:t>
            </w:r>
          </w:p>
        </w:tc>
        <w:tc>
          <w:tcPr>
            <w:tcW w:w="5103" w:type="dxa"/>
            <w:tcBorders>
              <w:top w:val="nil"/>
              <w:left w:val="nil"/>
              <w:bottom w:val="single" w:sz="4" w:space="0" w:color="auto"/>
              <w:right w:val="single" w:sz="4" w:space="0" w:color="auto"/>
            </w:tcBorders>
            <w:shd w:val="clear" w:color="auto" w:fill="auto"/>
            <w:noWrap/>
            <w:vAlign w:val="bottom"/>
            <w:hideMark/>
          </w:tcPr>
          <w:p w14:paraId="0679C13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Polpaico 220-&gt;Tap El Manzano 220</w:t>
            </w:r>
          </w:p>
        </w:tc>
        <w:tc>
          <w:tcPr>
            <w:tcW w:w="992" w:type="dxa"/>
            <w:tcBorders>
              <w:top w:val="nil"/>
              <w:left w:val="nil"/>
              <w:bottom w:val="single" w:sz="4" w:space="0" w:color="auto"/>
              <w:right w:val="single" w:sz="4" w:space="0" w:color="auto"/>
            </w:tcBorders>
            <w:shd w:val="clear" w:color="auto" w:fill="auto"/>
            <w:noWrap/>
          </w:tcPr>
          <w:p w14:paraId="07F6AD9C" w14:textId="57FF234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0,24</w:t>
            </w:r>
          </w:p>
        </w:tc>
        <w:tc>
          <w:tcPr>
            <w:tcW w:w="851" w:type="dxa"/>
            <w:tcBorders>
              <w:top w:val="nil"/>
              <w:left w:val="nil"/>
              <w:bottom w:val="single" w:sz="4" w:space="0" w:color="auto"/>
              <w:right w:val="single" w:sz="4" w:space="0" w:color="auto"/>
            </w:tcBorders>
            <w:shd w:val="clear" w:color="auto" w:fill="auto"/>
            <w:noWrap/>
          </w:tcPr>
          <w:p w14:paraId="1D6EDD7D" w14:textId="71F9ECF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4133D782" w14:textId="1C043E6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992" w:type="dxa"/>
            <w:tcBorders>
              <w:top w:val="nil"/>
              <w:left w:val="nil"/>
              <w:bottom w:val="single" w:sz="4" w:space="0" w:color="auto"/>
              <w:right w:val="single" w:sz="4" w:space="0" w:color="auto"/>
            </w:tcBorders>
            <w:shd w:val="clear" w:color="auto" w:fill="auto"/>
            <w:noWrap/>
          </w:tcPr>
          <w:p w14:paraId="7CDF5A8F" w14:textId="69DA054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r>
      <w:tr w:rsidR="005E36B7" w:rsidRPr="005E36B7" w14:paraId="2CF6B74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7BE60A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N_110</w:t>
            </w:r>
          </w:p>
        </w:tc>
        <w:tc>
          <w:tcPr>
            <w:tcW w:w="5103" w:type="dxa"/>
            <w:tcBorders>
              <w:top w:val="nil"/>
              <w:left w:val="nil"/>
              <w:bottom w:val="single" w:sz="4" w:space="0" w:color="auto"/>
              <w:right w:val="single" w:sz="4" w:space="0" w:color="auto"/>
            </w:tcBorders>
            <w:shd w:val="clear" w:color="auto" w:fill="auto"/>
            <w:noWrap/>
            <w:vAlign w:val="bottom"/>
            <w:hideMark/>
          </w:tcPr>
          <w:p w14:paraId="4D8FA99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Polpaico 500-&gt;Lo Aguirre 500</w:t>
            </w:r>
          </w:p>
        </w:tc>
        <w:tc>
          <w:tcPr>
            <w:tcW w:w="992" w:type="dxa"/>
            <w:tcBorders>
              <w:top w:val="nil"/>
              <w:left w:val="nil"/>
              <w:bottom w:val="single" w:sz="4" w:space="0" w:color="auto"/>
              <w:right w:val="single" w:sz="4" w:space="0" w:color="auto"/>
            </w:tcBorders>
            <w:shd w:val="clear" w:color="auto" w:fill="auto"/>
            <w:noWrap/>
          </w:tcPr>
          <w:p w14:paraId="1B6A9A91" w14:textId="6C08454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63B87ECC" w14:textId="1457D87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37E534F2" w14:textId="0918354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0,39</w:t>
            </w:r>
          </w:p>
        </w:tc>
        <w:tc>
          <w:tcPr>
            <w:tcW w:w="992" w:type="dxa"/>
            <w:tcBorders>
              <w:top w:val="nil"/>
              <w:left w:val="nil"/>
              <w:bottom w:val="single" w:sz="4" w:space="0" w:color="auto"/>
              <w:right w:val="single" w:sz="4" w:space="0" w:color="auto"/>
            </w:tcBorders>
            <w:shd w:val="clear" w:color="auto" w:fill="auto"/>
            <w:noWrap/>
          </w:tcPr>
          <w:p w14:paraId="6F2D03C6" w14:textId="00C1D6A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0,61</w:t>
            </w:r>
          </w:p>
        </w:tc>
      </w:tr>
      <w:tr w:rsidR="005E36B7" w:rsidRPr="005E36B7" w14:paraId="193EAFE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E2958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N_111</w:t>
            </w:r>
          </w:p>
        </w:tc>
        <w:tc>
          <w:tcPr>
            <w:tcW w:w="5103" w:type="dxa"/>
            <w:tcBorders>
              <w:top w:val="nil"/>
              <w:left w:val="nil"/>
              <w:bottom w:val="single" w:sz="4" w:space="0" w:color="auto"/>
              <w:right w:val="single" w:sz="4" w:space="0" w:color="auto"/>
            </w:tcBorders>
            <w:shd w:val="clear" w:color="auto" w:fill="auto"/>
            <w:noWrap/>
            <w:vAlign w:val="bottom"/>
            <w:hideMark/>
          </w:tcPr>
          <w:p w14:paraId="028F61B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Polpaico 500-&gt;Polpaico 220</w:t>
            </w:r>
          </w:p>
        </w:tc>
        <w:tc>
          <w:tcPr>
            <w:tcW w:w="992" w:type="dxa"/>
            <w:tcBorders>
              <w:top w:val="nil"/>
              <w:left w:val="nil"/>
              <w:bottom w:val="single" w:sz="4" w:space="0" w:color="auto"/>
              <w:right w:val="single" w:sz="4" w:space="0" w:color="auto"/>
            </w:tcBorders>
            <w:shd w:val="clear" w:color="auto" w:fill="auto"/>
            <w:noWrap/>
          </w:tcPr>
          <w:p w14:paraId="51A4851E" w14:textId="27541B3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0,06</w:t>
            </w:r>
          </w:p>
        </w:tc>
        <w:tc>
          <w:tcPr>
            <w:tcW w:w="851" w:type="dxa"/>
            <w:tcBorders>
              <w:top w:val="nil"/>
              <w:left w:val="nil"/>
              <w:bottom w:val="single" w:sz="4" w:space="0" w:color="auto"/>
              <w:right w:val="single" w:sz="4" w:space="0" w:color="auto"/>
            </w:tcBorders>
            <w:shd w:val="clear" w:color="auto" w:fill="auto"/>
            <w:noWrap/>
          </w:tcPr>
          <w:p w14:paraId="2F93AF5C" w14:textId="60A5957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0,94</w:t>
            </w:r>
          </w:p>
        </w:tc>
        <w:tc>
          <w:tcPr>
            <w:tcW w:w="992" w:type="dxa"/>
            <w:tcBorders>
              <w:top w:val="nil"/>
              <w:left w:val="nil"/>
              <w:bottom w:val="single" w:sz="4" w:space="0" w:color="auto"/>
              <w:right w:val="single" w:sz="4" w:space="0" w:color="auto"/>
            </w:tcBorders>
            <w:shd w:val="clear" w:color="auto" w:fill="auto"/>
            <w:noWrap/>
          </w:tcPr>
          <w:p w14:paraId="4FBB36A3" w14:textId="4B64560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0,09</w:t>
            </w:r>
          </w:p>
        </w:tc>
        <w:tc>
          <w:tcPr>
            <w:tcW w:w="992" w:type="dxa"/>
            <w:tcBorders>
              <w:top w:val="nil"/>
              <w:left w:val="nil"/>
              <w:bottom w:val="single" w:sz="4" w:space="0" w:color="auto"/>
              <w:right w:val="single" w:sz="4" w:space="0" w:color="auto"/>
            </w:tcBorders>
            <w:shd w:val="clear" w:color="auto" w:fill="auto"/>
            <w:noWrap/>
          </w:tcPr>
          <w:p w14:paraId="5C2BD95D" w14:textId="63443D1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0,91</w:t>
            </w:r>
          </w:p>
        </w:tc>
      </w:tr>
      <w:tr w:rsidR="005E36B7" w:rsidRPr="005E36B7" w14:paraId="46B86DB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4F033E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N_112</w:t>
            </w:r>
          </w:p>
        </w:tc>
        <w:tc>
          <w:tcPr>
            <w:tcW w:w="5103" w:type="dxa"/>
            <w:tcBorders>
              <w:top w:val="nil"/>
              <w:left w:val="nil"/>
              <w:bottom w:val="single" w:sz="4" w:space="0" w:color="auto"/>
              <w:right w:val="single" w:sz="4" w:space="0" w:color="auto"/>
            </w:tcBorders>
            <w:shd w:val="clear" w:color="auto" w:fill="auto"/>
            <w:noWrap/>
            <w:vAlign w:val="bottom"/>
            <w:hideMark/>
          </w:tcPr>
          <w:p w14:paraId="5E04C53E"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Pozo Almonte 220-&gt;Nueva Pozo Almonte 220</w:t>
            </w:r>
          </w:p>
        </w:tc>
        <w:tc>
          <w:tcPr>
            <w:tcW w:w="992" w:type="dxa"/>
            <w:tcBorders>
              <w:top w:val="nil"/>
              <w:left w:val="nil"/>
              <w:bottom w:val="single" w:sz="4" w:space="0" w:color="auto"/>
              <w:right w:val="single" w:sz="4" w:space="0" w:color="auto"/>
            </w:tcBorders>
            <w:shd w:val="clear" w:color="auto" w:fill="auto"/>
            <w:noWrap/>
          </w:tcPr>
          <w:p w14:paraId="780FB390" w14:textId="4BE8048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0,70</w:t>
            </w:r>
          </w:p>
        </w:tc>
        <w:tc>
          <w:tcPr>
            <w:tcW w:w="851" w:type="dxa"/>
            <w:tcBorders>
              <w:top w:val="nil"/>
              <w:left w:val="nil"/>
              <w:bottom w:val="single" w:sz="4" w:space="0" w:color="auto"/>
              <w:right w:val="single" w:sz="4" w:space="0" w:color="auto"/>
            </w:tcBorders>
            <w:shd w:val="clear" w:color="auto" w:fill="auto"/>
            <w:noWrap/>
          </w:tcPr>
          <w:p w14:paraId="0D688590" w14:textId="1F01935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0,30</w:t>
            </w:r>
          </w:p>
        </w:tc>
        <w:tc>
          <w:tcPr>
            <w:tcW w:w="992" w:type="dxa"/>
            <w:tcBorders>
              <w:top w:val="nil"/>
              <w:left w:val="nil"/>
              <w:bottom w:val="single" w:sz="4" w:space="0" w:color="auto"/>
              <w:right w:val="single" w:sz="4" w:space="0" w:color="auto"/>
            </w:tcBorders>
            <w:shd w:val="clear" w:color="auto" w:fill="auto"/>
            <w:noWrap/>
          </w:tcPr>
          <w:p w14:paraId="7DD8AEAA" w14:textId="1A7E5F9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0,84</w:t>
            </w:r>
          </w:p>
        </w:tc>
        <w:tc>
          <w:tcPr>
            <w:tcW w:w="992" w:type="dxa"/>
            <w:tcBorders>
              <w:top w:val="nil"/>
              <w:left w:val="nil"/>
              <w:bottom w:val="single" w:sz="4" w:space="0" w:color="auto"/>
              <w:right w:val="single" w:sz="4" w:space="0" w:color="auto"/>
            </w:tcBorders>
            <w:shd w:val="clear" w:color="auto" w:fill="auto"/>
            <w:noWrap/>
          </w:tcPr>
          <w:p w14:paraId="7CB1A94A" w14:textId="7D25649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0,16</w:t>
            </w:r>
          </w:p>
        </w:tc>
      </w:tr>
      <w:tr w:rsidR="005E36B7" w:rsidRPr="005E36B7" w14:paraId="55B03447"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C55429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N_113</w:t>
            </w:r>
          </w:p>
        </w:tc>
        <w:tc>
          <w:tcPr>
            <w:tcW w:w="5103" w:type="dxa"/>
            <w:tcBorders>
              <w:top w:val="nil"/>
              <w:left w:val="nil"/>
              <w:bottom w:val="single" w:sz="4" w:space="0" w:color="auto"/>
              <w:right w:val="single" w:sz="4" w:space="0" w:color="auto"/>
            </w:tcBorders>
            <w:shd w:val="clear" w:color="auto" w:fill="auto"/>
            <w:noWrap/>
            <w:vAlign w:val="bottom"/>
            <w:hideMark/>
          </w:tcPr>
          <w:p w14:paraId="5DE7AD0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Puente Negro 220-&gt;Colbun 220</w:t>
            </w:r>
          </w:p>
        </w:tc>
        <w:tc>
          <w:tcPr>
            <w:tcW w:w="992" w:type="dxa"/>
            <w:tcBorders>
              <w:top w:val="nil"/>
              <w:left w:val="nil"/>
              <w:bottom w:val="single" w:sz="4" w:space="0" w:color="auto"/>
              <w:right w:val="single" w:sz="4" w:space="0" w:color="auto"/>
            </w:tcBorders>
            <w:shd w:val="clear" w:color="auto" w:fill="auto"/>
            <w:noWrap/>
          </w:tcPr>
          <w:p w14:paraId="1BE51AFE" w14:textId="1E91CF8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0,02</w:t>
            </w:r>
          </w:p>
        </w:tc>
        <w:tc>
          <w:tcPr>
            <w:tcW w:w="851" w:type="dxa"/>
            <w:tcBorders>
              <w:top w:val="nil"/>
              <w:left w:val="nil"/>
              <w:bottom w:val="single" w:sz="4" w:space="0" w:color="auto"/>
              <w:right w:val="single" w:sz="4" w:space="0" w:color="auto"/>
            </w:tcBorders>
            <w:shd w:val="clear" w:color="auto" w:fill="auto"/>
            <w:noWrap/>
          </w:tcPr>
          <w:p w14:paraId="3F494004" w14:textId="5AD4191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0,98</w:t>
            </w:r>
          </w:p>
        </w:tc>
        <w:tc>
          <w:tcPr>
            <w:tcW w:w="992" w:type="dxa"/>
            <w:tcBorders>
              <w:top w:val="nil"/>
              <w:left w:val="nil"/>
              <w:bottom w:val="single" w:sz="4" w:space="0" w:color="auto"/>
              <w:right w:val="single" w:sz="4" w:space="0" w:color="auto"/>
            </w:tcBorders>
            <w:shd w:val="clear" w:color="auto" w:fill="auto"/>
            <w:noWrap/>
          </w:tcPr>
          <w:p w14:paraId="7829A6B3" w14:textId="15D311B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992" w:type="dxa"/>
            <w:tcBorders>
              <w:top w:val="nil"/>
              <w:left w:val="nil"/>
              <w:bottom w:val="single" w:sz="4" w:space="0" w:color="auto"/>
              <w:right w:val="single" w:sz="4" w:space="0" w:color="auto"/>
            </w:tcBorders>
            <w:shd w:val="clear" w:color="auto" w:fill="auto"/>
            <w:noWrap/>
          </w:tcPr>
          <w:p w14:paraId="70ED2BA4" w14:textId="5D5AB60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r>
      <w:tr w:rsidR="005E36B7" w:rsidRPr="005E36B7" w14:paraId="0561324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3D271D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N_114</w:t>
            </w:r>
          </w:p>
        </w:tc>
        <w:tc>
          <w:tcPr>
            <w:tcW w:w="5103" w:type="dxa"/>
            <w:tcBorders>
              <w:top w:val="nil"/>
              <w:left w:val="nil"/>
              <w:bottom w:val="single" w:sz="4" w:space="0" w:color="auto"/>
              <w:right w:val="single" w:sz="4" w:space="0" w:color="auto"/>
            </w:tcBorders>
            <w:shd w:val="clear" w:color="auto" w:fill="auto"/>
            <w:noWrap/>
            <w:vAlign w:val="bottom"/>
            <w:hideMark/>
          </w:tcPr>
          <w:p w14:paraId="1B65399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Puente Negro 220-&gt;Tinguiririca 220</w:t>
            </w:r>
          </w:p>
        </w:tc>
        <w:tc>
          <w:tcPr>
            <w:tcW w:w="992" w:type="dxa"/>
            <w:tcBorders>
              <w:top w:val="nil"/>
              <w:left w:val="nil"/>
              <w:bottom w:val="single" w:sz="4" w:space="0" w:color="auto"/>
              <w:right w:val="single" w:sz="4" w:space="0" w:color="auto"/>
            </w:tcBorders>
            <w:shd w:val="clear" w:color="auto" w:fill="auto"/>
            <w:noWrap/>
          </w:tcPr>
          <w:p w14:paraId="155F2775" w14:textId="7C06E92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7E795F8F" w14:textId="302ACA7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153E9A9" w14:textId="74A52C1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B37C3D9" w14:textId="7F993C6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7AB842F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CD37EF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N_115</w:t>
            </w:r>
          </w:p>
        </w:tc>
        <w:tc>
          <w:tcPr>
            <w:tcW w:w="5103" w:type="dxa"/>
            <w:tcBorders>
              <w:top w:val="nil"/>
              <w:left w:val="nil"/>
              <w:bottom w:val="single" w:sz="4" w:space="0" w:color="auto"/>
              <w:right w:val="single" w:sz="4" w:space="0" w:color="auto"/>
            </w:tcBorders>
            <w:shd w:val="clear" w:color="auto" w:fill="auto"/>
            <w:noWrap/>
            <w:vAlign w:val="bottom"/>
            <w:hideMark/>
          </w:tcPr>
          <w:p w14:paraId="58BB0FD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Puerto Montt 220-&gt;Llanquihue 220</w:t>
            </w:r>
          </w:p>
        </w:tc>
        <w:tc>
          <w:tcPr>
            <w:tcW w:w="992" w:type="dxa"/>
            <w:tcBorders>
              <w:top w:val="nil"/>
              <w:left w:val="nil"/>
              <w:bottom w:val="single" w:sz="4" w:space="0" w:color="auto"/>
              <w:right w:val="single" w:sz="4" w:space="0" w:color="auto"/>
            </w:tcBorders>
            <w:shd w:val="clear" w:color="auto" w:fill="auto"/>
            <w:noWrap/>
          </w:tcPr>
          <w:p w14:paraId="1B5B8ED6" w14:textId="34B02C4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0,21</w:t>
            </w:r>
          </w:p>
        </w:tc>
        <w:tc>
          <w:tcPr>
            <w:tcW w:w="851" w:type="dxa"/>
            <w:tcBorders>
              <w:top w:val="nil"/>
              <w:left w:val="nil"/>
              <w:bottom w:val="single" w:sz="4" w:space="0" w:color="auto"/>
              <w:right w:val="single" w:sz="4" w:space="0" w:color="auto"/>
            </w:tcBorders>
            <w:shd w:val="clear" w:color="auto" w:fill="auto"/>
            <w:noWrap/>
          </w:tcPr>
          <w:p w14:paraId="22837884" w14:textId="659FF51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0,79</w:t>
            </w:r>
          </w:p>
        </w:tc>
        <w:tc>
          <w:tcPr>
            <w:tcW w:w="992" w:type="dxa"/>
            <w:tcBorders>
              <w:top w:val="nil"/>
              <w:left w:val="nil"/>
              <w:bottom w:val="single" w:sz="4" w:space="0" w:color="auto"/>
              <w:right w:val="single" w:sz="4" w:space="0" w:color="auto"/>
            </w:tcBorders>
            <w:shd w:val="clear" w:color="auto" w:fill="auto"/>
            <w:noWrap/>
          </w:tcPr>
          <w:p w14:paraId="28B33273" w14:textId="448B386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992" w:type="dxa"/>
            <w:tcBorders>
              <w:top w:val="nil"/>
              <w:left w:val="nil"/>
              <w:bottom w:val="single" w:sz="4" w:space="0" w:color="auto"/>
              <w:right w:val="single" w:sz="4" w:space="0" w:color="auto"/>
            </w:tcBorders>
            <w:shd w:val="clear" w:color="auto" w:fill="auto"/>
            <w:noWrap/>
          </w:tcPr>
          <w:p w14:paraId="7DA33F17" w14:textId="2BFF52E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r>
      <w:tr w:rsidR="005E36B7" w:rsidRPr="005E36B7" w14:paraId="0841D14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EE40C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N_116</w:t>
            </w:r>
          </w:p>
        </w:tc>
        <w:tc>
          <w:tcPr>
            <w:tcW w:w="5103" w:type="dxa"/>
            <w:tcBorders>
              <w:top w:val="nil"/>
              <w:left w:val="nil"/>
              <w:bottom w:val="single" w:sz="4" w:space="0" w:color="auto"/>
              <w:right w:val="single" w:sz="4" w:space="0" w:color="auto"/>
            </w:tcBorders>
            <w:shd w:val="clear" w:color="auto" w:fill="auto"/>
            <w:noWrap/>
            <w:vAlign w:val="bottom"/>
            <w:hideMark/>
          </w:tcPr>
          <w:p w14:paraId="1437983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Punta Sierra 220-&gt;La Cebada 220</w:t>
            </w:r>
          </w:p>
        </w:tc>
        <w:tc>
          <w:tcPr>
            <w:tcW w:w="992" w:type="dxa"/>
            <w:tcBorders>
              <w:top w:val="nil"/>
              <w:left w:val="nil"/>
              <w:bottom w:val="single" w:sz="4" w:space="0" w:color="auto"/>
              <w:right w:val="single" w:sz="4" w:space="0" w:color="auto"/>
            </w:tcBorders>
            <w:shd w:val="clear" w:color="auto" w:fill="auto"/>
            <w:noWrap/>
          </w:tcPr>
          <w:p w14:paraId="33D736DF" w14:textId="7D1B79E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0,45</w:t>
            </w:r>
          </w:p>
        </w:tc>
        <w:tc>
          <w:tcPr>
            <w:tcW w:w="851" w:type="dxa"/>
            <w:tcBorders>
              <w:top w:val="nil"/>
              <w:left w:val="nil"/>
              <w:bottom w:val="single" w:sz="4" w:space="0" w:color="auto"/>
              <w:right w:val="single" w:sz="4" w:space="0" w:color="auto"/>
            </w:tcBorders>
            <w:shd w:val="clear" w:color="auto" w:fill="auto"/>
            <w:noWrap/>
          </w:tcPr>
          <w:p w14:paraId="6260C806" w14:textId="22213A1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35E6852B" w14:textId="6FBD3DD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678F872E" w14:textId="49FB677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0,38</w:t>
            </w:r>
          </w:p>
        </w:tc>
      </w:tr>
      <w:tr w:rsidR="005E36B7" w:rsidRPr="005E36B7" w14:paraId="3FE39FD5"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0060A9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N_117</w:t>
            </w:r>
          </w:p>
        </w:tc>
        <w:tc>
          <w:tcPr>
            <w:tcW w:w="5103" w:type="dxa"/>
            <w:tcBorders>
              <w:top w:val="nil"/>
              <w:left w:val="nil"/>
              <w:bottom w:val="single" w:sz="4" w:space="0" w:color="auto"/>
              <w:right w:val="single" w:sz="4" w:space="0" w:color="auto"/>
            </w:tcBorders>
            <w:shd w:val="clear" w:color="auto" w:fill="auto"/>
            <w:noWrap/>
            <w:vAlign w:val="bottom"/>
            <w:hideMark/>
          </w:tcPr>
          <w:p w14:paraId="62D0805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Punta Sierra 220-&gt;Las Palmas 220</w:t>
            </w:r>
          </w:p>
        </w:tc>
        <w:tc>
          <w:tcPr>
            <w:tcW w:w="992" w:type="dxa"/>
            <w:tcBorders>
              <w:top w:val="nil"/>
              <w:left w:val="nil"/>
              <w:bottom w:val="single" w:sz="4" w:space="0" w:color="auto"/>
              <w:right w:val="single" w:sz="4" w:space="0" w:color="auto"/>
            </w:tcBorders>
            <w:shd w:val="clear" w:color="auto" w:fill="auto"/>
            <w:noWrap/>
          </w:tcPr>
          <w:p w14:paraId="73D7983C" w14:textId="4CBDC10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0,36</w:t>
            </w:r>
          </w:p>
        </w:tc>
        <w:tc>
          <w:tcPr>
            <w:tcW w:w="851" w:type="dxa"/>
            <w:tcBorders>
              <w:top w:val="nil"/>
              <w:left w:val="nil"/>
              <w:bottom w:val="single" w:sz="4" w:space="0" w:color="auto"/>
              <w:right w:val="single" w:sz="4" w:space="0" w:color="auto"/>
            </w:tcBorders>
            <w:shd w:val="clear" w:color="auto" w:fill="auto"/>
            <w:noWrap/>
          </w:tcPr>
          <w:p w14:paraId="30F83CD2" w14:textId="26A2561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0,64</w:t>
            </w:r>
          </w:p>
        </w:tc>
        <w:tc>
          <w:tcPr>
            <w:tcW w:w="992" w:type="dxa"/>
            <w:tcBorders>
              <w:top w:val="nil"/>
              <w:left w:val="nil"/>
              <w:bottom w:val="single" w:sz="4" w:space="0" w:color="auto"/>
              <w:right w:val="single" w:sz="4" w:space="0" w:color="auto"/>
            </w:tcBorders>
            <w:shd w:val="clear" w:color="auto" w:fill="auto"/>
            <w:noWrap/>
          </w:tcPr>
          <w:p w14:paraId="3E42040E" w14:textId="3CCCE36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0,52</w:t>
            </w:r>
          </w:p>
        </w:tc>
        <w:tc>
          <w:tcPr>
            <w:tcW w:w="992" w:type="dxa"/>
            <w:tcBorders>
              <w:top w:val="nil"/>
              <w:left w:val="nil"/>
              <w:bottom w:val="single" w:sz="4" w:space="0" w:color="auto"/>
              <w:right w:val="single" w:sz="4" w:space="0" w:color="auto"/>
            </w:tcBorders>
            <w:shd w:val="clear" w:color="auto" w:fill="auto"/>
            <w:noWrap/>
          </w:tcPr>
          <w:p w14:paraId="05A256AB" w14:textId="1B3CD1B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0,48</w:t>
            </w:r>
          </w:p>
        </w:tc>
      </w:tr>
      <w:tr w:rsidR="005E36B7" w:rsidRPr="005E36B7" w14:paraId="498AB7A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A7793A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N_118</w:t>
            </w:r>
          </w:p>
        </w:tc>
        <w:tc>
          <w:tcPr>
            <w:tcW w:w="5103" w:type="dxa"/>
            <w:tcBorders>
              <w:top w:val="nil"/>
              <w:left w:val="nil"/>
              <w:bottom w:val="single" w:sz="4" w:space="0" w:color="auto"/>
              <w:right w:val="single" w:sz="4" w:space="0" w:color="auto"/>
            </w:tcBorders>
            <w:shd w:val="clear" w:color="auto" w:fill="auto"/>
            <w:noWrap/>
            <w:vAlign w:val="bottom"/>
            <w:hideMark/>
          </w:tcPr>
          <w:p w14:paraId="78696A3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Quillota 220-&gt;Polpaico 220</w:t>
            </w:r>
          </w:p>
        </w:tc>
        <w:tc>
          <w:tcPr>
            <w:tcW w:w="992" w:type="dxa"/>
            <w:tcBorders>
              <w:top w:val="nil"/>
              <w:left w:val="nil"/>
              <w:bottom w:val="single" w:sz="4" w:space="0" w:color="auto"/>
              <w:right w:val="single" w:sz="4" w:space="0" w:color="auto"/>
            </w:tcBorders>
            <w:shd w:val="clear" w:color="auto" w:fill="auto"/>
            <w:noWrap/>
          </w:tcPr>
          <w:p w14:paraId="7F1D221C" w14:textId="0746378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1BB293DF" w14:textId="2BCC9B3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2CDF83B1" w14:textId="636B8C2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0,35</w:t>
            </w:r>
          </w:p>
        </w:tc>
        <w:tc>
          <w:tcPr>
            <w:tcW w:w="992" w:type="dxa"/>
            <w:tcBorders>
              <w:top w:val="nil"/>
              <w:left w:val="nil"/>
              <w:bottom w:val="single" w:sz="4" w:space="0" w:color="auto"/>
              <w:right w:val="single" w:sz="4" w:space="0" w:color="auto"/>
            </w:tcBorders>
            <w:shd w:val="clear" w:color="auto" w:fill="auto"/>
            <w:noWrap/>
          </w:tcPr>
          <w:p w14:paraId="15CBE130" w14:textId="2FEBD78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0,65</w:t>
            </w:r>
          </w:p>
        </w:tc>
      </w:tr>
      <w:tr w:rsidR="005E36B7" w:rsidRPr="005E36B7" w14:paraId="21088F4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9B3FA2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N_119</w:t>
            </w:r>
          </w:p>
        </w:tc>
        <w:tc>
          <w:tcPr>
            <w:tcW w:w="5103" w:type="dxa"/>
            <w:tcBorders>
              <w:top w:val="nil"/>
              <w:left w:val="nil"/>
              <w:bottom w:val="single" w:sz="4" w:space="0" w:color="auto"/>
              <w:right w:val="single" w:sz="4" w:space="0" w:color="auto"/>
            </w:tcBorders>
            <w:shd w:val="clear" w:color="auto" w:fill="auto"/>
            <w:noWrap/>
            <w:vAlign w:val="bottom"/>
            <w:hideMark/>
          </w:tcPr>
          <w:p w14:paraId="389163E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Quillota 220-&gt;San Luis 220</w:t>
            </w:r>
          </w:p>
        </w:tc>
        <w:tc>
          <w:tcPr>
            <w:tcW w:w="992" w:type="dxa"/>
            <w:tcBorders>
              <w:top w:val="nil"/>
              <w:left w:val="nil"/>
              <w:bottom w:val="single" w:sz="4" w:space="0" w:color="auto"/>
              <w:right w:val="single" w:sz="4" w:space="0" w:color="auto"/>
            </w:tcBorders>
            <w:shd w:val="clear" w:color="auto" w:fill="auto"/>
            <w:noWrap/>
          </w:tcPr>
          <w:p w14:paraId="3CB20FF9" w14:textId="05B94F5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0,08</w:t>
            </w:r>
          </w:p>
        </w:tc>
        <w:tc>
          <w:tcPr>
            <w:tcW w:w="851" w:type="dxa"/>
            <w:tcBorders>
              <w:top w:val="nil"/>
              <w:left w:val="nil"/>
              <w:bottom w:val="single" w:sz="4" w:space="0" w:color="auto"/>
              <w:right w:val="single" w:sz="4" w:space="0" w:color="auto"/>
            </w:tcBorders>
            <w:shd w:val="clear" w:color="auto" w:fill="auto"/>
            <w:noWrap/>
          </w:tcPr>
          <w:p w14:paraId="161B9DC0" w14:textId="312452A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0,92</w:t>
            </w:r>
          </w:p>
        </w:tc>
        <w:tc>
          <w:tcPr>
            <w:tcW w:w="992" w:type="dxa"/>
            <w:tcBorders>
              <w:top w:val="nil"/>
              <w:left w:val="nil"/>
              <w:bottom w:val="single" w:sz="4" w:space="0" w:color="auto"/>
              <w:right w:val="single" w:sz="4" w:space="0" w:color="auto"/>
            </w:tcBorders>
            <w:shd w:val="clear" w:color="auto" w:fill="auto"/>
            <w:noWrap/>
          </w:tcPr>
          <w:p w14:paraId="3C7F7D81" w14:textId="5984B3E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0,09</w:t>
            </w:r>
          </w:p>
        </w:tc>
        <w:tc>
          <w:tcPr>
            <w:tcW w:w="992" w:type="dxa"/>
            <w:tcBorders>
              <w:top w:val="nil"/>
              <w:left w:val="nil"/>
              <w:bottom w:val="single" w:sz="4" w:space="0" w:color="auto"/>
              <w:right w:val="single" w:sz="4" w:space="0" w:color="auto"/>
            </w:tcBorders>
            <w:shd w:val="clear" w:color="auto" w:fill="auto"/>
            <w:noWrap/>
          </w:tcPr>
          <w:p w14:paraId="01FEA4E5" w14:textId="52F684D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0,91</w:t>
            </w:r>
          </w:p>
        </w:tc>
      </w:tr>
      <w:tr w:rsidR="005E36B7" w:rsidRPr="005E36B7" w14:paraId="0982C636"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06E59F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N_120</w:t>
            </w:r>
          </w:p>
        </w:tc>
        <w:tc>
          <w:tcPr>
            <w:tcW w:w="5103" w:type="dxa"/>
            <w:tcBorders>
              <w:top w:val="nil"/>
              <w:left w:val="nil"/>
              <w:bottom w:val="single" w:sz="4" w:space="0" w:color="auto"/>
              <w:right w:val="single" w:sz="4" w:space="0" w:color="auto"/>
            </w:tcBorders>
            <w:shd w:val="clear" w:color="auto" w:fill="auto"/>
            <w:noWrap/>
            <w:vAlign w:val="bottom"/>
            <w:hideMark/>
          </w:tcPr>
          <w:p w14:paraId="047E0CC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Rahue 220-&gt;Frutillar Norte 220</w:t>
            </w:r>
          </w:p>
        </w:tc>
        <w:tc>
          <w:tcPr>
            <w:tcW w:w="992" w:type="dxa"/>
            <w:tcBorders>
              <w:top w:val="nil"/>
              <w:left w:val="nil"/>
              <w:bottom w:val="single" w:sz="4" w:space="0" w:color="auto"/>
              <w:right w:val="single" w:sz="4" w:space="0" w:color="auto"/>
            </w:tcBorders>
            <w:shd w:val="clear" w:color="auto" w:fill="auto"/>
            <w:noWrap/>
          </w:tcPr>
          <w:p w14:paraId="72BE1DE3" w14:textId="56527FA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0,16</w:t>
            </w:r>
          </w:p>
        </w:tc>
        <w:tc>
          <w:tcPr>
            <w:tcW w:w="851" w:type="dxa"/>
            <w:tcBorders>
              <w:top w:val="nil"/>
              <w:left w:val="nil"/>
              <w:bottom w:val="single" w:sz="4" w:space="0" w:color="auto"/>
              <w:right w:val="single" w:sz="4" w:space="0" w:color="auto"/>
            </w:tcBorders>
            <w:shd w:val="clear" w:color="auto" w:fill="auto"/>
            <w:noWrap/>
          </w:tcPr>
          <w:p w14:paraId="028D929E" w14:textId="35F8CE5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0,84</w:t>
            </w:r>
          </w:p>
        </w:tc>
        <w:tc>
          <w:tcPr>
            <w:tcW w:w="992" w:type="dxa"/>
            <w:tcBorders>
              <w:top w:val="nil"/>
              <w:left w:val="nil"/>
              <w:bottom w:val="single" w:sz="4" w:space="0" w:color="auto"/>
              <w:right w:val="single" w:sz="4" w:space="0" w:color="auto"/>
            </w:tcBorders>
            <w:shd w:val="clear" w:color="auto" w:fill="auto"/>
            <w:noWrap/>
          </w:tcPr>
          <w:p w14:paraId="0C3E6256" w14:textId="2510A5D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0,18</w:t>
            </w:r>
          </w:p>
        </w:tc>
        <w:tc>
          <w:tcPr>
            <w:tcW w:w="992" w:type="dxa"/>
            <w:tcBorders>
              <w:top w:val="nil"/>
              <w:left w:val="nil"/>
              <w:bottom w:val="single" w:sz="4" w:space="0" w:color="auto"/>
              <w:right w:val="single" w:sz="4" w:space="0" w:color="auto"/>
            </w:tcBorders>
            <w:shd w:val="clear" w:color="auto" w:fill="auto"/>
            <w:noWrap/>
          </w:tcPr>
          <w:p w14:paraId="504F33CB" w14:textId="0AB5FDF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0,82</w:t>
            </w:r>
          </w:p>
        </w:tc>
      </w:tr>
      <w:tr w:rsidR="005E36B7" w:rsidRPr="005E36B7" w14:paraId="7C11F771"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FAB72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N_121</w:t>
            </w:r>
          </w:p>
        </w:tc>
        <w:tc>
          <w:tcPr>
            <w:tcW w:w="5103" w:type="dxa"/>
            <w:tcBorders>
              <w:top w:val="nil"/>
              <w:left w:val="nil"/>
              <w:bottom w:val="single" w:sz="4" w:space="0" w:color="auto"/>
              <w:right w:val="single" w:sz="4" w:space="0" w:color="auto"/>
            </w:tcBorders>
            <w:shd w:val="clear" w:color="auto" w:fill="auto"/>
            <w:noWrap/>
            <w:vAlign w:val="bottom"/>
            <w:hideMark/>
          </w:tcPr>
          <w:p w14:paraId="4550E2C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Rahue 220-&gt;Nueva Pichirropulli 220</w:t>
            </w:r>
          </w:p>
        </w:tc>
        <w:tc>
          <w:tcPr>
            <w:tcW w:w="992" w:type="dxa"/>
            <w:tcBorders>
              <w:top w:val="nil"/>
              <w:left w:val="nil"/>
              <w:bottom w:val="single" w:sz="4" w:space="0" w:color="auto"/>
              <w:right w:val="single" w:sz="4" w:space="0" w:color="auto"/>
            </w:tcBorders>
            <w:shd w:val="clear" w:color="auto" w:fill="auto"/>
            <w:noWrap/>
          </w:tcPr>
          <w:p w14:paraId="4B17D78F" w14:textId="02DCF20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6CB573CB" w14:textId="713DD5B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082833B4" w14:textId="6C3C281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0,36</w:t>
            </w:r>
          </w:p>
        </w:tc>
        <w:tc>
          <w:tcPr>
            <w:tcW w:w="992" w:type="dxa"/>
            <w:tcBorders>
              <w:top w:val="nil"/>
              <w:left w:val="nil"/>
              <w:bottom w:val="single" w:sz="4" w:space="0" w:color="auto"/>
              <w:right w:val="single" w:sz="4" w:space="0" w:color="auto"/>
            </w:tcBorders>
            <w:shd w:val="clear" w:color="auto" w:fill="auto"/>
            <w:noWrap/>
          </w:tcPr>
          <w:p w14:paraId="095424BC" w14:textId="5ADAF90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0,64</w:t>
            </w:r>
          </w:p>
        </w:tc>
      </w:tr>
      <w:tr w:rsidR="005E36B7" w:rsidRPr="005E36B7" w14:paraId="5109A2C9"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84E9E43"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N_122</w:t>
            </w:r>
          </w:p>
        </w:tc>
        <w:tc>
          <w:tcPr>
            <w:tcW w:w="5103" w:type="dxa"/>
            <w:tcBorders>
              <w:top w:val="nil"/>
              <w:left w:val="nil"/>
              <w:bottom w:val="single" w:sz="4" w:space="0" w:color="auto"/>
              <w:right w:val="single" w:sz="4" w:space="0" w:color="auto"/>
            </w:tcBorders>
            <w:shd w:val="clear" w:color="auto" w:fill="auto"/>
            <w:noWrap/>
            <w:vAlign w:val="bottom"/>
            <w:hideMark/>
          </w:tcPr>
          <w:p w14:paraId="5B1A660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Rio Malleco 220-&gt;Cautin 220</w:t>
            </w:r>
          </w:p>
        </w:tc>
        <w:tc>
          <w:tcPr>
            <w:tcW w:w="992" w:type="dxa"/>
            <w:tcBorders>
              <w:top w:val="nil"/>
              <w:left w:val="nil"/>
              <w:bottom w:val="single" w:sz="4" w:space="0" w:color="auto"/>
              <w:right w:val="single" w:sz="4" w:space="0" w:color="auto"/>
            </w:tcBorders>
            <w:shd w:val="clear" w:color="auto" w:fill="auto"/>
            <w:noWrap/>
          </w:tcPr>
          <w:p w14:paraId="1EC9E847" w14:textId="1D91944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42E0A051" w14:textId="74F2743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E7329EE" w14:textId="1460FE3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31C5584" w14:textId="6805E35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0E0C0B2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9B6E03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N_123</w:t>
            </w:r>
          </w:p>
        </w:tc>
        <w:tc>
          <w:tcPr>
            <w:tcW w:w="5103" w:type="dxa"/>
            <w:tcBorders>
              <w:top w:val="nil"/>
              <w:left w:val="nil"/>
              <w:bottom w:val="single" w:sz="4" w:space="0" w:color="auto"/>
              <w:right w:val="single" w:sz="4" w:space="0" w:color="auto"/>
            </w:tcBorders>
            <w:shd w:val="clear" w:color="auto" w:fill="auto"/>
            <w:noWrap/>
            <w:vAlign w:val="bottom"/>
            <w:hideMark/>
          </w:tcPr>
          <w:p w14:paraId="77C3BC9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Rio Tolten 220-&gt;Lastarria 220</w:t>
            </w:r>
          </w:p>
        </w:tc>
        <w:tc>
          <w:tcPr>
            <w:tcW w:w="992" w:type="dxa"/>
            <w:tcBorders>
              <w:top w:val="nil"/>
              <w:left w:val="nil"/>
              <w:bottom w:val="single" w:sz="4" w:space="0" w:color="auto"/>
              <w:right w:val="single" w:sz="4" w:space="0" w:color="auto"/>
            </w:tcBorders>
            <w:shd w:val="clear" w:color="auto" w:fill="auto"/>
            <w:noWrap/>
          </w:tcPr>
          <w:p w14:paraId="2B262826" w14:textId="44EF6C8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0,32</w:t>
            </w:r>
          </w:p>
        </w:tc>
        <w:tc>
          <w:tcPr>
            <w:tcW w:w="851" w:type="dxa"/>
            <w:tcBorders>
              <w:top w:val="nil"/>
              <w:left w:val="nil"/>
              <w:bottom w:val="single" w:sz="4" w:space="0" w:color="auto"/>
              <w:right w:val="single" w:sz="4" w:space="0" w:color="auto"/>
            </w:tcBorders>
            <w:shd w:val="clear" w:color="auto" w:fill="auto"/>
            <w:noWrap/>
          </w:tcPr>
          <w:p w14:paraId="71DEFE10" w14:textId="302259E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12C597DD" w14:textId="30E06A0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0,44</w:t>
            </w:r>
          </w:p>
        </w:tc>
        <w:tc>
          <w:tcPr>
            <w:tcW w:w="992" w:type="dxa"/>
            <w:tcBorders>
              <w:top w:val="nil"/>
              <w:left w:val="nil"/>
              <w:bottom w:val="single" w:sz="4" w:space="0" w:color="auto"/>
              <w:right w:val="single" w:sz="4" w:space="0" w:color="auto"/>
            </w:tcBorders>
            <w:shd w:val="clear" w:color="auto" w:fill="auto"/>
            <w:noWrap/>
          </w:tcPr>
          <w:p w14:paraId="415FAA10" w14:textId="2C5090B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0,56</w:t>
            </w:r>
          </w:p>
        </w:tc>
      </w:tr>
      <w:tr w:rsidR="005E36B7" w:rsidRPr="005E36B7" w14:paraId="0801F28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F1544E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N_124</w:t>
            </w:r>
          </w:p>
        </w:tc>
        <w:tc>
          <w:tcPr>
            <w:tcW w:w="5103" w:type="dxa"/>
            <w:tcBorders>
              <w:top w:val="nil"/>
              <w:left w:val="nil"/>
              <w:bottom w:val="single" w:sz="4" w:space="0" w:color="auto"/>
              <w:right w:val="single" w:sz="4" w:space="0" w:color="auto"/>
            </w:tcBorders>
            <w:shd w:val="clear" w:color="auto" w:fill="auto"/>
            <w:noWrap/>
            <w:vAlign w:val="bottom"/>
            <w:hideMark/>
          </w:tcPr>
          <w:p w14:paraId="6E01AC1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Rio Tolten 220-&gt;Metrenco 220</w:t>
            </w:r>
          </w:p>
        </w:tc>
        <w:tc>
          <w:tcPr>
            <w:tcW w:w="992" w:type="dxa"/>
            <w:tcBorders>
              <w:top w:val="nil"/>
              <w:left w:val="nil"/>
              <w:bottom w:val="single" w:sz="4" w:space="0" w:color="auto"/>
              <w:right w:val="single" w:sz="4" w:space="0" w:color="auto"/>
            </w:tcBorders>
            <w:shd w:val="clear" w:color="auto" w:fill="auto"/>
            <w:noWrap/>
          </w:tcPr>
          <w:p w14:paraId="5134859D" w14:textId="29CBC3B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851" w:type="dxa"/>
            <w:tcBorders>
              <w:top w:val="nil"/>
              <w:left w:val="nil"/>
              <w:bottom w:val="single" w:sz="4" w:space="0" w:color="auto"/>
              <w:right w:val="single" w:sz="4" w:space="0" w:color="auto"/>
            </w:tcBorders>
            <w:shd w:val="clear" w:color="auto" w:fill="auto"/>
            <w:noWrap/>
          </w:tcPr>
          <w:p w14:paraId="66F6B0F9" w14:textId="091F650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20F0319A" w14:textId="1472629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0,59</w:t>
            </w:r>
          </w:p>
        </w:tc>
        <w:tc>
          <w:tcPr>
            <w:tcW w:w="992" w:type="dxa"/>
            <w:tcBorders>
              <w:top w:val="nil"/>
              <w:left w:val="nil"/>
              <w:bottom w:val="single" w:sz="4" w:space="0" w:color="auto"/>
              <w:right w:val="single" w:sz="4" w:space="0" w:color="auto"/>
            </w:tcBorders>
            <w:shd w:val="clear" w:color="auto" w:fill="auto"/>
            <w:noWrap/>
          </w:tcPr>
          <w:p w14:paraId="39AB9F10" w14:textId="033D913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0,41</w:t>
            </w:r>
          </w:p>
        </w:tc>
      </w:tr>
      <w:tr w:rsidR="005E36B7" w:rsidRPr="005E36B7" w14:paraId="2941B3A4"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C28E2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N_125</w:t>
            </w:r>
          </w:p>
        </w:tc>
        <w:tc>
          <w:tcPr>
            <w:tcW w:w="5103" w:type="dxa"/>
            <w:tcBorders>
              <w:top w:val="nil"/>
              <w:left w:val="nil"/>
              <w:bottom w:val="single" w:sz="4" w:space="0" w:color="auto"/>
              <w:right w:val="single" w:sz="4" w:space="0" w:color="auto"/>
            </w:tcBorders>
            <w:shd w:val="clear" w:color="auto" w:fill="auto"/>
            <w:noWrap/>
            <w:vAlign w:val="bottom"/>
            <w:hideMark/>
          </w:tcPr>
          <w:p w14:paraId="3BD3FE8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 San Andres 220-&gt;Cardones 220</w:t>
            </w:r>
          </w:p>
        </w:tc>
        <w:tc>
          <w:tcPr>
            <w:tcW w:w="992" w:type="dxa"/>
            <w:tcBorders>
              <w:top w:val="nil"/>
              <w:left w:val="nil"/>
              <w:bottom w:val="single" w:sz="4" w:space="0" w:color="auto"/>
              <w:right w:val="single" w:sz="4" w:space="0" w:color="auto"/>
            </w:tcBorders>
            <w:shd w:val="clear" w:color="auto" w:fill="auto"/>
            <w:noWrap/>
          </w:tcPr>
          <w:p w14:paraId="4ED76544" w14:textId="6BF92B6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3854C9B4" w14:textId="5102ACE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27CADCBA" w14:textId="6EB07B1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0,34</w:t>
            </w:r>
          </w:p>
        </w:tc>
        <w:tc>
          <w:tcPr>
            <w:tcW w:w="992" w:type="dxa"/>
            <w:tcBorders>
              <w:top w:val="nil"/>
              <w:left w:val="nil"/>
              <w:bottom w:val="single" w:sz="4" w:space="0" w:color="auto"/>
              <w:right w:val="single" w:sz="4" w:space="0" w:color="auto"/>
            </w:tcBorders>
            <w:shd w:val="clear" w:color="auto" w:fill="auto"/>
            <w:noWrap/>
          </w:tcPr>
          <w:p w14:paraId="2C829959" w14:textId="036E819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0,66</w:t>
            </w:r>
          </w:p>
        </w:tc>
      </w:tr>
      <w:tr w:rsidR="005E36B7" w:rsidRPr="005E36B7" w14:paraId="14727E6B"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89558E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N_126</w:t>
            </w:r>
          </w:p>
        </w:tc>
        <w:tc>
          <w:tcPr>
            <w:tcW w:w="5103" w:type="dxa"/>
            <w:tcBorders>
              <w:top w:val="nil"/>
              <w:left w:val="nil"/>
              <w:bottom w:val="single" w:sz="4" w:space="0" w:color="auto"/>
              <w:right w:val="single" w:sz="4" w:space="0" w:color="auto"/>
            </w:tcBorders>
            <w:shd w:val="clear" w:color="auto" w:fill="auto"/>
            <w:noWrap/>
            <w:vAlign w:val="bottom"/>
            <w:hideMark/>
          </w:tcPr>
          <w:p w14:paraId="74810E0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Salar 220-&gt;Calama Nueva 220</w:t>
            </w:r>
          </w:p>
        </w:tc>
        <w:tc>
          <w:tcPr>
            <w:tcW w:w="992" w:type="dxa"/>
            <w:tcBorders>
              <w:top w:val="nil"/>
              <w:left w:val="nil"/>
              <w:bottom w:val="single" w:sz="4" w:space="0" w:color="auto"/>
              <w:right w:val="single" w:sz="4" w:space="0" w:color="auto"/>
            </w:tcBorders>
            <w:shd w:val="clear" w:color="auto" w:fill="auto"/>
            <w:noWrap/>
          </w:tcPr>
          <w:p w14:paraId="16032604" w14:textId="416E30B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0,17</w:t>
            </w:r>
          </w:p>
        </w:tc>
        <w:tc>
          <w:tcPr>
            <w:tcW w:w="851" w:type="dxa"/>
            <w:tcBorders>
              <w:top w:val="nil"/>
              <w:left w:val="nil"/>
              <w:bottom w:val="single" w:sz="4" w:space="0" w:color="auto"/>
              <w:right w:val="single" w:sz="4" w:space="0" w:color="auto"/>
            </w:tcBorders>
            <w:shd w:val="clear" w:color="auto" w:fill="auto"/>
            <w:noWrap/>
          </w:tcPr>
          <w:p w14:paraId="11D61F6D" w14:textId="3B505C9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0,83</w:t>
            </w:r>
          </w:p>
        </w:tc>
        <w:tc>
          <w:tcPr>
            <w:tcW w:w="992" w:type="dxa"/>
            <w:tcBorders>
              <w:top w:val="nil"/>
              <w:left w:val="nil"/>
              <w:bottom w:val="single" w:sz="4" w:space="0" w:color="auto"/>
              <w:right w:val="single" w:sz="4" w:space="0" w:color="auto"/>
            </w:tcBorders>
            <w:shd w:val="clear" w:color="auto" w:fill="auto"/>
            <w:noWrap/>
          </w:tcPr>
          <w:p w14:paraId="5E80665F" w14:textId="14FCBA7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c>
          <w:tcPr>
            <w:tcW w:w="992" w:type="dxa"/>
            <w:tcBorders>
              <w:top w:val="nil"/>
              <w:left w:val="nil"/>
              <w:bottom w:val="single" w:sz="4" w:space="0" w:color="auto"/>
              <w:right w:val="single" w:sz="4" w:space="0" w:color="auto"/>
            </w:tcBorders>
            <w:shd w:val="clear" w:color="auto" w:fill="auto"/>
            <w:noWrap/>
          </w:tcPr>
          <w:p w14:paraId="7EE4392D" w14:textId="3E8B18A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r>
      <w:tr w:rsidR="005E36B7" w:rsidRPr="005E36B7" w14:paraId="385D1CD3"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768872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N_127</w:t>
            </w:r>
          </w:p>
        </w:tc>
        <w:tc>
          <w:tcPr>
            <w:tcW w:w="5103" w:type="dxa"/>
            <w:tcBorders>
              <w:top w:val="nil"/>
              <w:left w:val="nil"/>
              <w:bottom w:val="single" w:sz="4" w:space="0" w:color="auto"/>
              <w:right w:val="single" w:sz="4" w:space="0" w:color="auto"/>
            </w:tcBorders>
            <w:shd w:val="clear" w:color="auto" w:fill="auto"/>
            <w:noWrap/>
            <w:vAlign w:val="bottom"/>
            <w:hideMark/>
          </w:tcPr>
          <w:p w14:paraId="501559B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Salar 220-&gt;Chuquicamata 220</w:t>
            </w:r>
          </w:p>
        </w:tc>
        <w:tc>
          <w:tcPr>
            <w:tcW w:w="992" w:type="dxa"/>
            <w:tcBorders>
              <w:top w:val="nil"/>
              <w:left w:val="nil"/>
              <w:bottom w:val="single" w:sz="4" w:space="0" w:color="auto"/>
              <w:right w:val="single" w:sz="4" w:space="0" w:color="auto"/>
            </w:tcBorders>
            <w:shd w:val="clear" w:color="auto" w:fill="auto"/>
            <w:noWrap/>
          </w:tcPr>
          <w:p w14:paraId="5E2012C1" w14:textId="793D0D2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c>
          <w:tcPr>
            <w:tcW w:w="851" w:type="dxa"/>
            <w:tcBorders>
              <w:top w:val="nil"/>
              <w:left w:val="nil"/>
              <w:bottom w:val="single" w:sz="4" w:space="0" w:color="auto"/>
              <w:right w:val="single" w:sz="4" w:space="0" w:color="auto"/>
            </w:tcBorders>
            <w:shd w:val="clear" w:color="auto" w:fill="auto"/>
            <w:noWrap/>
          </w:tcPr>
          <w:p w14:paraId="0F7C5C52" w14:textId="362DF57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30EE5FFA" w14:textId="1C2DE877"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0,71</w:t>
            </w:r>
          </w:p>
        </w:tc>
        <w:tc>
          <w:tcPr>
            <w:tcW w:w="992" w:type="dxa"/>
            <w:tcBorders>
              <w:top w:val="nil"/>
              <w:left w:val="nil"/>
              <w:bottom w:val="single" w:sz="4" w:space="0" w:color="auto"/>
              <w:right w:val="single" w:sz="4" w:space="0" w:color="auto"/>
            </w:tcBorders>
            <w:shd w:val="clear" w:color="auto" w:fill="auto"/>
            <w:noWrap/>
          </w:tcPr>
          <w:p w14:paraId="43E4B769" w14:textId="283BCCB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0,29</w:t>
            </w:r>
          </w:p>
        </w:tc>
      </w:tr>
      <w:tr w:rsidR="005E36B7" w:rsidRPr="005E36B7" w14:paraId="545EFA18"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2790C8"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N_128</w:t>
            </w:r>
          </w:p>
        </w:tc>
        <w:tc>
          <w:tcPr>
            <w:tcW w:w="5103" w:type="dxa"/>
            <w:tcBorders>
              <w:top w:val="nil"/>
              <w:left w:val="nil"/>
              <w:bottom w:val="single" w:sz="4" w:space="0" w:color="auto"/>
              <w:right w:val="single" w:sz="4" w:space="0" w:color="auto"/>
            </w:tcBorders>
            <w:shd w:val="clear" w:color="auto" w:fill="auto"/>
            <w:noWrap/>
            <w:vAlign w:val="bottom"/>
            <w:hideMark/>
          </w:tcPr>
          <w:p w14:paraId="73EA497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Salar 220-&gt;Nueva Chuquicamata 220</w:t>
            </w:r>
          </w:p>
        </w:tc>
        <w:tc>
          <w:tcPr>
            <w:tcW w:w="992" w:type="dxa"/>
            <w:tcBorders>
              <w:top w:val="nil"/>
              <w:left w:val="nil"/>
              <w:bottom w:val="single" w:sz="4" w:space="0" w:color="auto"/>
              <w:right w:val="single" w:sz="4" w:space="0" w:color="auto"/>
            </w:tcBorders>
            <w:shd w:val="clear" w:color="auto" w:fill="auto"/>
            <w:noWrap/>
          </w:tcPr>
          <w:p w14:paraId="7E10F08E" w14:textId="192A284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0,58</w:t>
            </w:r>
          </w:p>
        </w:tc>
        <w:tc>
          <w:tcPr>
            <w:tcW w:w="851" w:type="dxa"/>
            <w:tcBorders>
              <w:top w:val="nil"/>
              <w:left w:val="nil"/>
              <w:bottom w:val="single" w:sz="4" w:space="0" w:color="auto"/>
              <w:right w:val="single" w:sz="4" w:space="0" w:color="auto"/>
            </w:tcBorders>
            <w:shd w:val="clear" w:color="auto" w:fill="auto"/>
            <w:noWrap/>
          </w:tcPr>
          <w:p w14:paraId="6AE97CE2" w14:textId="01581FC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0,42</w:t>
            </w:r>
          </w:p>
        </w:tc>
        <w:tc>
          <w:tcPr>
            <w:tcW w:w="992" w:type="dxa"/>
            <w:tcBorders>
              <w:top w:val="nil"/>
              <w:left w:val="nil"/>
              <w:bottom w:val="single" w:sz="4" w:space="0" w:color="auto"/>
              <w:right w:val="single" w:sz="4" w:space="0" w:color="auto"/>
            </w:tcBorders>
            <w:shd w:val="clear" w:color="auto" w:fill="auto"/>
            <w:noWrap/>
          </w:tcPr>
          <w:p w14:paraId="1A68C957" w14:textId="2CC81C6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4100BCFD" w14:textId="13F5EEE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0,25</w:t>
            </w:r>
          </w:p>
        </w:tc>
      </w:tr>
      <w:tr w:rsidR="005E36B7" w:rsidRPr="005E36B7" w14:paraId="0258F9A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AAD4FCC"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N_129</w:t>
            </w:r>
          </w:p>
        </w:tc>
        <w:tc>
          <w:tcPr>
            <w:tcW w:w="5103" w:type="dxa"/>
            <w:tcBorders>
              <w:top w:val="nil"/>
              <w:left w:val="nil"/>
              <w:bottom w:val="single" w:sz="4" w:space="0" w:color="auto"/>
              <w:right w:val="single" w:sz="4" w:space="0" w:color="auto"/>
            </w:tcBorders>
            <w:shd w:val="clear" w:color="auto" w:fill="auto"/>
            <w:noWrap/>
            <w:vAlign w:val="bottom"/>
            <w:hideMark/>
          </w:tcPr>
          <w:p w14:paraId="45DB203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San Luis 220-&gt;Agua Santa 220</w:t>
            </w:r>
          </w:p>
        </w:tc>
        <w:tc>
          <w:tcPr>
            <w:tcW w:w="992" w:type="dxa"/>
            <w:tcBorders>
              <w:top w:val="nil"/>
              <w:left w:val="nil"/>
              <w:bottom w:val="single" w:sz="4" w:space="0" w:color="auto"/>
              <w:right w:val="single" w:sz="4" w:space="0" w:color="auto"/>
            </w:tcBorders>
            <w:shd w:val="clear" w:color="auto" w:fill="auto"/>
            <w:noWrap/>
          </w:tcPr>
          <w:p w14:paraId="026FFFC1" w14:textId="5CDB4A0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0,52</w:t>
            </w:r>
          </w:p>
        </w:tc>
        <w:tc>
          <w:tcPr>
            <w:tcW w:w="851" w:type="dxa"/>
            <w:tcBorders>
              <w:top w:val="nil"/>
              <w:left w:val="nil"/>
              <w:bottom w:val="single" w:sz="4" w:space="0" w:color="auto"/>
              <w:right w:val="single" w:sz="4" w:space="0" w:color="auto"/>
            </w:tcBorders>
            <w:shd w:val="clear" w:color="auto" w:fill="auto"/>
            <w:noWrap/>
          </w:tcPr>
          <w:p w14:paraId="1DB348CF" w14:textId="63B3EDE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0,48</w:t>
            </w:r>
          </w:p>
        </w:tc>
        <w:tc>
          <w:tcPr>
            <w:tcW w:w="992" w:type="dxa"/>
            <w:tcBorders>
              <w:top w:val="nil"/>
              <w:left w:val="nil"/>
              <w:bottom w:val="single" w:sz="4" w:space="0" w:color="auto"/>
              <w:right w:val="single" w:sz="4" w:space="0" w:color="auto"/>
            </w:tcBorders>
            <w:shd w:val="clear" w:color="auto" w:fill="auto"/>
            <w:noWrap/>
          </w:tcPr>
          <w:p w14:paraId="01FD01CD" w14:textId="08B9D88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0,69</w:t>
            </w:r>
          </w:p>
        </w:tc>
        <w:tc>
          <w:tcPr>
            <w:tcW w:w="992" w:type="dxa"/>
            <w:tcBorders>
              <w:top w:val="nil"/>
              <w:left w:val="nil"/>
              <w:bottom w:val="single" w:sz="4" w:space="0" w:color="auto"/>
              <w:right w:val="single" w:sz="4" w:space="0" w:color="auto"/>
            </w:tcBorders>
            <w:shd w:val="clear" w:color="auto" w:fill="auto"/>
            <w:noWrap/>
          </w:tcPr>
          <w:p w14:paraId="623ABC5C" w14:textId="5CB3D229"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0,31</w:t>
            </w:r>
          </w:p>
        </w:tc>
      </w:tr>
      <w:tr w:rsidR="005E36B7" w:rsidRPr="005E36B7" w14:paraId="27D91511"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A6F540A"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N_130</w:t>
            </w:r>
          </w:p>
        </w:tc>
        <w:tc>
          <w:tcPr>
            <w:tcW w:w="5103" w:type="dxa"/>
            <w:tcBorders>
              <w:top w:val="nil"/>
              <w:left w:val="nil"/>
              <w:bottom w:val="single" w:sz="4" w:space="0" w:color="auto"/>
              <w:right w:val="single" w:sz="4" w:space="0" w:color="auto"/>
            </w:tcBorders>
            <w:shd w:val="clear" w:color="auto" w:fill="auto"/>
            <w:noWrap/>
            <w:vAlign w:val="bottom"/>
            <w:hideMark/>
          </w:tcPr>
          <w:p w14:paraId="0BF7D69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San Simon 220-&gt;Nueva Victoria 220</w:t>
            </w:r>
          </w:p>
        </w:tc>
        <w:tc>
          <w:tcPr>
            <w:tcW w:w="992" w:type="dxa"/>
            <w:tcBorders>
              <w:top w:val="nil"/>
              <w:left w:val="nil"/>
              <w:bottom w:val="single" w:sz="4" w:space="0" w:color="auto"/>
              <w:right w:val="single" w:sz="4" w:space="0" w:color="auto"/>
            </w:tcBorders>
            <w:shd w:val="clear" w:color="auto" w:fill="auto"/>
            <w:noWrap/>
          </w:tcPr>
          <w:p w14:paraId="3DEFDF88" w14:textId="79924E0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0,24</w:t>
            </w:r>
          </w:p>
        </w:tc>
        <w:tc>
          <w:tcPr>
            <w:tcW w:w="851" w:type="dxa"/>
            <w:tcBorders>
              <w:top w:val="nil"/>
              <w:left w:val="nil"/>
              <w:bottom w:val="single" w:sz="4" w:space="0" w:color="auto"/>
              <w:right w:val="single" w:sz="4" w:space="0" w:color="auto"/>
            </w:tcBorders>
            <w:shd w:val="clear" w:color="auto" w:fill="auto"/>
            <w:noWrap/>
          </w:tcPr>
          <w:p w14:paraId="365F303C" w14:textId="7CC93CC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7CCA40BD" w14:textId="4F2DD2C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0,36</w:t>
            </w:r>
          </w:p>
        </w:tc>
        <w:tc>
          <w:tcPr>
            <w:tcW w:w="992" w:type="dxa"/>
            <w:tcBorders>
              <w:top w:val="nil"/>
              <w:left w:val="nil"/>
              <w:bottom w:val="single" w:sz="4" w:space="0" w:color="auto"/>
              <w:right w:val="single" w:sz="4" w:space="0" w:color="auto"/>
            </w:tcBorders>
            <w:shd w:val="clear" w:color="auto" w:fill="auto"/>
            <w:noWrap/>
          </w:tcPr>
          <w:p w14:paraId="762295C8" w14:textId="2BFCA59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0,64</w:t>
            </w:r>
          </w:p>
        </w:tc>
      </w:tr>
      <w:tr w:rsidR="005E36B7" w:rsidRPr="005E36B7" w14:paraId="70766F9F"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E09E6F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N_131</w:t>
            </w:r>
          </w:p>
        </w:tc>
        <w:tc>
          <w:tcPr>
            <w:tcW w:w="5103" w:type="dxa"/>
            <w:tcBorders>
              <w:top w:val="nil"/>
              <w:left w:val="nil"/>
              <w:bottom w:val="single" w:sz="4" w:space="0" w:color="auto"/>
              <w:right w:val="single" w:sz="4" w:space="0" w:color="auto"/>
            </w:tcBorders>
            <w:shd w:val="clear" w:color="auto" w:fill="auto"/>
            <w:noWrap/>
            <w:vAlign w:val="bottom"/>
            <w:hideMark/>
          </w:tcPr>
          <w:p w14:paraId="6CEDAD7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San Simon 220-&gt;Quillagua 220</w:t>
            </w:r>
          </w:p>
        </w:tc>
        <w:tc>
          <w:tcPr>
            <w:tcW w:w="992" w:type="dxa"/>
            <w:tcBorders>
              <w:top w:val="nil"/>
              <w:left w:val="nil"/>
              <w:bottom w:val="single" w:sz="4" w:space="0" w:color="auto"/>
              <w:right w:val="single" w:sz="4" w:space="0" w:color="auto"/>
            </w:tcBorders>
            <w:shd w:val="clear" w:color="auto" w:fill="auto"/>
            <w:noWrap/>
          </w:tcPr>
          <w:p w14:paraId="7524F9CF" w14:textId="166A592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269067F9" w14:textId="08EAA38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0CF172FB" w14:textId="2C8F552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0,33</w:t>
            </w:r>
          </w:p>
        </w:tc>
        <w:tc>
          <w:tcPr>
            <w:tcW w:w="992" w:type="dxa"/>
            <w:tcBorders>
              <w:top w:val="nil"/>
              <w:left w:val="nil"/>
              <w:bottom w:val="single" w:sz="4" w:space="0" w:color="auto"/>
              <w:right w:val="single" w:sz="4" w:space="0" w:color="auto"/>
            </w:tcBorders>
            <w:shd w:val="clear" w:color="auto" w:fill="auto"/>
            <w:noWrap/>
          </w:tcPr>
          <w:p w14:paraId="25D4D184" w14:textId="11C238A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0,67</w:t>
            </w:r>
          </w:p>
        </w:tc>
      </w:tr>
      <w:tr w:rsidR="005E36B7" w:rsidRPr="005E36B7" w14:paraId="31DFD46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AA5093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N_132</w:t>
            </w:r>
          </w:p>
        </w:tc>
        <w:tc>
          <w:tcPr>
            <w:tcW w:w="5103" w:type="dxa"/>
            <w:tcBorders>
              <w:top w:val="nil"/>
              <w:left w:val="nil"/>
              <w:bottom w:val="single" w:sz="4" w:space="0" w:color="auto"/>
              <w:right w:val="single" w:sz="4" w:space="0" w:color="auto"/>
            </w:tcBorders>
            <w:shd w:val="clear" w:color="auto" w:fill="auto"/>
            <w:noWrap/>
            <w:vAlign w:val="bottom"/>
            <w:hideMark/>
          </w:tcPr>
          <w:p w14:paraId="785F76E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El Manzano 220-&gt;Tap Chicureo 220</w:t>
            </w:r>
          </w:p>
        </w:tc>
        <w:tc>
          <w:tcPr>
            <w:tcW w:w="992" w:type="dxa"/>
            <w:tcBorders>
              <w:top w:val="nil"/>
              <w:left w:val="nil"/>
              <w:bottom w:val="single" w:sz="4" w:space="0" w:color="auto"/>
              <w:right w:val="single" w:sz="4" w:space="0" w:color="auto"/>
            </w:tcBorders>
            <w:shd w:val="clear" w:color="auto" w:fill="auto"/>
            <w:noWrap/>
          </w:tcPr>
          <w:p w14:paraId="016108F6" w14:textId="6303E15D"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0,23</w:t>
            </w:r>
          </w:p>
        </w:tc>
        <w:tc>
          <w:tcPr>
            <w:tcW w:w="851" w:type="dxa"/>
            <w:tcBorders>
              <w:top w:val="nil"/>
              <w:left w:val="nil"/>
              <w:bottom w:val="single" w:sz="4" w:space="0" w:color="auto"/>
              <w:right w:val="single" w:sz="4" w:space="0" w:color="auto"/>
            </w:tcBorders>
            <w:shd w:val="clear" w:color="auto" w:fill="auto"/>
            <w:noWrap/>
          </w:tcPr>
          <w:p w14:paraId="02A169DD" w14:textId="26E99B4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0,77</w:t>
            </w:r>
          </w:p>
        </w:tc>
        <w:tc>
          <w:tcPr>
            <w:tcW w:w="992" w:type="dxa"/>
            <w:tcBorders>
              <w:top w:val="nil"/>
              <w:left w:val="nil"/>
              <w:bottom w:val="single" w:sz="4" w:space="0" w:color="auto"/>
              <w:right w:val="single" w:sz="4" w:space="0" w:color="auto"/>
            </w:tcBorders>
            <w:shd w:val="clear" w:color="auto" w:fill="auto"/>
            <w:noWrap/>
          </w:tcPr>
          <w:p w14:paraId="0566E203" w14:textId="6AF7D61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0,35</w:t>
            </w:r>
          </w:p>
        </w:tc>
        <w:tc>
          <w:tcPr>
            <w:tcW w:w="992" w:type="dxa"/>
            <w:tcBorders>
              <w:top w:val="nil"/>
              <w:left w:val="nil"/>
              <w:bottom w:val="single" w:sz="4" w:space="0" w:color="auto"/>
              <w:right w:val="single" w:sz="4" w:space="0" w:color="auto"/>
            </w:tcBorders>
            <w:shd w:val="clear" w:color="auto" w:fill="auto"/>
            <w:noWrap/>
          </w:tcPr>
          <w:p w14:paraId="56F937D5" w14:textId="40DD8A5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0,65</w:t>
            </w:r>
          </w:p>
        </w:tc>
      </w:tr>
      <w:tr w:rsidR="005E36B7" w:rsidRPr="005E36B7" w14:paraId="009C2260"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E4FF22"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N_133</w:t>
            </w:r>
          </w:p>
        </w:tc>
        <w:tc>
          <w:tcPr>
            <w:tcW w:w="5103" w:type="dxa"/>
            <w:tcBorders>
              <w:top w:val="nil"/>
              <w:left w:val="nil"/>
              <w:bottom w:val="single" w:sz="4" w:space="0" w:color="auto"/>
              <w:right w:val="single" w:sz="4" w:space="0" w:color="auto"/>
            </w:tcBorders>
            <w:shd w:val="clear" w:color="auto" w:fill="auto"/>
            <w:noWrap/>
            <w:vAlign w:val="bottom"/>
            <w:hideMark/>
          </w:tcPr>
          <w:p w14:paraId="561CBBA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El Romero 220-&gt;Don Hector 220</w:t>
            </w:r>
          </w:p>
        </w:tc>
        <w:tc>
          <w:tcPr>
            <w:tcW w:w="992" w:type="dxa"/>
            <w:tcBorders>
              <w:top w:val="nil"/>
              <w:left w:val="nil"/>
              <w:bottom w:val="single" w:sz="4" w:space="0" w:color="auto"/>
              <w:right w:val="single" w:sz="4" w:space="0" w:color="auto"/>
            </w:tcBorders>
            <w:shd w:val="clear" w:color="auto" w:fill="auto"/>
            <w:noWrap/>
          </w:tcPr>
          <w:p w14:paraId="2756E821" w14:textId="0E1054C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0,04</w:t>
            </w:r>
          </w:p>
        </w:tc>
        <w:tc>
          <w:tcPr>
            <w:tcW w:w="851" w:type="dxa"/>
            <w:tcBorders>
              <w:top w:val="nil"/>
              <w:left w:val="nil"/>
              <w:bottom w:val="single" w:sz="4" w:space="0" w:color="auto"/>
              <w:right w:val="single" w:sz="4" w:space="0" w:color="auto"/>
            </w:tcBorders>
            <w:shd w:val="clear" w:color="auto" w:fill="auto"/>
            <w:noWrap/>
          </w:tcPr>
          <w:p w14:paraId="4C140F42" w14:textId="2390A90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0,96</w:t>
            </w:r>
          </w:p>
        </w:tc>
        <w:tc>
          <w:tcPr>
            <w:tcW w:w="992" w:type="dxa"/>
            <w:tcBorders>
              <w:top w:val="nil"/>
              <w:left w:val="nil"/>
              <w:bottom w:val="single" w:sz="4" w:space="0" w:color="auto"/>
              <w:right w:val="single" w:sz="4" w:space="0" w:color="auto"/>
            </w:tcBorders>
            <w:shd w:val="clear" w:color="auto" w:fill="auto"/>
            <w:noWrap/>
          </w:tcPr>
          <w:p w14:paraId="389A2594" w14:textId="7FB1A33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0,09</w:t>
            </w:r>
          </w:p>
        </w:tc>
        <w:tc>
          <w:tcPr>
            <w:tcW w:w="992" w:type="dxa"/>
            <w:tcBorders>
              <w:top w:val="nil"/>
              <w:left w:val="nil"/>
              <w:bottom w:val="single" w:sz="4" w:space="0" w:color="auto"/>
              <w:right w:val="single" w:sz="4" w:space="0" w:color="auto"/>
            </w:tcBorders>
            <w:shd w:val="clear" w:color="auto" w:fill="auto"/>
            <w:noWrap/>
          </w:tcPr>
          <w:p w14:paraId="0CA06700" w14:textId="5CCEA8B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0,91</w:t>
            </w:r>
          </w:p>
        </w:tc>
      </w:tr>
      <w:tr w:rsidR="005E36B7" w:rsidRPr="005E36B7" w14:paraId="681F335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0DF7945"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N_134</w:t>
            </w:r>
          </w:p>
        </w:tc>
        <w:tc>
          <w:tcPr>
            <w:tcW w:w="5103" w:type="dxa"/>
            <w:tcBorders>
              <w:top w:val="nil"/>
              <w:left w:val="nil"/>
              <w:bottom w:val="single" w:sz="4" w:space="0" w:color="auto"/>
              <w:right w:val="single" w:sz="4" w:space="0" w:color="auto"/>
            </w:tcBorders>
            <w:shd w:val="clear" w:color="auto" w:fill="auto"/>
            <w:noWrap/>
            <w:vAlign w:val="bottom"/>
            <w:hideMark/>
          </w:tcPr>
          <w:p w14:paraId="183C0EFB"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n-US" w:eastAsia="es-CL"/>
              </w:rPr>
            </w:pPr>
            <w:r w:rsidRPr="005E36B7">
              <w:rPr>
                <w:rFonts w:asciiTheme="minorHAnsi" w:eastAsia="Times New Roman" w:hAnsiTheme="minorHAnsi" w:cstheme="minorHAnsi"/>
                <w:color w:val="000000"/>
                <w:sz w:val="20"/>
                <w:szCs w:val="20"/>
                <w:lang w:val="en-US" w:eastAsia="es-CL"/>
              </w:rPr>
              <w:t>Tap Off Santa Isabel 220-&gt;Itahue 220</w:t>
            </w:r>
          </w:p>
        </w:tc>
        <w:tc>
          <w:tcPr>
            <w:tcW w:w="992" w:type="dxa"/>
            <w:tcBorders>
              <w:top w:val="nil"/>
              <w:left w:val="nil"/>
              <w:bottom w:val="single" w:sz="4" w:space="0" w:color="auto"/>
              <w:right w:val="single" w:sz="4" w:space="0" w:color="auto"/>
            </w:tcBorders>
            <w:shd w:val="clear" w:color="auto" w:fill="auto"/>
            <w:noWrap/>
          </w:tcPr>
          <w:p w14:paraId="53177A06" w14:textId="7F2ADED3"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0,24</w:t>
            </w:r>
          </w:p>
        </w:tc>
        <w:tc>
          <w:tcPr>
            <w:tcW w:w="851" w:type="dxa"/>
            <w:tcBorders>
              <w:top w:val="nil"/>
              <w:left w:val="nil"/>
              <w:bottom w:val="single" w:sz="4" w:space="0" w:color="auto"/>
              <w:right w:val="single" w:sz="4" w:space="0" w:color="auto"/>
            </w:tcBorders>
            <w:shd w:val="clear" w:color="auto" w:fill="auto"/>
            <w:noWrap/>
          </w:tcPr>
          <w:p w14:paraId="46B12AA2" w14:textId="2AB331E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15BD60F8" w14:textId="378E181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0,36</w:t>
            </w:r>
          </w:p>
        </w:tc>
        <w:tc>
          <w:tcPr>
            <w:tcW w:w="992" w:type="dxa"/>
            <w:tcBorders>
              <w:top w:val="nil"/>
              <w:left w:val="nil"/>
              <w:bottom w:val="single" w:sz="4" w:space="0" w:color="auto"/>
              <w:right w:val="single" w:sz="4" w:space="0" w:color="auto"/>
            </w:tcBorders>
            <w:shd w:val="clear" w:color="auto" w:fill="auto"/>
            <w:noWrap/>
          </w:tcPr>
          <w:p w14:paraId="1D3DD4F3" w14:textId="613F653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0,64</w:t>
            </w:r>
          </w:p>
        </w:tc>
      </w:tr>
      <w:tr w:rsidR="005E36B7" w:rsidRPr="005E36B7" w14:paraId="30CF1E0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0023C66"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N_135</w:t>
            </w:r>
          </w:p>
        </w:tc>
        <w:tc>
          <w:tcPr>
            <w:tcW w:w="5103" w:type="dxa"/>
            <w:tcBorders>
              <w:top w:val="nil"/>
              <w:left w:val="nil"/>
              <w:bottom w:val="single" w:sz="4" w:space="0" w:color="auto"/>
              <w:right w:val="single" w:sz="4" w:space="0" w:color="auto"/>
            </w:tcBorders>
            <w:shd w:val="clear" w:color="auto" w:fill="auto"/>
            <w:noWrap/>
            <w:vAlign w:val="bottom"/>
            <w:hideMark/>
          </w:tcPr>
          <w:p w14:paraId="40D3BEB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Tap off Sierra Gorda Eolico 220-&gt;Centinela 220</w:t>
            </w:r>
          </w:p>
        </w:tc>
        <w:tc>
          <w:tcPr>
            <w:tcW w:w="992" w:type="dxa"/>
            <w:tcBorders>
              <w:top w:val="nil"/>
              <w:left w:val="nil"/>
              <w:bottom w:val="single" w:sz="4" w:space="0" w:color="auto"/>
              <w:right w:val="single" w:sz="4" w:space="0" w:color="auto"/>
            </w:tcBorders>
            <w:shd w:val="clear" w:color="auto" w:fill="auto"/>
            <w:noWrap/>
          </w:tcPr>
          <w:p w14:paraId="16484C06" w14:textId="581B3C5C"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6E9937FA" w14:textId="27E76A8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07055BB3" w14:textId="73EF172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39B8876" w14:textId="3658505E"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0,00</w:t>
            </w:r>
          </w:p>
        </w:tc>
      </w:tr>
      <w:tr w:rsidR="005E36B7" w:rsidRPr="005E36B7" w14:paraId="72BD71B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4C03330"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N_136</w:t>
            </w:r>
          </w:p>
        </w:tc>
        <w:tc>
          <w:tcPr>
            <w:tcW w:w="5103" w:type="dxa"/>
            <w:tcBorders>
              <w:top w:val="nil"/>
              <w:left w:val="nil"/>
              <w:bottom w:val="single" w:sz="4" w:space="0" w:color="auto"/>
              <w:right w:val="single" w:sz="4" w:space="0" w:color="auto"/>
            </w:tcBorders>
            <w:shd w:val="clear" w:color="auto" w:fill="auto"/>
            <w:noWrap/>
            <w:vAlign w:val="bottom"/>
            <w:hideMark/>
          </w:tcPr>
          <w:p w14:paraId="2C786BD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Tarapaca 220-&gt;Condores 220</w:t>
            </w:r>
          </w:p>
        </w:tc>
        <w:tc>
          <w:tcPr>
            <w:tcW w:w="992" w:type="dxa"/>
            <w:tcBorders>
              <w:top w:val="nil"/>
              <w:left w:val="nil"/>
              <w:bottom w:val="single" w:sz="4" w:space="0" w:color="auto"/>
              <w:right w:val="single" w:sz="4" w:space="0" w:color="auto"/>
            </w:tcBorders>
            <w:shd w:val="clear" w:color="auto" w:fill="auto"/>
            <w:noWrap/>
          </w:tcPr>
          <w:p w14:paraId="22CDE1D0" w14:textId="7510034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0,27</w:t>
            </w:r>
          </w:p>
        </w:tc>
        <w:tc>
          <w:tcPr>
            <w:tcW w:w="851" w:type="dxa"/>
            <w:tcBorders>
              <w:top w:val="nil"/>
              <w:left w:val="nil"/>
              <w:bottom w:val="single" w:sz="4" w:space="0" w:color="auto"/>
              <w:right w:val="single" w:sz="4" w:space="0" w:color="auto"/>
            </w:tcBorders>
            <w:shd w:val="clear" w:color="auto" w:fill="auto"/>
            <w:noWrap/>
          </w:tcPr>
          <w:p w14:paraId="4F5C9FB6" w14:textId="025AD8E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0,73</w:t>
            </w:r>
          </w:p>
        </w:tc>
        <w:tc>
          <w:tcPr>
            <w:tcW w:w="992" w:type="dxa"/>
            <w:tcBorders>
              <w:top w:val="nil"/>
              <w:left w:val="nil"/>
              <w:bottom w:val="single" w:sz="4" w:space="0" w:color="auto"/>
              <w:right w:val="single" w:sz="4" w:space="0" w:color="auto"/>
            </w:tcBorders>
            <w:shd w:val="clear" w:color="auto" w:fill="auto"/>
            <w:noWrap/>
          </w:tcPr>
          <w:p w14:paraId="2F67D6F8" w14:textId="723F86D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0,39</w:t>
            </w:r>
          </w:p>
        </w:tc>
        <w:tc>
          <w:tcPr>
            <w:tcW w:w="992" w:type="dxa"/>
            <w:tcBorders>
              <w:top w:val="nil"/>
              <w:left w:val="nil"/>
              <w:bottom w:val="single" w:sz="4" w:space="0" w:color="auto"/>
              <w:right w:val="single" w:sz="4" w:space="0" w:color="auto"/>
            </w:tcBorders>
            <w:shd w:val="clear" w:color="auto" w:fill="auto"/>
            <w:noWrap/>
          </w:tcPr>
          <w:p w14:paraId="3DAEB75E" w14:textId="0A256C3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0,61</w:t>
            </w:r>
          </w:p>
        </w:tc>
      </w:tr>
      <w:tr w:rsidR="005E36B7" w:rsidRPr="005E36B7" w14:paraId="1E80D23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C0F1F1"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N_137</w:t>
            </w:r>
          </w:p>
        </w:tc>
        <w:tc>
          <w:tcPr>
            <w:tcW w:w="5103" w:type="dxa"/>
            <w:tcBorders>
              <w:top w:val="nil"/>
              <w:left w:val="nil"/>
              <w:bottom w:val="single" w:sz="4" w:space="0" w:color="auto"/>
              <w:right w:val="single" w:sz="4" w:space="0" w:color="auto"/>
            </w:tcBorders>
            <w:shd w:val="clear" w:color="auto" w:fill="auto"/>
            <w:noWrap/>
            <w:vAlign w:val="bottom"/>
            <w:hideMark/>
          </w:tcPr>
          <w:p w14:paraId="4D0E90A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Tarapaca 220-&gt;Lagunas 220</w:t>
            </w:r>
          </w:p>
        </w:tc>
        <w:tc>
          <w:tcPr>
            <w:tcW w:w="992" w:type="dxa"/>
            <w:tcBorders>
              <w:top w:val="nil"/>
              <w:left w:val="nil"/>
              <w:bottom w:val="single" w:sz="4" w:space="0" w:color="auto"/>
              <w:right w:val="single" w:sz="4" w:space="0" w:color="auto"/>
            </w:tcBorders>
            <w:shd w:val="clear" w:color="auto" w:fill="auto"/>
            <w:noWrap/>
          </w:tcPr>
          <w:p w14:paraId="42D12CCA" w14:textId="58B50658"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0,24</w:t>
            </w:r>
          </w:p>
        </w:tc>
        <w:tc>
          <w:tcPr>
            <w:tcW w:w="851" w:type="dxa"/>
            <w:tcBorders>
              <w:top w:val="nil"/>
              <w:left w:val="nil"/>
              <w:bottom w:val="single" w:sz="4" w:space="0" w:color="auto"/>
              <w:right w:val="single" w:sz="4" w:space="0" w:color="auto"/>
            </w:tcBorders>
            <w:shd w:val="clear" w:color="auto" w:fill="auto"/>
            <w:noWrap/>
          </w:tcPr>
          <w:p w14:paraId="6DB02975" w14:textId="33C136A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1A3352CF" w14:textId="165BB3D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0,31</w:t>
            </w:r>
          </w:p>
        </w:tc>
        <w:tc>
          <w:tcPr>
            <w:tcW w:w="992" w:type="dxa"/>
            <w:tcBorders>
              <w:top w:val="nil"/>
              <w:left w:val="nil"/>
              <w:bottom w:val="single" w:sz="4" w:space="0" w:color="auto"/>
              <w:right w:val="single" w:sz="4" w:space="0" w:color="auto"/>
            </w:tcBorders>
            <w:shd w:val="clear" w:color="auto" w:fill="auto"/>
            <w:noWrap/>
          </w:tcPr>
          <w:p w14:paraId="3DFC98DB" w14:textId="570DFD0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0,69</w:t>
            </w:r>
          </w:p>
        </w:tc>
      </w:tr>
      <w:tr w:rsidR="005E36B7" w:rsidRPr="005E36B7" w14:paraId="07F5EFAA"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F0E4F5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N_138</w:t>
            </w:r>
          </w:p>
        </w:tc>
        <w:tc>
          <w:tcPr>
            <w:tcW w:w="5103" w:type="dxa"/>
            <w:tcBorders>
              <w:top w:val="nil"/>
              <w:left w:val="nil"/>
              <w:bottom w:val="single" w:sz="4" w:space="0" w:color="auto"/>
              <w:right w:val="single" w:sz="4" w:space="0" w:color="auto"/>
            </w:tcBorders>
            <w:shd w:val="clear" w:color="auto" w:fill="auto"/>
            <w:noWrap/>
            <w:vAlign w:val="bottom"/>
            <w:hideMark/>
          </w:tcPr>
          <w:p w14:paraId="7306ACFF"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Temuco 220-&gt;Cautin 220</w:t>
            </w:r>
          </w:p>
        </w:tc>
        <w:tc>
          <w:tcPr>
            <w:tcW w:w="992" w:type="dxa"/>
            <w:tcBorders>
              <w:top w:val="nil"/>
              <w:left w:val="nil"/>
              <w:bottom w:val="single" w:sz="4" w:space="0" w:color="auto"/>
              <w:right w:val="single" w:sz="4" w:space="0" w:color="auto"/>
            </w:tcBorders>
            <w:shd w:val="clear" w:color="auto" w:fill="auto"/>
            <w:noWrap/>
          </w:tcPr>
          <w:p w14:paraId="62279E28" w14:textId="4EB1579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0,29</w:t>
            </w:r>
          </w:p>
        </w:tc>
        <w:tc>
          <w:tcPr>
            <w:tcW w:w="851" w:type="dxa"/>
            <w:tcBorders>
              <w:top w:val="nil"/>
              <w:left w:val="nil"/>
              <w:bottom w:val="single" w:sz="4" w:space="0" w:color="auto"/>
              <w:right w:val="single" w:sz="4" w:space="0" w:color="auto"/>
            </w:tcBorders>
            <w:shd w:val="clear" w:color="auto" w:fill="auto"/>
            <w:noWrap/>
          </w:tcPr>
          <w:p w14:paraId="24EB578C" w14:textId="047A892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0,71</w:t>
            </w:r>
          </w:p>
        </w:tc>
        <w:tc>
          <w:tcPr>
            <w:tcW w:w="992" w:type="dxa"/>
            <w:tcBorders>
              <w:top w:val="nil"/>
              <w:left w:val="nil"/>
              <w:bottom w:val="single" w:sz="4" w:space="0" w:color="auto"/>
              <w:right w:val="single" w:sz="4" w:space="0" w:color="auto"/>
            </w:tcBorders>
            <w:shd w:val="clear" w:color="auto" w:fill="auto"/>
            <w:noWrap/>
          </w:tcPr>
          <w:p w14:paraId="738A68BA" w14:textId="6BECB80B"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1FE0A3BB" w14:textId="735D692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0,53</w:t>
            </w:r>
          </w:p>
        </w:tc>
      </w:tr>
      <w:tr w:rsidR="005E36B7" w:rsidRPr="005E36B7" w14:paraId="75CF5AAE"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0F7FF1D"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N_139</w:t>
            </w:r>
          </w:p>
        </w:tc>
        <w:tc>
          <w:tcPr>
            <w:tcW w:w="5103" w:type="dxa"/>
            <w:tcBorders>
              <w:top w:val="nil"/>
              <w:left w:val="nil"/>
              <w:bottom w:val="single" w:sz="4" w:space="0" w:color="auto"/>
              <w:right w:val="single" w:sz="4" w:space="0" w:color="auto"/>
            </w:tcBorders>
            <w:shd w:val="clear" w:color="auto" w:fill="auto"/>
            <w:noWrap/>
            <w:vAlign w:val="bottom"/>
            <w:hideMark/>
          </w:tcPr>
          <w:p w14:paraId="4502B169"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Temuco 220-&gt;Los Peumos 220</w:t>
            </w:r>
          </w:p>
        </w:tc>
        <w:tc>
          <w:tcPr>
            <w:tcW w:w="992" w:type="dxa"/>
            <w:tcBorders>
              <w:top w:val="nil"/>
              <w:left w:val="nil"/>
              <w:bottom w:val="single" w:sz="4" w:space="0" w:color="auto"/>
              <w:right w:val="single" w:sz="4" w:space="0" w:color="auto"/>
            </w:tcBorders>
            <w:shd w:val="clear" w:color="auto" w:fill="auto"/>
            <w:noWrap/>
          </w:tcPr>
          <w:p w14:paraId="135CD3A1" w14:textId="619780B0"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0,37</w:t>
            </w:r>
          </w:p>
        </w:tc>
        <w:tc>
          <w:tcPr>
            <w:tcW w:w="851" w:type="dxa"/>
            <w:tcBorders>
              <w:top w:val="nil"/>
              <w:left w:val="nil"/>
              <w:bottom w:val="single" w:sz="4" w:space="0" w:color="auto"/>
              <w:right w:val="single" w:sz="4" w:space="0" w:color="auto"/>
            </w:tcBorders>
            <w:shd w:val="clear" w:color="auto" w:fill="auto"/>
            <w:noWrap/>
          </w:tcPr>
          <w:p w14:paraId="6B2F7531" w14:textId="0C30CE76"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16AFD15D" w14:textId="476D3545"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0,54</w:t>
            </w:r>
          </w:p>
        </w:tc>
        <w:tc>
          <w:tcPr>
            <w:tcW w:w="992" w:type="dxa"/>
            <w:tcBorders>
              <w:top w:val="nil"/>
              <w:left w:val="nil"/>
              <w:bottom w:val="single" w:sz="4" w:space="0" w:color="auto"/>
              <w:right w:val="single" w:sz="4" w:space="0" w:color="auto"/>
            </w:tcBorders>
            <w:shd w:val="clear" w:color="auto" w:fill="auto"/>
            <w:noWrap/>
          </w:tcPr>
          <w:p w14:paraId="71FF9A4C" w14:textId="43A17EF1"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0,46</w:t>
            </w:r>
          </w:p>
        </w:tc>
      </w:tr>
      <w:tr w:rsidR="005E36B7" w:rsidRPr="005E36B7" w14:paraId="03B07C8C" w14:textId="77777777" w:rsidTr="00430038">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ED6B5D4"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N_140</w:t>
            </w:r>
          </w:p>
        </w:tc>
        <w:tc>
          <w:tcPr>
            <w:tcW w:w="5103" w:type="dxa"/>
            <w:tcBorders>
              <w:top w:val="nil"/>
              <w:left w:val="nil"/>
              <w:bottom w:val="single" w:sz="4" w:space="0" w:color="auto"/>
              <w:right w:val="single" w:sz="4" w:space="0" w:color="auto"/>
            </w:tcBorders>
            <w:shd w:val="clear" w:color="auto" w:fill="auto"/>
            <w:noWrap/>
            <w:vAlign w:val="bottom"/>
            <w:hideMark/>
          </w:tcPr>
          <w:p w14:paraId="7E0A6027" w14:textId="77777777" w:rsidR="005E36B7" w:rsidRPr="005E36B7" w:rsidRDefault="005E36B7" w:rsidP="005E36B7">
            <w:pPr>
              <w:spacing w:after="0" w:line="240" w:lineRule="auto"/>
              <w:jc w:val="left"/>
              <w:rPr>
                <w:rFonts w:asciiTheme="minorHAnsi" w:eastAsia="Times New Roman" w:hAnsiTheme="minorHAnsi" w:cstheme="minorHAnsi"/>
                <w:color w:val="000000"/>
                <w:sz w:val="20"/>
                <w:szCs w:val="20"/>
                <w:lang w:val="es-CL" w:eastAsia="es-CL"/>
              </w:rPr>
            </w:pPr>
            <w:r w:rsidRPr="005E36B7">
              <w:rPr>
                <w:rFonts w:asciiTheme="minorHAnsi" w:eastAsia="Times New Roman" w:hAnsiTheme="minorHAnsi" w:cstheme="minorHAnsi"/>
                <w:color w:val="000000"/>
                <w:sz w:val="20"/>
                <w:szCs w:val="20"/>
                <w:lang w:val="es-CL" w:eastAsia="es-CL"/>
              </w:rPr>
              <w:t>Valdivia 220-&gt;Nueva Valdivia 220</w:t>
            </w:r>
          </w:p>
        </w:tc>
        <w:tc>
          <w:tcPr>
            <w:tcW w:w="992" w:type="dxa"/>
            <w:tcBorders>
              <w:top w:val="nil"/>
              <w:left w:val="nil"/>
              <w:bottom w:val="single" w:sz="4" w:space="0" w:color="auto"/>
              <w:right w:val="single" w:sz="4" w:space="0" w:color="auto"/>
            </w:tcBorders>
            <w:shd w:val="clear" w:color="auto" w:fill="auto"/>
            <w:noWrap/>
          </w:tcPr>
          <w:p w14:paraId="6F17A5B6" w14:textId="258FCC74"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0,43</w:t>
            </w:r>
          </w:p>
        </w:tc>
        <w:tc>
          <w:tcPr>
            <w:tcW w:w="851" w:type="dxa"/>
            <w:tcBorders>
              <w:top w:val="nil"/>
              <w:left w:val="nil"/>
              <w:bottom w:val="single" w:sz="4" w:space="0" w:color="auto"/>
              <w:right w:val="single" w:sz="4" w:space="0" w:color="auto"/>
            </w:tcBorders>
            <w:shd w:val="clear" w:color="auto" w:fill="auto"/>
            <w:noWrap/>
          </w:tcPr>
          <w:p w14:paraId="793D2688" w14:textId="18A33D02"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39FC3381" w14:textId="4968386A"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0,64</w:t>
            </w:r>
          </w:p>
        </w:tc>
        <w:tc>
          <w:tcPr>
            <w:tcW w:w="992" w:type="dxa"/>
            <w:tcBorders>
              <w:top w:val="nil"/>
              <w:left w:val="nil"/>
              <w:bottom w:val="single" w:sz="4" w:space="0" w:color="auto"/>
              <w:right w:val="single" w:sz="4" w:space="0" w:color="auto"/>
            </w:tcBorders>
            <w:shd w:val="clear" w:color="auto" w:fill="auto"/>
            <w:noWrap/>
          </w:tcPr>
          <w:p w14:paraId="1B50BEB2" w14:textId="3E49074F" w:rsidR="005E36B7" w:rsidRPr="005E36B7" w:rsidRDefault="005E36B7" w:rsidP="00441B7D">
            <w:pPr>
              <w:jc w:val="center"/>
              <w:rPr>
                <w:rFonts w:asciiTheme="minorHAnsi" w:hAnsiTheme="minorHAnsi" w:cstheme="minorHAnsi"/>
                <w:sz w:val="20"/>
                <w:szCs w:val="20"/>
              </w:rPr>
            </w:pPr>
            <w:r w:rsidRPr="005E36B7">
              <w:rPr>
                <w:rFonts w:asciiTheme="minorHAnsi" w:hAnsiTheme="minorHAnsi" w:cstheme="minorHAnsi"/>
                <w:sz w:val="20"/>
                <w:szCs w:val="20"/>
              </w:rPr>
              <w:t>0,36</w:t>
            </w:r>
          </w:p>
        </w:tc>
      </w:tr>
    </w:tbl>
    <w:p w14:paraId="24A6BE15" w14:textId="77777777" w:rsidR="00A34D3B" w:rsidRDefault="00A34D3B" w:rsidP="00680717"/>
    <w:p w14:paraId="2BD70073" w14:textId="77777777" w:rsidR="00430038" w:rsidRPr="00E82044" w:rsidRDefault="00430038" w:rsidP="00430038">
      <w:pPr>
        <w:spacing w:after="0"/>
        <w:jc w:val="center"/>
        <w:rPr>
          <w:b/>
          <w:bCs/>
          <w:sz w:val="22"/>
          <w:szCs w:val="22"/>
        </w:rPr>
      </w:pPr>
      <w:r>
        <w:rPr>
          <w:b/>
          <w:bCs/>
          <w:sz w:val="22"/>
          <w:szCs w:val="22"/>
        </w:rPr>
        <w:t>COEFICIENTES FÓRMULAS INDEXACIÓN</w:t>
      </w:r>
    </w:p>
    <w:p w14:paraId="723906ED" w14:textId="77777777" w:rsidR="00430038" w:rsidRDefault="00430038" w:rsidP="00430038">
      <w:pPr>
        <w:spacing w:after="0"/>
        <w:jc w:val="center"/>
        <w:rPr>
          <w:b/>
          <w:bCs/>
          <w:sz w:val="22"/>
          <w:szCs w:val="22"/>
        </w:rPr>
      </w:pPr>
      <w:r>
        <w:rPr>
          <w:b/>
          <w:bCs/>
          <w:sz w:val="22"/>
          <w:szCs w:val="22"/>
        </w:rPr>
        <w:t>Tramos Subestación</w:t>
      </w:r>
    </w:p>
    <w:p w14:paraId="10CBB96C" w14:textId="77777777" w:rsidR="00A34D3B" w:rsidRDefault="00A34D3B" w:rsidP="00680717"/>
    <w:tbl>
      <w:tblPr>
        <w:tblW w:w="9776" w:type="dxa"/>
        <w:tblCellMar>
          <w:left w:w="70" w:type="dxa"/>
          <w:right w:w="70" w:type="dxa"/>
        </w:tblCellMar>
        <w:tblLook w:val="04A0" w:firstRow="1" w:lastRow="0" w:firstColumn="1" w:lastColumn="0" w:noHBand="0" w:noVBand="1"/>
      </w:tblPr>
      <w:tblGrid>
        <w:gridCol w:w="846"/>
        <w:gridCol w:w="5103"/>
        <w:gridCol w:w="992"/>
        <w:gridCol w:w="851"/>
        <w:gridCol w:w="992"/>
        <w:gridCol w:w="992"/>
      </w:tblGrid>
      <w:tr w:rsidR="007357AE" w:rsidRPr="00106B2F" w14:paraId="4CF79F1E" w14:textId="77777777" w:rsidTr="00AC4A34">
        <w:trPr>
          <w:trHeight w:hRule="exact" w:val="284"/>
          <w:tblHeader/>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2951981" w14:textId="77777777" w:rsidR="007357AE" w:rsidRPr="00106B2F" w:rsidRDefault="007357AE" w:rsidP="007357AE">
            <w:pPr>
              <w:spacing w:after="0" w:line="240" w:lineRule="auto"/>
              <w:jc w:val="center"/>
              <w:rPr>
                <w:rFonts w:asciiTheme="minorHAnsi" w:eastAsia="Times New Roman" w:hAnsiTheme="minorHAnsi" w:cstheme="minorHAnsi"/>
                <w:b/>
                <w:bCs/>
                <w:color w:val="000000"/>
                <w:sz w:val="20"/>
                <w:szCs w:val="20"/>
                <w:lang w:val="es-CL" w:eastAsia="es-CL"/>
              </w:rPr>
            </w:pPr>
            <w:r w:rsidRPr="00106B2F">
              <w:rPr>
                <w:rFonts w:asciiTheme="minorHAnsi" w:eastAsia="Times New Roman" w:hAnsiTheme="minorHAnsi" w:cstheme="minorHAnsi"/>
                <w:b/>
                <w:bCs/>
                <w:color w:val="000000"/>
                <w:sz w:val="20"/>
                <w:szCs w:val="20"/>
                <w:lang w:val="es-CL" w:eastAsia="es-CL"/>
              </w:rPr>
              <w:t>Código</w:t>
            </w:r>
          </w:p>
        </w:tc>
        <w:tc>
          <w:tcPr>
            <w:tcW w:w="5103" w:type="dxa"/>
            <w:tcBorders>
              <w:top w:val="single" w:sz="4" w:space="0" w:color="auto"/>
              <w:left w:val="nil"/>
              <w:bottom w:val="single" w:sz="4" w:space="0" w:color="auto"/>
              <w:right w:val="single" w:sz="4" w:space="0" w:color="auto"/>
            </w:tcBorders>
            <w:shd w:val="clear" w:color="000000" w:fill="D9D9D9"/>
            <w:noWrap/>
            <w:vAlign w:val="bottom"/>
            <w:hideMark/>
          </w:tcPr>
          <w:p w14:paraId="5D006FAF" w14:textId="77777777" w:rsidR="007357AE" w:rsidRPr="00106B2F" w:rsidRDefault="007357AE" w:rsidP="007357AE">
            <w:pPr>
              <w:spacing w:after="0" w:line="240" w:lineRule="auto"/>
              <w:jc w:val="center"/>
              <w:rPr>
                <w:rFonts w:asciiTheme="minorHAnsi" w:eastAsia="Times New Roman" w:hAnsiTheme="minorHAnsi" w:cstheme="minorHAnsi"/>
                <w:b/>
                <w:bCs/>
                <w:color w:val="000000"/>
                <w:sz w:val="20"/>
                <w:szCs w:val="20"/>
                <w:lang w:val="es-CL" w:eastAsia="es-CL"/>
              </w:rPr>
            </w:pPr>
            <w:r w:rsidRPr="00106B2F">
              <w:rPr>
                <w:rFonts w:asciiTheme="minorHAnsi" w:eastAsia="Times New Roman" w:hAnsiTheme="minorHAnsi" w:cstheme="minorHAnsi"/>
                <w:b/>
                <w:bCs/>
                <w:color w:val="000000"/>
                <w:sz w:val="20"/>
                <w:szCs w:val="20"/>
                <w:lang w:val="es-CL" w:eastAsia="es-CL"/>
              </w:rPr>
              <w:t>Tramo</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74C9764C" w14:textId="77777777" w:rsidR="007357AE" w:rsidRPr="00106B2F" w:rsidRDefault="007357AE" w:rsidP="007357AE">
            <w:pPr>
              <w:spacing w:after="0" w:line="240" w:lineRule="auto"/>
              <w:jc w:val="center"/>
              <w:rPr>
                <w:rFonts w:asciiTheme="minorHAnsi" w:eastAsia="Times New Roman" w:hAnsiTheme="minorHAnsi" w:cstheme="minorHAnsi"/>
                <w:b/>
                <w:bCs/>
                <w:color w:val="000000"/>
                <w:sz w:val="20"/>
                <w:szCs w:val="20"/>
                <w:lang w:val="es-CL" w:eastAsia="es-CL"/>
              </w:rPr>
            </w:pPr>
            <w:r w:rsidRPr="00106B2F">
              <w:rPr>
                <w:rFonts w:asciiTheme="minorHAnsi" w:eastAsia="Times New Roman" w:hAnsiTheme="minorHAnsi" w:cstheme="minorHAnsi"/>
                <w:b/>
                <w:bCs/>
                <w:color w:val="000000"/>
                <w:sz w:val="20"/>
                <w:szCs w:val="20"/>
                <w:lang w:val="es-CL" w:eastAsia="es-CL"/>
              </w:rPr>
              <w:t>alfa</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6FCC26C3" w14:textId="77777777" w:rsidR="007357AE" w:rsidRPr="00106B2F" w:rsidRDefault="007357AE" w:rsidP="007357AE">
            <w:pPr>
              <w:spacing w:after="0" w:line="240" w:lineRule="auto"/>
              <w:jc w:val="center"/>
              <w:rPr>
                <w:rFonts w:asciiTheme="minorHAnsi" w:eastAsia="Times New Roman" w:hAnsiTheme="minorHAnsi" w:cstheme="minorHAnsi"/>
                <w:b/>
                <w:bCs/>
                <w:color w:val="000000"/>
                <w:sz w:val="20"/>
                <w:szCs w:val="20"/>
                <w:lang w:val="es-CL" w:eastAsia="es-CL"/>
              </w:rPr>
            </w:pPr>
            <w:r w:rsidRPr="00106B2F">
              <w:rPr>
                <w:rFonts w:asciiTheme="minorHAnsi" w:eastAsia="Times New Roman" w:hAnsiTheme="minorHAnsi" w:cstheme="minorHAnsi"/>
                <w:b/>
                <w:bCs/>
                <w:color w:val="000000"/>
                <w:sz w:val="20"/>
                <w:szCs w:val="20"/>
                <w:lang w:val="es-CL" w:eastAsia="es-CL"/>
              </w:rPr>
              <w:t>beta</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05F7E913" w14:textId="77777777" w:rsidR="007357AE" w:rsidRPr="00106B2F" w:rsidRDefault="007357AE" w:rsidP="007357AE">
            <w:pPr>
              <w:spacing w:after="0" w:line="240" w:lineRule="auto"/>
              <w:jc w:val="center"/>
              <w:rPr>
                <w:rFonts w:asciiTheme="minorHAnsi" w:eastAsia="Times New Roman" w:hAnsiTheme="minorHAnsi" w:cstheme="minorHAnsi"/>
                <w:b/>
                <w:bCs/>
                <w:color w:val="000000"/>
                <w:sz w:val="20"/>
                <w:szCs w:val="20"/>
                <w:lang w:val="es-CL" w:eastAsia="es-CL"/>
              </w:rPr>
            </w:pPr>
            <w:r w:rsidRPr="00106B2F">
              <w:rPr>
                <w:rFonts w:asciiTheme="minorHAnsi" w:eastAsia="Times New Roman" w:hAnsiTheme="minorHAnsi" w:cstheme="minorHAnsi"/>
                <w:b/>
                <w:bCs/>
                <w:color w:val="000000"/>
                <w:sz w:val="20"/>
                <w:szCs w:val="20"/>
                <w:lang w:val="es-CL" w:eastAsia="es-CL"/>
              </w:rPr>
              <w:t>gama</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12B5367A" w14:textId="77777777" w:rsidR="007357AE" w:rsidRPr="00106B2F" w:rsidRDefault="007357AE" w:rsidP="007357AE">
            <w:pPr>
              <w:spacing w:after="0" w:line="240" w:lineRule="auto"/>
              <w:jc w:val="center"/>
              <w:rPr>
                <w:rFonts w:asciiTheme="minorHAnsi" w:eastAsia="Times New Roman" w:hAnsiTheme="minorHAnsi" w:cstheme="minorHAnsi"/>
                <w:b/>
                <w:bCs/>
                <w:color w:val="000000"/>
                <w:sz w:val="20"/>
                <w:szCs w:val="20"/>
                <w:lang w:val="es-CL" w:eastAsia="es-CL"/>
              </w:rPr>
            </w:pPr>
            <w:r w:rsidRPr="00106B2F">
              <w:rPr>
                <w:rFonts w:asciiTheme="minorHAnsi" w:eastAsia="Times New Roman" w:hAnsiTheme="minorHAnsi" w:cstheme="minorHAnsi"/>
                <w:b/>
                <w:bCs/>
                <w:color w:val="000000"/>
                <w:sz w:val="20"/>
                <w:szCs w:val="20"/>
                <w:lang w:val="es-CL" w:eastAsia="es-CL"/>
              </w:rPr>
              <w:t>delta</w:t>
            </w:r>
          </w:p>
        </w:tc>
      </w:tr>
      <w:tr w:rsidR="00106B2F" w:rsidRPr="00106B2F" w14:paraId="760EB4AD"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2A00F9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w:t>
            </w:r>
          </w:p>
        </w:tc>
        <w:tc>
          <w:tcPr>
            <w:tcW w:w="5103" w:type="dxa"/>
            <w:tcBorders>
              <w:top w:val="nil"/>
              <w:left w:val="nil"/>
              <w:bottom w:val="single" w:sz="4" w:space="0" w:color="auto"/>
              <w:right w:val="single" w:sz="4" w:space="0" w:color="auto"/>
            </w:tcBorders>
            <w:shd w:val="clear" w:color="auto" w:fill="auto"/>
            <w:noWrap/>
            <w:vAlign w:val="bottom"/>
            <w:hideMark/>
          </w:tcPr>
          <w:p w14:paraId="6183484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Alto Jahuel</w:t>
            </w:r>
          </w:p>
        </w:tc>
        <w:tc>
          <w:tcPr>
            <w:tcW w:w="992" w:type="dxa"/>
            <w:tcBorders>
              <w:top w:val="nil"/>
              <w:left w:val="nil"/>
              <w:bottom w:val="single" w:sz="4" w:space="0" w:color="auto"/>
              <w:right w:val="single" w:sz="4" w:space="0" w:color="auto"/>
            </w:tcBorders>
            <w:shd w:val="clear" w:color="auto" w:fill="auto"/>
            <w:noWrap/>
          </w:tcPr>
          <w:p w14:paraId="0478DAFC" w14:textId="4399189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2B75AD72" w14:textId="6351A66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5C8BB538" w14:textId="4E68E0A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0,36</w:t>
            </w:r>
          </w:p>
        </w:tc>
        <w:tc>
          <w:tcPr>
            <w:tcW w:w="992" w:type="dxa"/>
            <w:tcBorders>
              <w:top w:val="nil"/>
              <w:left w:val="nil"/>
              <w:bottom w:val="single" w:sz="4" w:space="0" w:color="auto"/>
              <w:right w:val="single" w:sz="4" w:space="0" w:color="auto"/>
            </w:tcBorders>
            <w:shd w:val="clear" w:color="auto" w:fill="auto"/>
            <w:noWrap/>
          </w:tcPr>
          <w:p w14:paraId="76B41822" w14:textId="287F6BD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0,64</w:t>
            </w:r>
          </w:p>
        </w:tc>
      </w:tr>
      <w:tr w:rsidR="00106B2F" w:rsidRPr="00106B2F" w14:paraId="5136D6B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D36597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w:t>
            </w:r>
          </w:p>
        </w:tc>
        <w:tc>
          <w:tcPr>
            <w:tcW w:w="5103" w:type="dxa"/>
            <w:tcBorders>
              <w:top w:val="nil"/>
              <w:left w:val="nil"/>
              <w:bottom w:val="single" w:sz="4" w:space="0" w:color="auto"/>
              <w:right w:val="single" w:sz="4" w:space="0" w:color="auto"/>
            </w:tcBorders>
            <w:shd w:val="clear" w:color="auto" w:fill="auto"/>
            <w:noWrap/>
            <w:vAlign w:val="bottom"/>
            <w:hideMark/>
          </w:tcPr>
          <w:p w14:paraId="191222F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Ancoa</w:t>
            </w:r>
          </w:p>
        </w:tc>
        <w:tc>
          <w:tcPr>
            <w:tcW w:w="992" w:type="dxa"/>
            <w:tcBorders>
              <w:top w:val="nil"/>
              <w:left w:val="nil"/>
              <w:bottom w:val="single" w:sz="4" w:space="0" w:color="auto"/>
              <w:right w:val="single" w:sz="4" w:space="0" w:color="auto"/>
            </w:tcBorders>
            <w:shd w:val="clear" w:color="auto" w:fill="auto"/>
            <w:noWrap/>
          </w:tcPr>
          <w:p w14:paraId="67D4FCB4" w14:textId="3B58022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0,09</w:t>
            </w:r>
          </w:p>
        </w:tc>
        <w:tc>
          <w:tcPr>
            <w:tcW w:w="851" w:type="dxa"/>
            <w:tcBorders>
              <w:top w:val="nil"/>
              <w:left w:val="nil"/>
              <w:bottom w:val="single" w:sz="4" w:space="0" w:color="auto"/>
              <w:right w:val="single" w:sz="4" w:space="0" w:color="auto"/>
            </w:tcBorders>
            <w:shd w:val="clear" w:color="auto" w:fill="auto"/>
            <w:noWrap/>
          </w:tcPr>
          <w:p w14:paraId="70EF7974" w14:textId="3A5741C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0,91</w:t>
            </w:r>
          </w:p>
        </w:tc>
        <w:tc>
          <w:tcPr>
            <w:tcW w:w="992" w:type="dxa"/>
            <w:tcBorders>
              <w:top w:val="nil"/>
              <w:left w:val="nil"/>
              <w:bottom w:val="single" w:sz="4" w:space="0" w:color="auto"/>
              <w:right w:val="single" w:sz="4" w:space="0" w:color="auto"/>
            </w:tcBorders>
            <w:shd w:val="clear" w:color="auto" w:fill="auto"/>
            <w:noWrap/>
          </w:tcPr>
          <w:p w14:paraId="2E133ED8" w14:textId="4082235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0,17</w:t>
            </w:r>
          </w:p>
        </w:tc>
        <w:tc>
          <w:tcPr>
            <w:tcW w:w="992" w:type="dxa"/>
            <w:tcBorders>
              <w:top w:val="nil"/>
              <w:left w:val="nil"/>
              <w:bottom w:val="single" w:sz="4" w:space="0" w:color="auto"/>
              <w:right w:val="single" w:sz="4" w:space="0" w:color="auto"/>
            </w:tcBorders>
            <w:shd w:val="clear" w:color="auto" w:fill="auto"/>
            <w:noWrap/>
          </w:tcPr>
          <w:p w14:paraId="335EA6EE" w14:textId="5B928A1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0,83</w:t>
            </w:r>
          </w:p>
        </w:tc>
      </w:tr>
      <w:tr w:rsidR="00106B2F" w:rsidRPr="00106B2F" w14:paraId="12FEDF1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FD83E04"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w:t>
            </w:r>
          </w:p>
        </w:tc>
        <w:tc>
          <w:tcPr>
            <w:tcW w:w="5103" w:type="dxa"/>
            <w:tcBorders>
              <w:top w:val="nil"/>
              <w:left w:val="nil"/>
              <w:bottom w:val="single" w:sz="4" w:space="0" w:color="auto"/>
              <w:right w:val="single" w:sz="4" w:space="0" w:color="auto"/>
            </w:tcBorders>
            <w:shd w:val="clear" w:color="auto" w:fill="auto"/>
            <w:noWrap/>
            <w:vAlign w:val="bottom"/>
            <w:hideMark/>
          </w:tcPr>
          <w:p w14:paraId="65CFEBE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Atacama</w:t>
            </w:r>
          </w:p>
        </w:tc>
        <w:tc>
          <w:tcPr>
            <w:tcW w:w="992" w:type="dxa"/>
            <w:tcBorders>
              <w:top w:val="nil"/>
              <w:left w:val="nil"/>
              <w:bottom w:val="single" w:sz="4" w:space="0" w:color="auto"/>
              <w:right w:val="single" w:sz="4" w:space="0" w:color="auto"/>
            </w:tcBorders>
            <w:shd w:val="clear" w:color="auto" w:fill="auto"/>
            <w:noWrap/>
          </w:tcPr>
          <w:p w14:paraId="7498FB10" w14:textId="1FC9354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0,57</w:t>
            </w:r>
          </w:p>
        </w:tc>
        <w:tc>
          <w:tcPr>
            <w:tcW w:w="851" w:type="dxa"/>
            <w:tcBorders>
              <w:top w:val="nil"/>
              <w:left w:val="nil"/>
              <w:bottom w:val="single" w:sz="4" w:space="0" w:color="auto"/>
              <w:right w:val="single" w:sz="4" w:space="0" w:color="auto"/>
            </w:tcBorders>
            <w:shd w:val="clear" w:color="auto" w:fill="auto"/>
            <w:noWrap/>
          </w:tcPr>
          <w:p w14:paraId="2BE49D55" w14:textId="050DCE3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0,43</w:t>
            </w:r>
          </w:p>
        </w:tc>
        <w:tc>
          <w:tcPr>
            <w:tcW w:w="992" w:type="dxa"/>
            <w:tcBorders>
              <w:top w:val="nil"/>
              <w:left w:val="nil"/>
              <w:bottom w:val="single" w:sz="4" w:space="0" w:color="auto"/>
              <w:right w:val="single" w:sz="4" w:space="0" w:color="auto"/>
            </w:tcBorders>
            <w:shd w:val="clear" w:color="auto" w:fill="auto"/>
            <w:noWrap/>
          </w:tcPr>
          <w:p w14:paraId="7C749DEB" w14:textId="7DAD039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0,73</w:t>
            </w:r>
          </w:p>
        </w:tc>
        <w:tc>
          <w:tcPr>
            <w:tcW w:w="992" w:type="dxa"/>
            <w:tcBorders>
              <w:top w:val="nil"/>
              <w:left w:val="nil"/>
              <w:bottom w:val="single" w:sz="4" w:space="0" w:color="auto"/>
              <w:right w:val="single" w:sz="4" w:space="0" w:color="auto"/>
            </w:tcBorders>
            <w:shd w:val="clear" w:color="auto" w:fill="auto"/>
            <w:noWrap/>
          </w:tcPr>
          <w:p w14:paraId="20DB2A9F" w14:textId="7170DD5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0,27</w:t>
            </w:r>
          </w:p>
        </w:tc>
      </w:tr>
      <w:tr w:rsidR="00106B2F" w:rsidRPr="00106B2F" w14:paraId="0A51BFF6"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6C2551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w:t>
            </w:r>
          </w:p>
        </w:tc>
        <w:tc>
          <w:tcPr>
            <w:tcW w:w="5103" w:type="dxa"/>
            <w:tcBorders>
              <w:top w:val="nil"/>
              <w:left w:val="nil"/>
              <w:bottom w:val="single" w:sz="4" w:space="0" w:color="auto"/>
              <w:right w:val="single" w:sz="4" w:space="0" w:color="auto"/>
            </w:tcBorders>
            <w:shd w:val="clear" w:color="auto" w:fill="auto"/>
            <w:noWrap/>
            <w:vAlign w:val="bottom"/>
            <w:hideMark/>
          </w:tcPr>
          <w:p w14:paraId="78465ED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Bureo</w:t>
            </w:r>
          </w:p>
        </w:tc>
        <w:tc>
          <w:tcPr>
            <w:tcW w:w="992" w:type="dxa"/>
            <w:tcBorders>
              <w:top w:val="nil"/>
              <w:left w:val="nil"/>
              <w:bottom w:val="single" w:sz="4" w:space="0" w:color="auto"/>
              <w:right w:val="single" w:sz="4" w:space="0" w:color="auto"/>
            </w:tcBorders>
            <w:shd w:val="clear" w:color="auto" w:fill="auto"/>
            <w:noWrap/>
          </w:tcPr>
          <w:p w14:paraId="3EB14D00" w14:textId="11E7AF0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32E3CC3F" w14:textId="0031FBA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81F5F28" w14:textId="18900F4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6926C4F" w14:textId="69A7204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7179F037"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D3DE8C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w:t>
            </w:r>
          </w:p>
        </w:tc>
        <w:tc>
          <w:tcPr>
            <w:tcW w:w="5103" w:type="dxa"/>
            <w:tcBorders>
              <w:top w:val="nil"/>
              <w:left w:val="nil"/>
              <w:bottom w:val="single" w:sz="4" w:space="0" w:color="auto"/>
              <w:right w:val="single" w:sz="4" w:space="0" w:color="auto"/>
            </w:tcBorders>
            <w:shd w:val="clear" w:color="auto" w:fill="auto"/>
            <w:noWrap/>
            <w:vAlign w:val="bottom"/>
            <w:hideMark/>
          </w:tcPr>
          <w:p w14:paraId="4B170A4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Calama Nueva</w:t>
            </w:r>
          </w:p>
        </w:tc>
        <w:tc>
          <w:tcPr>
            <w:tcW w:w="992" w:type="dxa"/>
            <w:tcBorders>
              <w:top w:val="nil"/>
              <w:left w:val="nil"/>
              <w:bottom w:val="single" w:sz="4" w:space="0" w:color="auto"/>
              <w:right w:val="single" w:sz="4" w:space="0" w:color="auto"/>
            </w:tcBorders>
            <w:shd w:val="clear" w:color="auto" w:fill="auto"/>
            <w:noWrap/>
          </w:tcPr>
          <w:p w14:paraId="4DF241CC" w14:textId="4B8E84A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0,46</w:t>
            </w:r>
          </w:p>
        </w:tc>
        <w:tc>
          <w:tcPr>
            <w:tcW w:w="851" w:type="dxa"/>
            <w:tcBorders>
              <w:top w:val="nil"/>
              <w:left w:val="nil"/>
              <w:bottom w:val="single" w:sz="4" w:space="0" w:color="auto"/>
              <w:right w:val="single" w:sz="4" w:space="0" w:color="auto"/>
            </w:tcBorders>
            <w:shd w:val="clear" w:color="auto" w:fill="auto"/>
            <w:noWrap/>
          </w:tcPr>
          <w:p w14:paraId="61D3208D" w14:textId="358357C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0,54</w:t>
            </w:r>
          </w:p>
        </w:tc>
        <w:tc>
          <w:tcPr>
            <w:tcW w:w="992" w:type="dxa"/>
            <w:tcBorders>
              <w:top w:val="nil"/>
              <w:left w:val="nil"/>
              <w:bottom w:val="single" w:sz="4" w:space="0" w:color="auto"/>
              <w:right w:val="single" w:sz="4" w:space="0" w:color="auto"/>
            </w:tcBorders>
            <w:shd w:val="clear" w:color="auto" w:fill="auto"/>
            <w:noWrap/>
          </w:tcPr>
          <w:p w14:paraId="7B949B35" w14:textId="0ACA483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0F13463B" w14:textId="0D41ACF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0,51</w:t>
            </w:r>
          </w:p>
        </w:tc>
      </w:tr>
      <w:tr w:rsidR="00106B2F" w:rsidRPr="00106B2F" w14:paraId="0321558E"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E01635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w:t>
            </w:r>
          </w:p>
        </w:tc>
        <w:tc>
          <w:tcPr>
            <w:tcW w:w="5103" w:type="dxa"/>
            <w:tcBorders>
              <w:top w:val="nil"/>
              <w:left w:val="nil"/>
              <w:bottom w:val="single" w:sz="4" w:space="0" w:color="auto"/>
              <w:right w:val="single" w:sz="4" w:space="0" w:color="auto"/>
            </w:tcBorders>
            <w:shd w:val="clear" w:color="auto" w:fill="auto"/>
            <w:noWrap/>
            <w:vAlign w:val="bottom"/>
            <w:hideMark/>
          </w:tcPr>
          <w:p w14:paraId="464C05A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Candelaria</w:t>
            </w:r>
          </w:p>
        </w:tc>
        <w:tc>
          <w:tcPr>
            <w:tcW w:w="992" w:type="dxa"/>
            <w:tcBorders>
              <w:top w:val="nil"/>
              <w:left w:val="nil"/>
              <w:bottom w:val="single" w:sz="4" w:space="0" w:color="auto"/>
              <w:right w:val="single" w:sz="4" w:space="0" w:color="auto"/>
            </w:tcBorders>
            <w:shd w:val="clear" w:color="auto" w:fill="auto"/>
            <w:noWrap/>
          </w:tcPr>
          <w:p w14:paraId="6D818872" w14:textId="2B96508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0,53</w:t>
            </w:r>
          </w:p>
        </w:tc>
        <w:tc>
          <w:tcPr>
            <w:tcW w:w="851" w:type="dxa"/>
            <w:tcBorders>
              <w:top w:val="nil"/>
              <w:left w:val="nil"/>
              <w:bottom w:val="single" w:sz="4" w:space="0" w:color="auto"/>
              <w:right w:val="single" w:sz="4" w:space="0" w:color="auto"/>
            </w:tcBorders>
            <w:shd w:val="clear" w:color="auto" w:fill="auto"/>
            <w:noWrap/>
          </w:tcPr>
          <w:p w14:paraId="1D5C60C5" w14:textId="409C5D7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7BF93A02" w14:textId="49BA022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233353C4" w14:textId="7FF0A7C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0,38</w:t>
            </w:r>
          </w:p>
        </w:tc>
      </w:tr>
      <w:tr w:rsidR="00106B2F" w:rsidRPr="00106B2F" w14:paraId="1A6C78A3"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0DBE9C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w:t>
            </w:r>
          </w:p>
        </w:tc>
        <w:tc>
          <w:tcPr>
            <w:tcW w:w="5103" w:type="dxa"/>
            <w:tcBorders>
              <w:top w:val="nil"/>
              <w:left w:val="nil"/>
              <w:bottom w:val="single" w:sz="4" w:space="0" w:color="auto"/>
              <w:right w:val="single" w:sz="4" w:space="0" w:color="auto"/>
            </w:tcBorders>
            <w:shd w:val="clear" w:color="auto" w:fill="auto"/>
            <w:noWrap/>
            <w:vAlign w:val="bottom"/>
            <w:hideMark/>
          </w:tcPr>
          <w:p w14:paraId="7FA42BD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Cardones</w:t>
            </w:r>
          </w:p>
        </w:tc>
        <w:tc>
          <w:tcPr>
            <w:tcW w:w="992" w:type="dxa"/>
            <w:tcBorders>
              <w:top w:val="nil"/>
              <w:left w:val="nil"/>
              <w:bottom w:val="single" w:sz="4" w:space="0" w:color="auto"/>
              <w:right w:val="single" w:sz="4" w:space="0" w:color="auto"/>
            </w:tcBorders>
            <w:shd w:val="clear" w:color="auto" w:fill="auto"/>
            <w:noWrap/>
          </w:tcPr>
          <w:p w14:paraId="5831EE6E" w14:textId="4E610D1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0E94D565" w14:textId="7C4084D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7ECB3896" w14:textId="5236447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0,33</w:t>
            </w:r>
          </w:p>
        </w:tc>
        <w:tc>
          <w:tcPr>
            <w:tcW w:w="992" w:type="dxa"/>
            <w:tcBorders>
              <w:top w:val="nil"/>
              <w:left w:val="nil"/>
              <w:bottom w:val="single" w:sz="4" w:space="0" w:color="auto"/>
              <w:right w:val="single" w:sz="4" w:space="0" w:color="auto"/>
            </w:tcBorders>
            <w:shd w:val="clear" w:color="auto" w:fill="auto"/>
            <w:noWrap/>
          </w:tcPr>
          <w:p w14:paraId="5546DBD6" w14:textId="06ED60F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0,67</w:t>
            </w:r>
          </w:p>
        </w:tc>
      </w:tr>
      <w:tr w:rsidR="00106B2F" w:rsidRPr="00106B2F" w14:paraId="0692A6A2"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E5CBB2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SE-N_8</w:t>
            </w:r>
          </w:p>
        </w:tc>
        <w:tc>
          <w:tcPr>
            <w:tcW w:w="5103" w:type="dxa"/>
            <w:tcBorders>
              <w:top w:val="nil"/>
              <w:left w:val="nil"/>
              <w:bottom w:val="single" w:sz="4" w:space="0" w:color="auto"/>
              <w:right w:val="single" w:sz="4" w:space="0" w:color="auto"/>
            </w:tcBorders>
            <w:shd w:val="clear" w:color="auto" w:fill="auto"/>
            <w:noWrap/>
            <w:vAlign w:val="bottom"/>
            <w:hideMark/>
          </w:tcPr>
          <w:p w14:paraId="56850BB4"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Carrera Pinto</w:t>
            </w:r>
          </w:p>
        </w:tc>
        <w:tc>
          <w:tcPr>
            <w:tcW w:w="992" w:type="dxa"/>
            <w:tcBorders>
              <w:top w:val="nil"/>
              <w:left w:val="nil"/>
              <w:bottom w:val="single" w:sz="4" w:space="0" w:color="auto"/>
              <w:right w:val="single" w:sz="4" w:space="0" w:color="auto"/>
            </w:tcBorders>
            <w:shd w:val="clear" w:color="auto" w:fill="auto"/>
            <w:noWrap/>
          </w:tcPr>
          <w:p w14:paraId="491EE33D" w14:textId="5BADFED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0,23</w:t>
            </w:r>
          </w:p>
        </w:tc>
        <w:tc>
          <w:tcPr>
            <w:tcW w:w="851" w:type="dxa"/>
            <w:tcBorders>
              <w:top w:val="nil"/>
              <w:left w:val="nil"/>
              <w:bottom w:val="single" w:sz="4" w:space="0" w:color="auto"/>
              <w:right w:val="single" w:sz="4" w:space="0" w:color="auto"/>
            </w:tcBorders>
            <w:shd w:val="clear" w:color="auto" w:fill="auto"/>
            <w:noWrap/>
          </w:tcPr>
          <w:p w14:paraId="410075C0" w14:textId="3D160B1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0,77</w:t>
            </w:r>
          </w:p>
        </w:tc>
        <w:tc>
          <w:tcPr>
            <w:tcW w:w="992" w:type="dxa"/>
            <w:tcBorders>
              <w:top w:val="nil"/>
              <w:left w:val="nil"/>
              <w:bottom w:val="single" w:sz="4" w:space="0" w:color="auto"/>
              <w:right w:val="single" w:sz="4" w:space="0" w:color="auto"/>
            </w:tcBorders>
            <w:shd w:val="clear" w:color="auto" w:fill="auto"/>
            <w:noWrap/>
          </w:tcPr>
          <w:p w14:paraId="49B21161" w14:textId="11B3754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0,35</w:t>
            </w:r>
          </w:p>
        </w:tc>
        <w:tc>
          <w:tcPr>
            <w:tcW w:w="992" w:type="dxa"/>
            <w:tcBorders>
              <w:top w:val="nil"/>
              <w:left w:val="nil"/>
              <w:bottom w:val="single" w:sz="4" w:space="0" w:color="auto"/>
              <w:right w:val="single" w:sz="4" w:space="0" w:color="auto"/>
            </w:tcBorders>
            <w:shd w:val="clear" w:color="auto" w:fill="auto"/>
            <w:noWrap/>
          </w:tcPr>
          <w:p w14:paraId="4F518CC8" w14:textId="2CA6E01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0,65</w:t>
            </w:r>
          </w:p>
        </w:tc>
      </w:tr>
      <w:tr w:rsidR="00106B2F" w:rsidRPr="00106B2F" w14:paraId="517095AE"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30F3D6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SE-N_9</w:t>
            </w:r>
          </w:p>
        </w:tc>
        <w:tc>
          <w:tcPr>
            <w:tcW w:w="5103" w:type="dxa"/>
            <w:tcBorders>
              <w:top w:val="nil"/>
              <w:left w:val="nil"/>
              <w:bottom w:val="single" w:sz="4" w:space="0" w:color="auto"/>
              <w:right w:val="single" w:sz="4" w:space="0" w:color="auto"/>
            </w:tcBorders>
            <w:shd w:val="clear" w:color="auto" w:fill="auto"/>
            <w:noWrap/>
            <w:vAlign w:val="bottom"/>
            <w:hideMark/>
          </w:tcPr>
          <w:p w14:paraId="3AB2E31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Cautin</w:t>
            </w:r>
          </w:p>
        </w:tc>
        <w:tc>
          <w:tcPr>
            <w:tcW w:w="992" w:type="dxa"/>
            <w:tcBorders>
              <w:top w:val="nil"/>
              <w:left w:val="nil"/>
              <w:bottom w:val="single" w:sz="4" w:space="0" w:color="auto"/>
              <w:right w:val="single" w:sz="4" w:space="0" w:color="auto"/>
            </w:tcBorders>
            <w:shd w:val="clear" w:color="auto" w:fill="auto"/>
            <w:noWrap/>
          </w:tcPr>
          <w:p w14:paraId="7BBDF6C9" w14:textId="18EE934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0,41</w:t>
            </w:r>
          </w:p>
        </w:tc>
        <w:tc>
          <w:tcPr>
            <w:tcW w:w="851" w:type="dxa"/>
            <w:tcBorders>
              <w:top w:val="nil"/>
              <w:left w:val="nil"/>
              <w:bottom w:val="single" w:sz="4" w:space="0" w:color="auto"/>
              <w:right w:val="single" w:sz="4" w:space="0" w:color="auto"/>
            </w:tcBorders>
            <w:shd w:val="clear" w:color="auto" w:fill="auto"/>
            <w:noWrap/>
          </w:tcPr>
          <w:p w14:paraId="41B187A3" w14:textId="139550A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0,59</w:t>
            </w:r>
          </w:p>
        </w:tc>
        <w:tc>
          <w:tcPr>
            <w:tcW w:w="992" w:type="dxa"/>
            <w:tcBorders>
              <w:top w:val="nil"/>
              <w:left w:val="nil"/>
              <w:bottom w:val="single" w:sz="4" w:space="0" w:color="auto"/>
              <w:right w:val="single" w:sz="4" w:space="0" w:color="auto"/>
            </w:tcBorders>
            <w:shd w:val="clear" w:color="auto" w:fill="auto"/>
            <w:noWrap/>
          </w:tcPr>
          <w:p w14:paraId="52AD538D" w14:textId="6244F20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5E6B322B" w14:textId="0A06206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r>
      <w:tr w:rsidR="00106B2F" w:rsidRPr="00106B2F" w14:paraId="785C0F2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72B09E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SE-N_10</w:t>
            </w:r>
          </w:p>
        </w:tc>
        <w:tc>
          <w:tcPr>
            <w:tcW w:w="5103" w:type="dxa"/>
            <w:tcBorders>
              <w:top w:val="nil"/>
              <w:left w:val="nil"/>
              <w:bottom w:val="single" w:sz="4" w:space="0" w:color="auto"/>
              <w:right w:val="single" w:sz="4" w:space="0" w:color="auto"/>
            </w:tcBorders>
            <w:shd w:val="clear" w:color="auto" w:fill="auto"/>
            <w:noWrap/>
            <w:vAlign w:val="bottom"/>
            <w:hideMark/>
          </w:tcPr>
          <w:p w14:paraId="7928C18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Cerro Navia</w:t>
            </w:r>
          </w:p>
        </w:tc>
        <w:tc>
          <w:tcPr>
            <w:tcW w:w="992" w:type="dxa"/>
            <w:tcBorders>
              <w:top w:val="nil"/>
              <w:left w:val="nil"/>
              <w:bottom w:val="single" w:sz="4" w:space="0" w:color="auto"/>
              <w:right w:val="single" w:sz="4" w:space="0" w:color="auto"/>
            </w:tcBorders>
            <w:shd w:val="clear" w:color="auto" w:fill="auto"/>
            <w:noWrap/>
          </w:tcPr>
          <w:p w14:paraId="2B946E19" w14:textId="2816072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0,22</w:t>
            </w:r>
          </w:p>
        </w:tc>
        <w:tc>
          <w:tcPr>
            <w:tcW w:w="851" w:type="dxa"/>
            <w:tcBorders>
              <w:top w:val="nil"/>
              <w:left w:val="nil"/>
              <w:bottom w:val="single" w:sz="4" w:space="0" w:color="auto"/>
              <w:right w:val="single" w:sz="4" w:space="0" w:color="auto"/>
            </w:tcBorders>
            <w:shd w:val="clear" w:color="auto" w:fill="auto"/>
            <w:noWrap/>
          </w:tcPr>
          <w:p w14:paraId="78506ED9" w14:textId="701D470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40B97CC2" w14:textId="2E3B761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c>
          <w:tcPr>
            <w:tcW w:w="992" w:type="dxa"/>
            <w:tcBorders>
              <w:top w:val="nil"/>
              <w:left w:val="nil"/>
              <w:bottom w:val="single" w:sz="4" w:space="0" w:color="auto"/>
              <w:right w:val="single" w:sz="4" w:space="0" w:color="auto"/>
            </w:tcBorders>
            <w:shd w:val="clear" w:color="auto" w:fill="auto"/>
            <w:noWrap/>
          </w:tcPr>
          <w:p w14:paraId="26F3F71E" w14:textId="3A2D5AC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r>
      <w:tr w:rsidR="00106B2F" w:rsidRPr="00106B2F" w14:paraId="24F2BEF9"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EBEB33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SE-N_11</w:t>
            </w:r>
          </w:p>
        </w:tc>
        <w:tc>
          <w:tcPr>
            <w:tcW w:w="5103" w:type="dxa"/>
            <w:tcBorders>
              <w:top w:val="nil"/>
              <w:left w:val="nil"/>
              <w:bottom w:val="single" w:sz="4" w:space="0" w:color="auto"/>
              <w:right w:val="single" w:sz="4" w:space="0" w:color="auto"/>
            </w:tcBorders>
            <w:shd w:val="clear" w:color="auto" w:fill="auto"/>
            <w:noWrap/>
            <w:vAlign w:val="bottom"/>
            <w:hideMark/>
          </w:tcPr>
          <w:p w14:paraId="74EE5A0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Charrua</w:t>
            </w:r>
          </w:p>
        </w:tc>
        <w:tc>
          <w:tcPr>
            <w:tcW w:w="992" w:type="dxa"/>
            <w:tcBorders>
              <w:top w:val="nil"/>
              <w:left w:val="nil"/>
              <w:bottom w:val="single" w:sz="4" w:space="0" w:color="auto"/>
              <w:right w:val="single" w:sz="4" w:space="0" w:color="auto"/>
            </w:tcBorders>
            <w:shd w:val="clear" w:color="auto" w:fill="auto"/>
            <w:noWrap/>
          </w:tcPr>
          <w:p w14:paraId="770009DE" w14:textId="7900F7C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0,30</w:t>
            </w:r>
          </w:p>
        </w:tc>
        <w:tc>
          <w:tcPr>
            <w:tcW w:w="851" w:type="dxa"/>
            <w:tcBorders>
              <w:top w:val="nil"/>
              <w:left w:val="nil"/>
              <w:bottom w:val="single" w:sz="4" w:space="0" w:color="auto"/>
              <w:right w:val="single" w:sz="4" w:space="0" w:color="auto"/>
            </w:tcBorders>
            <w:shd w:val="clear" w:color="auto" w:fill="auto"/>
            <w:noWrap/>
          </w:tcPr>
          <w:p w14:paraId="57876F53" w14:textId="352FA6C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0,70</w:t>
            </w:r>
          </w:p>
        </w:tc>
        <w:tc>
          <w:tcPr>
            <w:tcW w:w="992" w:type="dxa"/>
            <w:tcBorders>
              <w:top w:val="nil"/>
              <w:left w:val="nil"/>
              <w:bottom w:val="single" w:sz="4" w:space="0" w:color="auto"/>
              <w:right w:val="single" w:sz="4" w:space="0" w:color="auto"/>
            </w:tcBorders>
            <w:shd w:val="clear" w:color="auto" w:fill="auto"/>
            <w:noWrap/>
          </w:tcPr>
          <w:p w14:paraId="01C6AFBA" w14:textId="001DED6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0,39</w:t>
            </w:r>
          </w:p>
        </w:tc>
        <w:tc>
          <w:tcPr>
            <w:tcW w:w="992" w:type="dxa"/>
            <w:tcBorders>
              <w:top w:val="nil"/>
              <w:left w:val="nil"/>
              <w:bottom w:val="single" w:sz="4" w:space="0" w:color="auto"/>
              <w:right w:val="single" w:sz="4" w:space="0" w:color="auto"/>
            </w:tcBorders>
            <w:shd w:val="clear" w:color="auto" w:fill="auto"/>
            <w:noWrap/>
          </w:tcPr>
          <w:p w14:paraId="3E502D9D" w14:textId="1729120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0,61</w:t>
            </w:r>
          </w:p>
        </w:tc>
      </w:tr>
      <w:tr w:rsidR="00106B2F" w:rsidRPr="00106B2F" w14:paraId="26B4634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F95264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SE-N_12</w:t>
            </w:r>
          </w:p>
        </w:tc>
        <w:tc>
          <w:tcPr>
            <w:tcW w:w="5103" w:type="dxa"/>
            <w:tcBorders>
              <w:top w:val="nil"/>
              <w:left w:val="nil"/>
              <w:bottom w:val="single" w:sz="4" w:space="0" w:color="auto"/>
              <w:right w:val="single" w:sz="4" w:space="0" w:color="auto"/>
            </w:tcBorders>
            <w:shd w:val="clear" w:color="auto" w:fill="auto"/>
            <w:noWrap/>
            <w:vAlign w:val="bottom"/>
            <w:hideMark/>
          </w:tcPr>
          <w:p w14:paraId="67E9769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Chena</w:t>
            </w:r>
          </w:p>
        </w:tc>
        <w:tc>
          <w:tcPr>
            <w:tcW w:w="992" w:type="dxa"/>
            <w:tcBorders>
              <w:top w:val="nil"/>
              <w:left w:val="nil"/>
              <w:bottom w:val="single" w:sz="4" w:space="0" w:color="auto"/>
              <w:right w:val="single" w:sz="4" w:space="0" w:color="auto"/>
            </w:tcBorders>
            <w:shd w:val="clear" w:color="auto" w:fill="auto"/>
            <w:noWrap/>
          </w:tcPr>
          <w:p w14:paraId="02782733" w14:textId="1DA4BA2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0,40</w:t>
            </w:r>
          </w:p>
        </w:tc>
        <w:tc>
          <w:tcPr>
            <w:tcW w:w="851" w:type="dxa"/>
            <w:tcBorders>
              <w:top w:val="nil"/>
              <w:left w:val="nil"/>
              <w:bottom w:val="single" w:sz="4" w:space="0" w:color="auto"/>
              <w:right w:val="single" w:sz="4" w:space="0" w:color="auto"/>
            </w:tcBorders>
            <w:shd w:val="clear" w:color="auto" w:fill="auto"/>
            <w:noWrap/>
          </w:tcPr>
          <w:p w14:paraId="568491EA" w14:textId="53867A2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0,60</w:t>
            </w:r>
          </w:p>
        </w:tc>
        <w:tc>
          <w:tcPr>
            <w:tcW w:w="992" w:type="dxa"/>
            <w:tcBorders>
              <w:top w:val="nil"/>
              <w:left w:val="nil"/>
              <w:bottom w:val="single" w:sz="4" w:space="0" w:color="auto"/>
              <w:right w:val="single" w:sz="4" w:space="0" w:color="auto"/>
            </w:tcBorders>
            <w:shd w:val="clear" w:color="auto" w:fill="auto"/>
            <w:noWrap/>
          </w:tcPr>
          <w:p w14:paraId="36DE954D" w14:textId="69095CF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0,56</w:t>
            </w:r>
          </w:p>
        </w:tc>
        <w:tc>
          <w:tcPr>
            <w:tcW w:w="992" w:type="dxa"/>
            <w:tcBorders>
              <w:top w:val="nil"/>
              <w:left w:val="nil"/>
              <w:bottom w:val="single" w:sz="4" w:space="0" w:color="auto"/>
              <w:right w:val="single" w:sz="4" w:space="0" w:color="auto"/>
            </w:tcBorders>
            <w:shd w:val="clear" w:color="auto" w:fill="auto"/>
            <w:noWrap/>
          </w:tcPr>
          <w:p w14:paraId="14128CE8" w14:textId="273F98E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0,44</w:t>
            </w:r>
          </w:p>
        </w:tc>
      </w:tr>
      <w:tr w:rsidR="00106B2F" w:rsidRPr="00106B2F" w14:paraId="5140BD67"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151106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SE-N_13</w:t>
            </w:r>
          </w:p>
        </w:tc>
        <w:tc>
          <w:tcPr>
            <w:tcW w:w="5103" w:type="dxa"/>
            <w:tcBorders>
              <w:top w:val="nil"/>
              <w:left w:val="nil"/>
              <w:bottom w:val="single" w:sz="4" w:space="0" w:color="auto"/>
              <w:right w:val="single" w:sz="4" w:space="0" w:color="auto"/>
            </w:tcBorders>
            <w:shd w:val="clear" w:color="auto" w:fill="auto"/>
            <w:noWrap/>
            <w:vAlign w:val="bottom"/>
            <w:hideMark/>
          </w:tcPr>
          <w:p w14:paraId="4DEE299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Chiloe</w:t>
            </w:r>
          </w:p>
        </w:tc>
        <w:tc>
          <w:tcPr>
            <w:tcW w:w="992" w:type="dxa"/>
            <w:tcBorders>
              <w:top w:val="nil"/>
              <w:left w:val="nil"/>
              <w:bottom w:val="single" w:sz="4" w:space="0" w:color="auto"/>
              <w:right w:val="single" w:sz="4" w:space="0" w:color="auto"/>
            </w:tcBorders>
            <w:shd w:val="clear" w:color="auto" w:fill="auto"/>
            <w:noWrap/>
          </w:tcPr>
          <w:p w14:paraId="44BD485D" w14:textId="4DD928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0,50</w:t>
            </w:r>
          </w:p>
        </w:tc>
        <w:tc>
          <w:tcPr>
            <w:tcW w:w="851" w:type="dxa"/>
            <w:tcBorders>
              <w:top w:val="nil"/>
              <w:left w:val="nil"/>
              <w:bottom w:val="single" w:sz="4" w:space="0" w:color="auto"/>
              <w:right w:val="single" w:sz="4" w:space="0" w:color="auto"/>
            </w:tcBorders>
            <w:shd w:val="clear" w:color="auto" w:fill="auto"/>
            <w:noWrap/>
          </w:tcPr>
          <w:p w14:paraId="2C8DE377" w14:textId="1EF9C05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0,50</w:t>
            </w:r>
          </w:p>
        </w:tc>
        <w:tc>
          <w:tcPr>
            <w:tcW w:w="992" w:type="dxa"/>
            <w:tcBorders>
              <w:top w:val="nil"/>
              <w:left w:val="nil"/>
              <w:bottom w:val="single" w:sz="4" w:space="0" w:color="auto"/>
              <w:right w:val="single" w:sz="4" w:space="0" w:color="auto"/>
            </w:tcBorders>
            <w:shd w:val="clear" w:color="auto" w:fill="auto"/>
            <w:noWrap/>
          </w:tcPr>
          <w:p w14:paraId="5A5C113D" w14:textId="6E53FD5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0,61</w:t>
            </w:r>
          </w:p>
        </w:tc>
        <w:tc>
          <w:tcPr>
            <w:tcW w:w="992" w:type="dxa"/>
            <w:tcBorders>
              <w:top w:val="nil"/>
              <w:left w:val="nil"/>
              <w:bottom w:val="single" w:sz="4" w:space="0" w:color="auto"/>
              <w:right w:val="single" w:sz="4" w:space="0" w:color="auto"/>
            </w:tcBorders>
            <w:shd w:val="clear" w:color="auto" w:fill="auto"/>
            <w:noWrap/>
          </w:tcPr>
          <w:p w14:paraId="190E362B" w14:textId="272A5CC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0,39</w:t>
            </w:r>
          </w:p>
        </w:tc>
      </w:tr>
      <w:tr w:rsidR="00106B2F" w:rsidRPr="00106B2F" w14:paraId="454D8F4D"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BAEF19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SE-N_14</w:t>
            </w:r>
          </w:p>
        </w:tc>
        <w:tc>
          <w:tcPr>
            <w:tcW w:w="5103" w:type="dxa"/>
            <w:tcBorders>
              <w:top w:val="nil"/>
              <w:left w:val="nil"/>
              <w:bottom w:val="single" w:sz="4" w:space="0" w:color="auto"/>
              <w:right w:val="single" w:sz="4" w:space="0" w:color="auto"/>
            </w:tcBorders>
            <w:shd w:val="clear" w:color="auto" w:fill="auto"/>
            <w:noWrap/>
            <w:vAlign w:val="bottom"/>
            <w:hideMark/>
          </w:tcPr>
          <w:p w14:paraId="4176C0D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Chuquicamata</w:t>
            </w:r>
          </w:p>
        </w:tc>
        <w:tc>
          <w:tcPr>
            <w:tcW w:w="992" w:type="dxa"/>
            <w:tcBorders>
              <w:top w:val="nil"/>
              <w:left w:val="nil"/>
              <w:bottom w:val="single" w:sz="4" w:space="0" w:color="auto"/>
              <w:right w:val="single" w:sz="4" w:space="0" w:color="auto"/>
            </w:tcBorders>
            <w:shd w:val="clear" w:color="auto" w:fill="auto"/>
            <w:noWrap/>
          </w:tcPr>
          <w:p w14:paraId="03CFC3AF" w14:textId="1F3703D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0,18</w:t>
            </w:r>
          </w:p>
        </w:tc>
        <w:tc>
          <w:tcPr>
            <w:tcW w:w="851" w:type="dxa"/>
            <w:tcBorders>
              <w:top w:val="nil"/>
              <w:left w:val="nil"/>
              <w:bottom w:val="single" w:sz="4" w:space="0" w:color="auto"/>
              <w:right w:val="single" w:sz="4" w:space="0" w:color="auto"/>
            </w:tcBorders>
            <w:shd w:val="clear" w:color="auto" w:fill="auto"/>
            <w:noWrap/>
          </w:tcPr>
          <w:p w14:paraId="5492B510" w14:textId="1C9BCB2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0,82</w:t>
            </w:r>
          </w:p>
        </w:tc>
        <w:tc>
          <w:tcPr>
            <w:tcW w:w="992" w:type="dxa"/>
            <w:tcBorders>
              <w:top w:val="nil"/>
              <w:left w:val="nil"/>
              <w:bottom w:val="single" w:sz="4" w:space="0" w:color="auto"/>
              <w:right w:val="single" w:sz="4" w:space="0" w:color="auto"/>
            </w:tcBorders>
            <w:shd w:val="clear" w:color="auto" w:fill="auto"/>
            <w:noWrap/>
          </w:tcPr>
          <w:p w14:paraId="1B391243" w14:textId="1FCDE59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0,25</w:t>
            </w:r>
          </w:p>
        </w:tc>
        <w:tc>
          <w:tcPr>
            <w:tcW w:w="992" w:type="dxa"/>
            <w:tcBorders>
              <w:top w:val="nil"/>
              <w:left w:val="nil"/>
              <w:bottom w:val="single" w:sz="4" w:space="0" w:color="auto"/>
              <w:right w:val="single" w:sz="4" w:space="0" w:color="auto"/>
            </w:tcBorders>
            <w:shd w:val="clear" w:color="auto" w:fill="auto"/>
            <w:noWrap/>
          </w:tcPr>
          <w:p w14:paraId="777E59F2" w14:textId="38EDE22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0,75</w:t>
            </w:r>
          </w:p>
        </w:tc>
      </w:tr>
      <w:tr w:rsidR="00106B2F" w:rsidRPr="00106B2F" w14:paraId="72D4D224"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B7F568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SE-N_15</w:t>
            </w:r>
          </w:p>
        </w:tc>
        <w:tc>
          <w:tcPr>
            <w:tcW w:w="5103" w:type="dxa"/>
            <w:tcBorders>
              <w:top w:val="nil"/>
              <w:left w:val="nil"/>
              <w:bottom w:val="single" w:sz="4" w:space="0" w:color="auto"/>
              <w:right w:val="single" w:sz="4" w:space="0" w:color="auto"/>
            </w:tcBorders>
            <w:shd w:val="clear" w:color="auto" w:fill="auto"/>
            <w:noWrap/>
            <w:vAlign w:val="bottom"/>
            <w:hideMark/>
          </w:tcPr>
          <w:p w14:paraId="6F26BBC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Ciruelos</w:t>
            </w:r>
          </w:p>
        </w:tc>
        <w:tc>
          <w:tcPr>
            <w:tcW w:w="992" w:type="dxa"/>
            <w:tcBorders>
              <w:top w:val="nil"/>
              <w:left w:val="nil"/>
              <w:bottom w:val="single" w:sz="4" w:space="0" w:color="auto"/>
              <w:right w:val="single" w:sz="4" w:space="0" w:color="auto"/>
            </w:tcBorders>
            <w:shd w:val="clear" w:color="auto" w:fill="auto"/>
            <w:noWrap/>
          </w:tcPr>
          <w:p w14:paraId="3BFD9EA0" w14:textId="190A5F5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0,32</w:t>
            </w:r>
          </w:p>
        </w:tc>
        <w:tc>
          <w:tcPr>
            <w:tcW w:w="851" w:type="dxa"/>
            <w:tcBorders>
              <w:top w:val="nil"/>
              <w:left w:val="nil"/>
              <w:bottom w:val="single" w:sz="4" w:space="0" w:color="auto"/>
              <w:right w:val="single" w:sz="4" w:space="0" w:color="auto"/>
            </w:tcBorders>
            <w:shd w:val="clear" w:color="auto" w:fill="auto"/>
            <w:noWrap/>
          </w:tcPr>
          <w:p w14:paraId="0BBB2CEE" w14:textId="3DF77C2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0,68</w:t>
            </w:r>
          </w:p>
        </w:tc>
        <w:tc>
          <w:tcPr>
            <w:tcW w:w="992" w:type="dxa"/>
            <w:tcBorders>
              <w:top w:val="nil"/>
              <w:left w:val="nil"/>
              <w:bottom w:val="single" w:sz="4" w:space="0" w:color="auto"/>
              <w:right w:val="single" w:sz="4" w:space="0" w:color="auto"/>
            </w:tcBorders>
            <w:shd w:val="clear" w:color="auto" w:fill="auto"/>
            <w:noWrap/>
          </w:tcPr>
          <w:p w14:paraId="26B760E8" w14:textId="5A62697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640D71D5" w14:textId="0C75B64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0,53</w:t>
            </w:r>
          </w:p>
        </w:tc>
      </w:tr>
      <w:tr w:rsidR="00106B2F" w:rsidRPr="00106B2F" w14:paraId="039B49FD"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98EA02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SE-N_16</w:t>
            </w:r>
          </w:p>
        </w:tc>
        <w:tc>
          <w:tcPr>
            <w:tcW w:w="5103" w:type="dxa"/>
            <w:tcBorders>
              <w:top w:val="nil"/>
              <w:left w:val="nil"/>
              <w:bottom w:val="single" w:sz="4" w:space="0" w:color="auto"/>
              <w:right w:val="single" w:sz="4" w:space="0" w:color="auto"/>
            </w:tcBorders>
            <w:shd w:val="clear" w:color="auto" w:fill="auto"/>
            <w:noWrap/>
            <w:vAlign w:val="bottom"/>
            <w:hideMark/>
          </w:tcPr>
          <w:p w14:paraId="1FA2890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Colbun</w:t>
            </w:r>
          </w:p>
        </w:tc>
        <w:tc>
          <w:tcPr>
            <w:tcW w:w="992" w:type="dxa"/>
            <w:tcBorders>
              <w:top w:val="nil"/>
              <w:left w:val="nil"/>
              <w:bottom w:val="single" w:sz="4" w:space="0" w:color="auto"/>
              <w:right w:val="single" w:sz="4" w:space="0" w:color="auto"/>
            </w:tcBorders>
            <w:shd w:val="clear" w:color="auto" w:fill="auto"/>
            <w:noWrap/>
          </w:tcPr>
          <w:p w14:paraId="396FA65D" w14:textId="1ADEA1C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0,34</w:t>
            </w:r>
          </w:p>
        </w:tc>
        <w:tc>
          <w:tcPr>
            <w:tcW w:w="851" w:type="dxa"/>
            <w:tcBorders>
              <w:top w:val="nil"/>
              <w:left w:val="nil"/>
              <w:bottom w:val="single" w:sz="4" w:space="0" w:color="auto"/>
              <w:right w:val="single" w:sz="4" w:space="0" w:color="auto"/>
            </w:tcBorders>
            <w:shd w:val="clear" w:color="auto" w:fill="auto"/>
            <w:noWrap/>
          </w:tcPr>
          <w:p w14:paraId="0B4E08F1" w14:textId="69F11CE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0,66</w:t>
            </w:r>
          </w:p>
        </w:tc>
        <w:tc>
          <w:tcPr>
            <w:tcW w:w="992" w:type="dxa"/>
            <w:tcBorders>
              <w:top w:val="nil"/>
              <w:left w:val="nil"/>
              <w:bottom w:val="single" w:sz="4" w:space="0" w:color="auto"/>
              <w:right w:val="single" w:sz="4" w:space="0" w:color="auto"/>
            </w:tcBorders>
            <w:shd w:val="clear" w:color="auto" w:fill="auto"/>
            <w:noWrap/>
          </w:tcPr>
          <w:p w14:paraId="4BB9C025" w14:textId="61EF441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300D26EE" w14:textId="3314866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0,51</w:t>
            </w:r>
          </w:p>
        </w:tc>
      </w:tr>
      <w:tr w:rsidR="00106B2F" w:rsidRPr="00106B2F" w14:paraId="1455B534"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77213F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SE-N_17</w:t>
            </w:r>
          </w:p>
        </w:tc>
        <w:tc>
          <w:tcPr>
            <w:tcW w:w="5103" w:type="dxa"/>
            <w:tcBorders>
              <w:top w:val="nil"/>
              <w:left w:val="nil"/>
              <w:bottom w:val="single" w:sz="4" w:space="0" w:color="auto"/>
              <w:right w:val="single" w:sz="4" w:space="0" w:color="auto"/>
            </w:tcBorders>
            <w:shd w:val="clear" w:color="auto" w:fill="auto"/>
            <w:noWrap/>
            <w:vAlign w:val="bottom"/>
            <w:hideMark/>
          </w:tcPr>
          <w:p w14:paraId="6E761A7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Concepcion</w:t>
            </w:r>
          </w:p>
        </w:tc>
        <w:tc>
          <w:tcPr>
            <w:tcW w:w="992" w:type="dxa"/>
            <w:tcBorders>
              <w:top w:val="nil"/>
              <w:left w:val="nil"/>
              <w:bottom w:val="single" w:sz="4" w:space="0" w:color="auto"/>
              <w:right w:val="single" w:sz="4" w:space="0" w:color="auto"/>
            </w:tcBorders>
            <w:shd w:val="clear" w:color="auto" w:fill="auto"/>
            <w:noWrap/>
          </w:tcPr>
          <w:p w14:paraId="43E238BF" w14:textId="3574883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c>
          <w:tcPr>
            <w:tcW w:w="851" w:type="dxa"/>
            <w:tcBorders>
              <w:top w:val="nil"/>
              <w:left w:val="nil"/>
              <w:bottom w:val="single" w:sz="4" w:space="0" w:color="auto"/>
              <w:right w:val="single" w:sz="4" w:space="0" w:color="auto"/>
            </w:tcBorders>
            <w:shd w:val="clear" w:color="auto" w:fill="auto"/>
            <w:noWrap/>
          </w:tcPr>
          <w:p w14:paraId="58A7D86B" w14:textId="529A704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3A266354" w14:textId="09D367B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6DBD5AEA" w14:textId="0E3F536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0,37</w:t>
            </w:r>
          </w:p>
        </w:tc>
      </w:tr>
      <w:tr w:rsidR="00106B2F" w:rsidRPr="00106B2F" w14:paraId="68C66A1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715387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SE-N_18</w:t>
            </w:r>
          </w:p>
        </w:tc>
        <w:tc>
          <w:tcPr>
            <w:tcW w:w="5103" w:type="dxa"/>
            <w:tcBorders>
              <w:top w:val="nil"/>
              <w:left w:val="nil"/>
              <w:bottom w:val="single" w:sz="4" w:space="0" w:color="auto"/>
              <w:right w:val="single" w:sz="4" w:space="0" w:color="auto"/>
            </w:tcBorders>
            <w:shd w:val="clear" w:color="auto" w:fill="auto"/>
            <w:noWrap/>
            <w:vAlign w:val="bottom"/>
            <w:hideMark/>
          </w:tcPr>
          <w:p w14:paraId="442456B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Condores</w:t>
            </w:r>
          </w:p>
        </w:tc>
        <w:tc>
          <w:tcPr>
            <w:tcW w:w="992" w:type="dxa"/>
            <w:tcBorders>
              <w:top w:val="nil"/>
              <w:left w:val="nil"/>
              <w:bottom w:val="single" w:sz="4" w:space="0" w:color="auto"/>
              <w:right w:val="single" w:sz="4" w:space="0" w:color="auto"/>
            </w:tcBorders>
            <w:shd w:val="clear" w:color="auto" w:fill="auto"/>
            <w:noWrap/>
          </w:tcPr>
          <w:p w14:paraId="411FA5BD" w14:textId="2E6EF0B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0,69</w:t>
            </w:r>
          </w:p>
        </w:tc>
        <w:tc>
          <w:tcPr>
            <w:tcW w:w="851" w:type="dxa"/>
            <w:tcBorders>
              <w:top w:val="nil"/>
              <w:left w:val="nil"/>
              <w:bottom w:val="single" w:sz="4" w:space="0" w:color="auto"/>
              <w:right w:val="single" w:sz="4" w:space="0" w:color="auto"/>
            </w:tcBorders>
            <w:shd w:val="clear" w:color="auto" w:fill="auto"/>
            <w:noWrap/>
          </w:tcPr>
          <w:p w14:paraId="762615C7" w14:textId="711601C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0,31</w:t>
            </w:r>
          </w:p>
        </w:tc>
        <w:tc>
          <w:tcPr>
            <w:tcW w:w="992" w:type="dxa"/>
            <w:tcBorders>
              <w:top w:val="nil"/>
              <w:left w:val="nil"/>
              <w:bottom w:val="single" w:sz="4" w:space="0" w:color="auto"/>
              <w:right w:val="single" w:sz="4" w:space="0" w:color="auto"/>
            </w:tcBorders>
            <w:shd w:val="clear" w:color="auto" w:fill="auto"/>
            <w:noWrap/>
          </w:tcPr>
          <w:p w14:paraId="2E1E767E" w14:textId="744E68C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0,78</w:t>
            </w:r>
          </w:p>
        </w:tc>
        <w:tc>
          <w:tcPr>
            <w:tcW w:w="992" w:type="dxa"/>
            <w:tcBorders>
              <w:top w:val="nil"/>
              <w:left w:val="nil"/>
              <w:bottom w:val="single" w:sz="4" w:space="0" w:color="auto"/>
              <w:right w:val="single" w:sz="4" w:space="0" w:color="auto"/>
            </w:tcBorders>
            <w:shd w:val="clear" w:color="auto" w:fill="auto"/>
            <w:noWrap/>
          </w:tcPr>
          <w:p w14:paraId="61B49BB5" w14:textId="7F16C3D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0,22</w:t>
            </w:r>
          </w:p>
        </w:tc>
      </w:tr>
      <w:tr w:rsidR="00106B2F" w:rsidRPr="00106B2F" w14:paraId="5A6C72CC"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EE0A71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SE-N_19</w:t>
            </w:r>
          </w:p>
        </w:tc>
        <w:tc>
          <w:tcPr>
            <w:tcW w:w="5103" w:type="dxa"/>
            <w:tcBorders>
              <w:top w:val="nil"/>
              <w:left w:val="nil"/>
              <w:bottom w:val="single" w:sz="4" w:space="0" w:color="auto"/>
              <w:right w:val="single" w:sz="4" w:space="0" w:color="auto"/>
            </w:tcBorders>
            <w:shd w:val="clear" w:color="auto" w:fill="auto"/>
            <w:noWrap/>
            <w:vAlign w:val="bottom"/>
            <w:hideMark/>
          </w:tcPr>
          <w:p w14:paraId="2B76A95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Crucero</w:t>
            </w:r>
          </w:p>
        </w:tc>
        <w:tc>
          <w:tcPr>
            <w:tcW w:w="992" w:type="dxa"/>
            <w:tcBorders>
              <w:top w:val="nil"/>
              <w:left w:val="nil"/>
              <w:bottom w:val="single" w:sz="4" w:space="0" w:color="auto"/>
              <w:right w:val="single" w:sz="4" w:space="0" w:color="auto"/>
            </w:tcBorders>
            <w:shd w:val="clear" w:color="auto" w:fill="auto"/>
            <w:noWrap/>
          </w:tcPr>
          <w:p w14:paraId="024B7136" w14:textId="2764847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0,41</w:t>
            </w:r>
          </w:p>
        </w:tc>
        <w:tc>
          <w:tcPr>
            <w:tcW w:w="851" w:type="dxa"/>
            <w:tcBorders>
              <w:top w:val="nil"/>
              <w:left w:val="nil"/>
              <w:bottom w:val="single" w:sz="4" w:space="0" w:color="auto"/>
              <w:right w:val="single" w:sz="4" w:space="0" w:color="auto"/>
            </w:tcBorders>
            <w:shd w:val="clear" w:color="auto" w:fill="auto"/>
            <w:noWrap/>
          </w:tcPr>
          <w:p w14:paraId="2342C8BC" w14:textId="563BD12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0,59</w:t>
            </w:r>
          </w:p>
        </w:tc>
        <w:tc>
          <w:tcPr>
            <w:tcW w:w="992" w:type="dxa"/>
            <w:tcBorders>
              <w:top w:val="nil"/>
              <w:left w:val="nil"/>
              <w:bottom w:val="single" w:sz="4" w:space="0" w:color="auto"/>
              <w:right w:val="single" w:sz="4" w:space="0" w:color="auto"/>
            </w:tcBorders>
            <w:shd w:val="clear" w:color="auto" w:fill="auto"/>
            <w:noWrap/>
          </w:tcPr>
          <w:p w14:paraId="541B9CE7" w14:textId="4FD4B1C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0,49</w:t>
            </w:r>
          </w:p>
        </w:tc>
        <w:tc>
          <w:tcPr>
            <w:tcW w:w="992" w:type="dxa"/>
            <w:tcBorders>
              <w:top w:val="nil"/>
              <w:left w:val="nil"/>
              <w:bottom w:val="single" w:sz="4" w:space="0" w:color="auto"/>
              <w:right w:val="single" w:sz="4" w:space="0" w:color="auto"/>
            </w:tcBorders>
            <w:shd w:val="clear" w:color="auto" w:fill="auto"/>
            <w:noWrap/>
          </w:tcPr>
          <w:p w14:paraId="425F3B23" w14:textId="2DB4A72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0,51</w:t>
            </w:r>
          </w:p>
        </w:tc>
      </w:tr>
      <w:tr w:rsidR="00106B2F" w:rsidRPr="00106B2F" w14:paraId="0FB8E23B"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D7CE81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SE-N_20</w:t>
            </w:r>
          </w:p>
        </w:tc>
        <w:tc>
          <w:tcPr>
            <w:tcW w:w="5103" w:type="dxa"/>
            <w:tcBorders>
              <w:top w:val="nil"/>
              <w:left w:val="nil"/>
              <w:bottom w:val="single" w:sz="4" w:space="0" w:color="auto"/>
              <w:right w:val="single" w:sz="4" w:space="0" w:color="auto"/>
            </w:tcBorders>
            <w:shd w:val="clear" w:color="auto" w:fill="auto"/>
            <w:noWrap/>
            <w:vAlign w:val="bottom"/>
            <w:hideMark/>
          </w:tcPr>
          <w:p w14:paraId="0BE03DA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Cumbre</w:t>
            </w:r>
          </w:p>
        </w:tc>
        <w:tc>
          <w:tcPr>
            <w:tcW w:w="992" w:type="dxa"/>
            <w:tcBorders>
              <w:top w:val="nil"/>
              <w:left w:val="nil"/>
              <w:bottom w:val="single" w:sz="4" w:space="0" w:color="auto"/>
              <w:right w:val="single" w:sz="4" w:space="0" w:color="auto"/>
            </w:tcBorders>
            <w:shd w:val="clear" w:color="auto" w:fill="auto"/>
            <w:noWrap/>
          </w:tcPr>
          <w:p w14:paraId="34AA0935" w14:textId="067DAC8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0,56</w:t>
            </w:r>
          </w:p>
        </w:tc>
        <w:tc>
          <w:tcPr>
            <w:tcW w:w="851" w:type="dxa"/>
            <w:tcBorders>
              <w:top w:val="nil"/>
              <w:left w:val="nil"/>
              <w:bottom w:val="single" w:sz="4" w:space="0" w:color="auto"/>
              <w:right w:val="single" w:sz="4" w:space="0" w:color="auto"/>
            </w:tcBorders>
            <w:shd w:val="clear" w:color="auto" w:fill="auto"/>
            <w:noWrap/>
          </w:tcPr>
          <w:p w14:paraId="7A30126A" w14:textId="1E4FBE3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0,44</w:t>
            </w:r>
          </w:p>
        </w:tc>
        <w:tc>
          <w:tcPr>
            <w:tcW w:w="992" w:type="dxa"/>
            <w:tcBorders>
              <w:top w:val="nil"/>
              <w:left w:val="nil"/>
              <w:bottom w:val="single" w:sz="4" w:space="0" w:color="auto"/>
              <w:right w:val="single" w:sz="4" w:space="0" w:color="auto"/>
            </w:tcBorders>
            <w:shd w:val="clear" w:color="auto" w:fill="auto"/>
            <w:noWrap/>
          </w:tcPr>
          <w:p w14:paraId="213F5662" w14:textId="743FEB6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0,66</w:t>
            </w:r>
          </w:p>
        </w:tc>
        <w:tc>
          <w:tcPr>
            <w:tcW w:w="992" w:type="dxa"/>
            <w:tcBorders>
              <w:top w:val="nil"/>
              <w:left w:val="nil"/>
              <w:bottom w:val="single" w:sz="4" w:space="0" w:color="auto"/>
              <w:right w:val="single" w:sz="4" w:space="0" w:color="auto"/>
            </w:tcBorders>
            <w:shd w:val="clear" w:color="auto" w:fill="auto"/>
            <w:noWrap/>
          </w:tcPr>
          <w:p w14:paraId="15E1BA68" w14:textId="533803C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0,34</w:t>
            </w:r>
          </w:p>
        </w:tc>
      </w:tr>
      <w:tr w:rsidR="00106B2F" w:rsidRPr="00106B2F" w14:paraId="2778398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2CB989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SE-N_21</w:t>
            </w:r>
          </w:p>
        </w:tc>
        <w:tc>
          <w:tcPr>
            <w:tcW w:w="5103" w:type="dxa"/>
            <w:tcBorders>
              <w:top w:val="nil"/>
              <w:left w:val="nil"/>
              <w:bottom w:val="single" w:sz="4" w:space="0" w:color="auto"/>
              <w:right w:val="single" w:sz="4" w:space="0" w:color="auto"/>
            </w:tcBorders>
            <w:shd w:val="clear" w:color="auto" w:fill="auto"/>
            <w:noWrap/>
            <w:vAlign w:val="bottom"/>
            <w:hideMark/>
          </w:tcPr>
          <w:p w14:paraId="17AAE58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Diego de Almagro</w:t>
            </w:r>
          </w:p>
        </w:tc>
        <w:tc>
          <w:tcPr>
            <w:tcW w:w="992" w:type="dxa"/>
            <w:tcBorders>
              <w:top w:val="nil"/>
              <w:left w:val="nil"/>
              <w:bottom w:val="single" w:sz="4" w:space="0" w:color="auto"/>
              <w:right w:val="single" w:sz="4" w:space="0" w:color="auto"/>
            </w:tcBorders>
            <w:shd w:val="clear" w:color="auto" w:fill="auto"/>
            <w:noWrap/>
          </w:tcPr>
          <w:p w14:paraId="123436C0" w14:textId="26F5A5E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0,09</w:t>
            </w:r>
          </w:p>
        </w:tc>
        <w:tc>
          <w:tcPr>
            <w:tcW w:w="851" w:type="dxa"/>
            <w:tcBorders>
              <w:top w:val="nil"/>
              <w:left w:val="nil"/>
              <w:bottom w:val="single" w:sz="4" w:space="0" w:color="auto"/>
              <w:right w:val="single" w:sz="4" w:space="0" w:color="auto"/>
            </w:tcBorders>
            <w:shd w:val="clear" w:color="auto" w:fill="auto"/>
            <w:noWrap/>
          </w:tcPr>
          <w:p w14:paraId="78251AE5" w14:textId="38EAB37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0,91</w:t>
            </w:r>
          </w:p>
        </w:tc>
        <w:tc>
          <w:tcPr>
            <w:tcW w:w="992" w:type="dxa"/>
            <w:tcBorders>
              <w:top w:val="nil"/>
              <w:left w:val="nil"/>
              <w:bottom w:val="single" w:sz="4" w:space="0" w:color="auto"/>
              <w:right w:val="single" w:sz="4" w:space="0" w:color="auto"/>
            </w:tcBorders>
            <w:shd w:val="clear" w:color="auto" w:fill="auto"/>
            <w:noWrap/>
          </w:tcPr>
          <w:p w14:paraId="4285B768" w14:textId="1EF38B3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0,18</w:t>
            </w:r>
          </w:p>
        </w:tc>
        <w:tc>
          <w:tcPr>
            <w:tcW w:w="992" w:type="dxa"/>
            <w:tcBorders>
              <w:top w:val="nil"/>
              <w:left w:val="nil"/>
              <w:bottom w:val="single" w:sz="4" w:space="0" w:color="auto"/>
              <w:right w:val="single" w:sz="4" w:space="0" w:color="auto"/>
            </w:tcBorders>
            <w:shd w:val="clear" w:color="auto" w:fill="auto"/>
            <w:noWrap/>
          </w:tcPr>
          <w:p w14:paraId="1ED9E022" w14:textId="00306C3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0,82</w:t>
            </w:r>
          </w:p>
        </w:tc>
      </w:tr>
      <w:tr w:rsidR="00106B2F" w:rsidRPr="00106B2F" w14:paraId="3286CEB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A443E0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SE-N_22</w:t>
            </w:r>
          </w:p>
        </w:tc>
        <w:tc>
          <w:tcPr>
            <w:tcW w:w="5103" w:type="dxa"/>
            <w:tcBorders>
              <w:top w:val="nil"/>
              <w:left w:val="nil"/>
              <w:bottom w:val="single" w:sz="4" w:space="0" w:color="auto"/>
              <w:right w:val="single" w:sz="4" w:space="0" w:color="auto"/>
            </w:tcBorders>
            <w:shd w:val="clear" w:color="auto" w:fill="auto"/>
            <w:noWrap/>
            <w:vAlign w:val="bottom"/>
            <w:hideMark/>
          </w:tcPr>
          <w:p w14:paraId="370C2C5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Don Goyo</w:t>
            </w:r>
          </w:p>
        </w:tc>
        <w:tc>
          <w:tcPr>
            <w:tcW w:w="992" w:type="dxa"/>
            <w:tcBorders>
              <w:top w:val="nil"/>
              <w:left w:val="nil"/>
              <w:bottom w:val="single" w:sz="4" w:space="0" w:color="auto"/>
              <w:right w:val="single" w:sz="4" w:space="0" w:color="auto"/>
            </w:tcBorders>
            <w:shd w:val="clear" w:color="auto" w:fill="auto"/>
            <w:noWrap/>
          </w:tcPr>
          <w:p w14:paraId="690D0BD8" w14:textId="5CB3318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0,20</w:t>
            </w:r>
          </w:p>
        </w:tc>
        <w:tc>
          <w:tcPr>
            <w:tcW w:w="851" w:type="dxa"/>
            <w:tcBorders>
              <w:top w:val="nil"/>
              <w:left w:val="nil"/>
              <w:bottom w:val="single" w:sz="4" w:space="0" w:color="auto"/>
              <w:right w:val="single" w:sz="4" w:space="0" w:color="auto"/>
            </w:tcBorders>
            <w:shd w:val="clear" w:color="auto" w:fill="auto"/>
            <w:noWrap/>
          </w:tcPr>
          <w:p w14:paraId="348C574E" w14:textId="6180A5F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0,80</w:t>
            </w:r>
          </w:p>
        </w:tc>
        <w:tc>
          <w:tcPr>
            <w:tcW w:w="992" w:type="dxa"/>
            <w:tcBorders>
              <w:top w:val="nil"/>
              <w:left w:val="nil"/>
              <w:bottom w:val="single" w:sz="4" w:space="0" w:color="auto"/>
              <w:right w:val="single" w:sz="4" w:space="0" w:color="auto"/>
            </w:tcBorders>
            <w:shd w:val="clear" w:color="auto" w:fill="auto"/>
            <w:noWrap/>
          </w:tcPr>
          <w:p w14:paraId="06FE0C27" w14:textId="1F6C08B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0,23</w:t>
            </w:r>
          </w:p>
        </w:tc>
        <w:tc>
          <w:tcPr>
            <w:tcW w:w="992" w:type="dxa"/>
            <w:tcBorders>
              <w:top w:val="nil"/>
              <w:left w:val="nil"/>
              <w:bottom w:val="single" w:sz="4" w:space="0" w:color="auto"/>
              <w:right w:val="single" w:sz="4" w:space="0" w:color="auto"/>
            </w:tcBorders>
            <w:shd w:val="clear" w:color="auto" w:fill="auto"/>
            <w:noWrap/>
          </w:tcPr>
          <w:p w14:paraId="5B24EC37" w14:textId="0E97245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0,77</w:t>
            </w:r>
          </w:p>
        </w:tc>
      </w:tr>
      <w:tr w:rsidR="00106B2F" w:rsidRPr="00106B2F" w14:paraId="3BD7241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B579C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SE-N_23</w:t>
            </w:r>
          </w:p>
        </w:tc>
        <w:tc>
          <w:tcPr>
            <w:tcW w:w="5103" w:type="dxa"/>
            <w:tcBorders>
              <w:top w:val="nil"/>
              <w:left w:val="nil"/>
              <w:bottom w:val="single" w:sz="4" w:space="0" w:color="auto"/>
              <w:right w:val="single" w:sz="4" w:space="0" w:color="auto"/>
            </w:tcBorders>
            <w:shd w:val="clear" w:color="auto" w:fill="auto"/>
            <w:noWrap/>
            <w:vAlign w:val="bottom"/>
            <w:hideMark/>
          </w:tcPr>
          <w:p w14:paraId="650CC63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Don Hector</w:t>
            </w:r>
          </w:p>
        </w:tc>
        <w:tc>
          <w:tcPr>
            <w:tcW w:w="992" w:type="dxa"/>
            <w:tcBorders>
              <w:top w:val="nil"/>
              <w:left w:val="nil"/>
              <w:bottom w:val="single" w:sz="4" w:space="0" w:color="auto"/>
              <w:right w:val="single" w:sz="4" w:space="0" w:color="auto"/>
            </w:tcBorders>
            <w:shd w:val="clear" w:color="auto" w:fill="auto"/>
            <w:noWrap/>
          </w:tcPr>
          <w:p w14:paraId="361C20FD" w14:textId="575A82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0,33</w:t>
            </w:r>
          </w:p>
        </w:tc>
        <w:tc>
          <w:tcPr>
            <w:tcW w:w="851" w:type="dxa"/>
            <w:tcBorders>
              <w:top w:val="nil"/>
              <w:left w:val="nil"/>
              <w:bottom w:val="single" w:sz="4" w:space="0" w:color="auto"/>
              <w:right w:val="single" w:sz="4" w:space="0" w:color="auto"/>
            </w:tcBorders>
            <w:shd w:val="clear" w:color="auto" w:fill="auto"/>
            <w:noWrap/>
          </w:tcPr>
          <w:p w14:paraId="702A65EB" w14:textId="465371C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0,67</w:t>
            </w:r>
          </w:p>
        </w:tc>
        <w:tc>
          <w:tcPr>
            <w:tcW w:w="992" w:type="dxa"/>
            <w:tcBorders>
              <w:top w:val="nil"/>
              <w:left w:val="nil"/>
              <w:bottom w:val="single" w:sz="4" w:space="0" w:color="auto"/>
              <w:right w:val="single" w:sz="4" w:space="0" w:color="auto"/>
            </w:tcBorders>
            <w:shd w:val="clear" w:color="auto" w:fill="auto"/>
            <w:noWrap/>
          </w:tcPr>
          <w:p w14:paraId="2594EAAC" w14:textId="0A41883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0,40</w:t>
            </w:r>
          </w:p>
        </w:tc>
        <w:tc>
          <w:tcPr>
            <w:tcW w:w="992" w:type="dxa"/>
            <w:tcBorders>
              <w:top w:val="nil"/>
              <w:left w:val="nil"/>
              <w:bottom w:val="single" w:sz="4" w:space="0" w:color="auto"/>
              <w:right w:val="single" w:sz="4" w:space="0" w:color="auto"/>
            </w:tcBorders>
            <w:shd w:val="clear" w:color="auto" w:fill="auto"/>
            <w:noWrap/>
          </w:tcPr>
          <w:p w14:paraId="5CFB9D87" w14:textId="0F14399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0,60</w:t>
            </w:r>
          </w:p>
        </w:tc>
      </w:tr>
      <w:tr w:rsidR="00106B2F" w:rsidRPr="00106B2F" w14:paraId="1DE36F91"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90CE0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SE-N_24</w:t>
            </w:r>
          </w:p>
        </w:tc>
        <w:tc>
          <w:tcPr>
            <w:tcW w:w="5103" w:type="dxa"/>
            <w:tcBorders>
              <w:top w:val="nil"/>
              <w:left w:val="nil"/>
              <w:bottom w:val="single" w:sz="4" w:space="0" w:color="auto"/>
              <w:right w:val="single" w:sz="4" w:space="0" w:color="auto"/>
            </w:tcBorders>
            <w:shd w:val="clear" w:color="auto" w:fill="auto"/>
            <w:noWrap/>
            <w:vAlign w:val="bottom"/>
            <w:hideMark/>
          </w:tcPr>
          <w:p w14:paraId="193D323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Duqueco</w:t>
            </w:r>
          </w:p>
        </w:tc>
        <w:tc>
          <w:tcPr>
            <w:tcW w:w="992" w:type="dxa"/>
            <w:tcBorders>
              <w:top w:val="nil"/>
              <w:left w:val="nil"/>
              <w:bottom w:val="single" w:sz="4" w:space="0" w:color="auto"/>
              <w:right w:val="single" w:sz="4" w:space="0" w:color="auto"/>
            </w:tcBorders>
            <w:shd w:val="clear" w:color="auto" w:fill="auto"/>
            <w:noWrap/>
          </w:tcPr>
          <w:p w14:paraId="5BBD61D8" w14:textId="15F14C5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0,20</w:t>
            </w:r>
          </w:p>
        </w:tc>
        <w:tc>
          <w:tcPr>
            <w:tcW w:w="851" w:type="dxa"/>
            <w:tcBorders>
              <w:top w:val="nil"/>
              <w:left w:val="nil"/>
              <w:bottom w:val="single" w:sz="4" w:space="0" w:color="auto"/>
              <w:right w:val="single" w:sz="4" w:space="0" w:color="auto"/>
            </w:tcBorders>
            <w:shd w:val="clear" w:color="auto" w:fill="auto"/>
            <w:noWrap/>
          </w:tcPr>
          <w:p w14:paraId="0B5F75D6" w14:textId="650B59B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0,80</w:t>
            </w:r>
          </w:p>
        </w:tc>
        <w:tc>
          <w:tcPr>
            <w:tcW w:w="992" w:type="dxa"/>
            <w:tcBorders>
              <w:top w:val="nil"/>
              <w:left w:val="nil"/>
              <w:bottom w:val="single" w:sz="4" w:space="0" w:color="auto"/>
              <w:right w:val="single" w:sz="4" w:space="0" w:color="auto"/>
            </w:tcBorders>
            <w:shd w:val="clear" w:color="auto" w:fill="auto"/>
            <w:noWrap/>
          </w:tcPr>
          <w:p w14:paraId="68384877" w14:textId="7F7D715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0,24</w:t>
            </w:r>
          </w:p>
        </w:tc>
        <w:tc>
          <w:tcPr>
            <w:tcW w:w="992" w:type="dxa"/>
            <w:tcBorders>
              <w:top w:val="nil"/>
              <w:left w:val="nil"/>
              <w:bottom w:val="single" w:sz="4" w:space="0" w:color="auto"/>
              <w:right w:val="single" w:sz="4" w:space="0" w:color="auto"/>
            </w:tcBorders>
            <w:shd w:val="clear" w:color="auto" w:fill="auto"/>
            <w:noWrap/>
          </w:tcPr>
          <w:p w14:paraId="5240E023" w14:textId="0A72B2E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0,76</w:t>
            </w:r>
          </w:p>
        </w:tc>
      </w:tr>
      <w:tr w:rsidR="00106B2F" w:rsidRPr="00106B2F" w14:paraId="5573D44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93BC0C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SE-N_25</w:t>
            </w:r>
          </w:p>
        </w:tc>
        <w:tc>
          <w:tcPr>
            <w:tcW w:w="5103" w:type="dxa"/>
            <w:tcBorders>
              <w:top w:val="nil"/>
              <w:left w:val="nil"/>
              <w:bottom w:val="single" w:sz="4" w:space="0" w:color="auto"/>
              <w:right w:val="single" w:sz="4" w:space="0" w:color="auto"/>
            </w:tcBorders>
            <w:shd w:val="clear" w:color="auto" w:fill="auto"/>
            <w:noWrap/>
            <w:vAlign w:val="bottom"/>
            <w:hideMark/>
          </w:tcPr>
          <w:p w14:paraId="445F677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El Cobre</w:t>
            </w:r>
          </w:p>
        </w:tc>
        <w:tc>
          <w:tcPr>
            <w:tcW w:w="992" w:type="dxa"/>
            <w:tcBorders>
              <w:top w:val="nil"/>
              <w:left w:val="nil"/>
              <w:bottom w:val="single" w:sz="4" w:space="0" w:color="auto"/>
              <w:right w:val="single" w:sz="4" w:space="0" w:color="auto"/>
            </w:tcBorders>
            <w:shd w:val="clear" w:color="auto" w:fill="auto"/>
            <w:noWrap/>
          </w:tcPr>
          <w:p w14:paraId="1B11EE0B" w14:textId="6D4567A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0,45</w:t>
            </w:r>
          </w:p>
        </w:tc>
        <w:tc>
          <w:tcPr>
            <w:tcW w:w="851" w:type="dxa"/>
            <w:tcBorders>
              <w:top w:val="nil"/>
              <w:left w:val="nil"/>
              <w:bottom w:val="single" w:sz="4" w:space="0" w:color="auto"/>
              <w:right w:val="single" w:sz="4" w:space="0" w:color="auto"/>
            </w:tcBorders>
            <w:shd w:val="clear" w:color="auto" w:fill="auto"/>
            <w:noWrap/>
          </w:tcPr>
          <w:p w14:paraId="19E5E85A" w14:textId="1AA5A26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240F7BB2" w14:textId="5F53CFE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0,50</w:t>
            </w:r>
          </w:p>
        </w:tc>
        <w:tc>
          <w:tcPr>
            <w:tcW w:w="992" w:type="dxa"/>
            <w:tcBorders>
              <w:top w:val="nil"/>
              <w:left w:val="nil"/>
              <w:bottom w:val="single" w:sz="4" w:space="0" w:color="auto"/>
              <w:right w:val="single" w:sz="4" w:space="0" w:color="auto"/>
            </w:tcBorders>
            <w:shd w:val="clear" w:color="auto" w:fill="auto"/>
            <w:noWrap/>
          </w:tcPr>
          <w:p w14:paraId="01091B95" w14:textId="2D5CFC7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0,50</w:t>
            </w:r>
          </w:p>
        </w:tc>
      </w:tr>
      <w:tr w:rsidR="00106B2F" w:rsidRPr="00106B2F" w14:paraId="6A62A943"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A3ADF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SE-N_26</w:t>
            </w:r>
          </w:p>
        </w:tc>
        <w:tc>
          <w:tcPr>
            <w:tcW w:w="5103" w:type="dxa"/>
            <w:tcBorders>
              <w:top w:val="nil"/>
              <w:left w:val="nil"/>
              <w:bottom w:val="single" w:sz="4" w:space="0" w:color="auto"/>
              <w:right w:val="single" w:sz="4" w:space="0" w:color="auto"/>
            </w:tcBorders>
            <w:shd w:val="clear" w:color="auto" w:fill="auto"/>
            <w:noWrap/>
            <w:vAlign w:val="bottom"/>
            <w:hideMark/>
          </w:tcPr>
          <w:p w14:paraId="3D56B46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Encuentro</w:t>
            </w:r>
          </w:p>
        </w:tc>
        <w:tc>
          <w:tcPr>
            <w:tcW w:w="992" w:type="dxa"/>
            <w:tcBorders>
              <w:top w:val="nil"/>
              <w:left w:val="nil"/>
              <w:bottom w:val="single" w:sz="4" w:space="0" w:color="auto"/>
              <w:right w:val="single" w:sz="4" w:space="0" w:color="auto"/>
            </w:tcBorders>
            <w:shd w:val="clear" w:color="auto" w:fill="auto"/>
            <w:noWrap/>
          </w:tcPr>
          <w:p w14:paraId="42549A8E" w14:textId="634DFF4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0,64</w:t>
            </w:r>
          </w:p>
        </w:tc>
        <w:tc>
          <w:tcPr>
            <w:tcW w:w="851" w:type="dxa"/>
            <w:tcBorders>
              <w:top w:val="nil"/>
              <w:left w:val="nil"/>
              <w:bottom w:val="single" w:sz="4" w:space="0" w:color="auto"/>
              <w:right w:val="single" w:sz="4" w:space="0" w:color="auto"/>
            </w:tcBorders>
            <w:shd w:val="clear" w:color="auto" w:fill="auto"/>
            <w:noWrap/>
          </w:tcPr>
          <w:p w14:paraId="42BA1513" w14:textId="42471A6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0,36</w:t>
            </w:r>
          </w:p>
        </w:tc>
        <w:tc>
          <w:tcPr>
            <w:tcW w:w="992" w:type="dxa"/>
            <w:tcBorders>
              <w:top w:val="nil"/>
              <w:left w:val="nil"/>
              <w:bottom w:val="single" w:sz="4" w:space="0" w:color="auto"/>
              <w:right w:val="single" w:sz="4" w:space="0" w:color="auto"/>
            </w:tcBorders>
            <w:shd w:val="clear" w:color="auto" w:fill="auto"/>
            <w:noWrap/>
          </w:tcPr>
          <w:p w14:paraId="77C74B6C" w14:textId="3CCD234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0,80</w:t>
            </w:r>
          </w:p>
        </w:tc>
        <w:tc>
          <w:tcPr>
            <w:tcW w:w="992" w:type="dxa"/>
            <w:tcBorders>
              <w:top w:val="nil"/>
              <w:left w:val="nil"/>
              <w:bottom w:val="single" w:sz="4" w:space="0" w:color="auto"/>
              <w:right w:val="single" w:sz="4" w:space="0" w:color="auto"/>
            </w:tcBorders>
            <w:shd w:val="clear" w:color="auto" w:fill="auto"/>
            <w:noWrap/>
          </w:tcPr>
          <w:p w14:paraId="33A5600D" w14:textId="24CE712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0,20</w:t>
            </w:r>
          </w:p>
        </w:tc>
      </w:tr>
      <w:tr w:rsidR="00106B2F" w:rsidRPr="00106B2F" w14:paraId="78970C99"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60467A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SE-N_27</w:t>
            </w:r>
          </w:p>
        </w:tc>
        <w:tc>
          <w:tcPr>
            <w:tcW w:w="5103" w:type="dxa"/>
            <w:tcBorders>
              <w:top w:val="nil"/>
              <w:left w:val="nil"/>
              <w:bottom w:val="single" w:sz="4" w:space="0" w:color="auto"/>
              <w:right w:val="single" w:sz="4" w:space="0" w:color="auto"/>
            </w:tcBorders>
            <w:shd w:val="clear" w:color="auto" w:fill="auto"/>
            <w:noWrap/>
            <w:vAlign w:val="bottom"/>
            <w:hideMark/>
          </w:tcPr>
          <w:p w14:paraId="520A26B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Esperanza SING</w:t>
            </w:r>
          </w:p>
        </w:tc>
        <w:tc>
          <w:tcPr>
            <w:tcW w:w="992" w:type="dxa"/>
            <w:tcBorders>
              <w:top w:val="nil"/>
              <w:left w:val="nil"/>
              <w:bottom w:val="single" w:sz="4" w:space="0" w:color="auto"/>
              <w:right w:val="single" w:sz="4" w:space="0" w:color="auto"/>
            </w:tcBorders>
            <w:shd w:val="clear" w:color="auto" w:fill="auto"/>
            <w:noWrap/>
          </w:tcPr>
          <w:p w14:paraId="6A7D517D" w14:textId="1ED76DF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64AC1C06" w14:textId="49A14D5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1,00</w:t>
            </w:r>
          </w:p>
        </w:tc>
        <w:tc>
          <w:tcPr>
            <w:tcW w:w="992" w:type="dxa"/>
            <w:tcBorders>
              <w:top w:val="nil"/>
              <w:left w:val="nil"/>
              <w:bottom w:val="single" w:sz="4" w:space="0" w:color="auto"/>
              <w:right w:val="single" w:sz="4" w:space="0" w:color="auto"/>
            </w:tcBorders>
            <w:shd w:val="clear" w:color="auto" w:fill="auto"/>
            <w:noWrap/>
          </w:tcPr>
          <w:p w14:paraId="39BBF66F" w14:textId="4C2071B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0,01</w:t>
            </w:r>
          </w:p>
        </w:tc>
        <w:tc>
          <w:tcPr>
            <w:tcW w:w="992" w:type="dxa"/>
            <w:tcBorders>
              <w:top w:val="nil"/>
              <w:left w:val="nil"/>
              <w:bottom w:val="single" w:sz="4" w:space="0" w:color="auto"/>
              <w:right w:val="single" w:sz="4" w:space="0" w:color="auto"/>
            </w:tcBorders>
            <w:shd w:val="clear" w:color="auto" w:fill="auto"/>
            <w:noWrap/>
          </w:tcPr>
          <w:p w14:paraId="7AE9DB82" w14:textId="13B88B4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0,99</w:t>
            </w:r>
          </w:p>
        </w:tc>
      </w:tr>
      <w:tr w:rsidR="00106B2F" w:rsidRPr="00106B2F" w14:paraId="7F517482"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5CB4BE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SE-N_28</w:t>
            </w:r>
          </w:p>
        </w:tc>
        <w:tc>
          <w:tcPr>
            <w:tcW w:w="5103" w:type="dxa"/>
            <w:tcBorders>
              <w:top w:val="nil"/>
              <w:left w:val="nil"/>
              <w:bottom w:val="single" w:sz="4" w:space="0" w:color="auto"/>
              <w:right w:val="single" w:sz="4" w:space="0" w:color="auto"/>
            </w:tcBorders>
            <w:shd w:val="clear" w:color="auto" w:fill="auto"/>
            <w:noWrap/>
            <w:vAlign w:val="bottom"/>
            <w:hideMark/>
          </w:tcPr>
          <w:p w14:paraId="732AF224"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Hualpen</w:t>
            </w:r>
          </w:p>
        </w:tc>
        <w:tc>
          <w:tcPr>
            <w:tcW w:w="992" w:type="dxa"/>
            <w:tcBorders>
              <w:top w:val="nil"/>
              <w:left w:val="nil"/>
              <w:bottom w:val="single" w:sz="4" w:space="0" w:color="auto"/>
              <w:right w:val="single" w:sz="4" w:space="0" w:color="auto"/>
            </w:tcBorders>
            <w:shd w:val="clear" w:color="auto" w:fill="auto"/>
            <w:noWrap/>
          </w:tcPr>
          <w:p w14:paraId="51985580" w14:textId="29C2C81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0,56</w:t>
            </w:r>
          </w:p>
        </w:tc>
        <w:tc>
          <w:tcPr>
            <w:tcW w:w="851" w:type="dxa"/>
            <w:tcBorders>
              <w:top w:val="nil"/>
              <w:left w:val="nil"/>
              <w:bottom w:val="single" w:sz="4" w:space="0" w:color="auto"/>
              <w:right w:val="single" w:sz="4" w:space="0" w:color="auto"/>
            </w:tcBorders>
            <w:shd w:val="clear" w:color="auto" w:fill="auto"/>
            <w:noWrap/>
          </w:tcPr>
          <w:p w14:paraId="5C14E43E" w14:textId="3082791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0,44</w:t>
            </w:r>
          </w:p>
        </w:tc>
        <w:tc>
          <w:tcPr>
            <w:tcW w:w="992" w:type="dxa"/>
            <w:tcBorders>
              <w:top w:val="nil"/>
              <w:left w:val="nil"/>
              <w:bottom w:val="single" w:sz="4" w:space="0" w:color="auto"/>
              <w:right w:val="single" w:sz="4" w:space="0" w:color="auto"/>
            </w:tcBorders>
            <w:shd w:val="clear" w:color="auto" w:fill="auto"/>
            <w:noWrap/>
          </w:tcPr>
          <w:p w14:paraId="28850913" w14:textId="186C285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0,76</w:t>
            </w:r>
          </w:p>
        </w:tc>
        <w:tc>
          <w:tcPr>
            <w:tcW w:w="992" w:type="dxa"/>
            <w:tcBorders>
              <w:top w:val="nil"/>
              <w:left w:val="nil"/>
              <w:bottom w:val="single" w:sz="4" w:space="0" w:color="auto"/>
              <w:right w:val="single" w:sz="4" w:space="0" w:color="auto"/>
            </w:tcBorders>
            <w:shd w:val="clear" w:color="auto" w:fill="auto"/>
            <w:noWrap/>
          </w:tcPr>
          <w:p w14:paraId="12B9DC9F" w14:textId="085397C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0,24</w:t>
            </w:r>
          </w:p>
        </w:tc>
      </w:tr>
      <w:tr w:rsidR="00106B2F" w:rsidRPr="00106B2F" w14:paraId="20121A53"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2EF9AA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SE-N_29</w:t>
            </w:r>
          </w:p>
        </w:tc>
        <w:tc>
          <w:tcPr>
            <w:tcW w:w="5103" w:type="dxa"/>
            <w:tcBorders>
              <w:top w:val="nil"/>
              <w:left w:val="nil"/>
              <w:bottom w:val="single" w:sz="4" w:space="0" w:color="auto"/>
              <w:right w:val="single" w:sz="4" w:space="0" w:color="auto"/>
            </w:tcBorders>
            <w:shd w:val="clear" w:color="auto" w:fill="auto"/>
            <w:noWrap/>
            <w:vAlign w:val="bottom"/>
            <w:hideMark/>
          </w:tcPr>
          <w:p w14:paraId="6D0C18F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Itahue</w:t>
            </w:r>
          </w:p>
        </w:tc>
        <w:tc>
          <w:tcPr>
            <w:tcW w:w="992" w:type="dxa"/>
            <w:tcBorders>
              <w:top w:val="nil"/>
              <w:left w:val="nil"/>
              <w:bottom w:val="single" w:sz="4" w:space="0" w:color="auto"/>
              <w:right w:val="single" w:sz="4" w:space="0" w:color="auto"/>
            </w:tcBorders>
            <w:shd w:val="clear" w:color="auto" w:fill="auto"/>
            <w:noWrap/>
          </w:tcPr>
          <w:p w14:paraId="04275730" w14:textId="09F2536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0,19</w:t>
            </w:r>
          </w:p>
        </w:tc>
        <w:tc>
          <w:tcPr>
            <w:tcW w:w="851" w:type="dxa"/>
            <w:tcBorders>
              <w:top w:val="nil"/>
              <w:left w:val="nil"/>
              <w:bottom w:val="single" w:sz="4" w:space="0" w:color="auto"/>
              <w:right w:val="single" w:sz="4" w:space="0" w:color="auto"/>
            </w:tcBorders>
            <w:shd w:val="clear" w:color="auto" w:fill="auto"/>
            <w:noWrap/>
          </w:tcPr>
          <w:p w14:paraId="7448859B" w14:textId="30778E4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0,81</w:t>
            </w:r>
          </w:p>
        </w:tc>
        <w:tc>
          <w:tcPr>
            <w:tcW w:w="992" w:type="dxa"/>
            <w:tcBorders>
              <w:top w:val="nil"/>
              <w:left w:val="nil"/>
              <w:bottom w:val="single" w:sz="4" w:space="0" w:color="auto"/>
              <w:right w:val="single" w:sz="4" w:space="0" w:color="auto"/>
            </w:tcBorders>
            <w:shd w:val="clear" w:color="auto" w:fill="auto"/>
            <w:noWrap/>
          </w:tcPr>
          <w:p w14:paraId="1D3A7BDA" w14:textId="7599580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0,35</w:t>
            </w:r>
          </w:p>
        </w:tc>
        <w:tc>
          <w:tcPr>
            <w:tcW w:w="992" w:type="dxa"/>
            <w:tcBorders>
              <w:top w:val="nil"/>
              <w:left w:val="nil"/>
              <w:bottom w:val="single" w:sz="4" w:space="0" w:color="auto"/>
              <w:right w:val="single" w:sz="4" w:space="0" w:color="auto"/>
            </w:tcBorders>
            <w:shd w:val="clear" w:color="auto" w:fill="auto"/>
            <w:noWrap/>
          </w:tcPr>
          <w:p w14:paraId="67AE2D70" w14:textId="16D2435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0,65</w:t>
            </w:r>
          </w:p>
        </w:tc>
      </w:tr>
      <w:tr w:rsidR="00106B2F" w:rsidRPr="00106B2F" w14:paraId="493FEBA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188A68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SE-N_30</w:t>
            </w:r>
          </w:p>
        </w:tc>
        <w:tc>
          <w:tcPr>
            <w:tcW w:w="5103" w:type="dxa"/>
            <w:tcBorders>
              <w:top w:val="nil"/>
              <w:left w:val="nil"/>
              <w:bottom w:val="single" w:sz="4" w:space="0" w:color="auto"/>
              <w:right w:val="single" w:sz="4" w:space="0" w:color="auto"/>
            </w:tcBorders>
            <w:shd w:val="clear" w:color="auto" w:fill="auto"/>
            <w:noWrap/>
            <w:vAlign w:val="bottom"/>
            <w:hideMark/>
          </w:tcPr>
          <w:p w14:paraId="226AB5E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Kapatur</w:t>
            </w:r>
          </w:p>
        </w:tc>
        <w:tc>
          <w:tcPr>
            <w:tcW w:w="992" w:type="dxa"/>
            <w:tcBorders>
              <w:top w:val="nil"/>
              <w:left w:val="nil"/>
              <w:bottom w:val="single" w:sz="4" w:space="0" w:color="auto"/>
              <w:right w:val="single" w:sz="4" w:space="0" w:color="auto"/>
            </w:tcBorders>
            <w:shd w:val="clear" w:color="auto" w:fill="auto"/>
            <w:noWrap/>
          </w:tcPr>
          <w:p w14:paraId="72D26092" w14:textId="1B6ED30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0,15</w:t>
            </w:r>
          </w:p>
        </w:tc>
        <w:tc>
          <w:tcPr>
            <w:tcW w:w="851" w:type="dxa"/>
            <w:tcBorders>
              <w:top w:val="nil"/>
              <w:left w:val="nil"/>
              <w:bottom w:val="single" w:sz="4" w:space="0" w:color="auto"/>
              <w:right w:val="single" w:sz="4" w:space="0" w:color="auto"/>
            </w:tcBorders>
            <w:shd w:val="clear" w:color="auto" w:fill="auto"/>
            <w:noWrap/>
          </w:tcPr>
          <w:p w14:paraId="0BCFBD93" w14:textId="05A171C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0,85</w:t>
            </w:r>
          </w:p>
        </w:tc>
        <w:tc>
          <w:tcPr>
            <w:tcW w:w="992" w:type="dxa"/>
            <w:tcBorders>
              <w:top w:val="nil"/>
              <w:left w:val="nil"/>
              <w:bottom w:val="single" w:sz="4" w:space="0" w:color="auto"/>
              <w:right w:val="single" w:sz="4" w:space="0" w:color="auto"/>
            </w:tcBorders>
            <w:shd w:val="clear" w:color="auto" w:fill="auto"/>
            <w:noWrap/>
          </w:tcPr>
          <w:p w14:paraId="3BA85FAF" w14:textId="1D96C3C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0,22</w:t>
            </w:r>
          </w:p>
        </w:tc>
        <w:tc>
          <w:tcPr>
            <w:tcW w:w="992" w:type="dxa"/>
            <w:tcBorders>
              <w:top w:val="nil"/>
              <w:left w:val="nil"/>
              <w:bottom w:val="single" w:sz="4" w:space="0" w:color="auto"/>
              <w:right w:val="single" w:sz="4" w:space="0" w:color="auto"/>
            </w:tcBorders>
            <w:shd w:val="clear" w:color="auto" w:fill="auto"/>
            <w:noWrap/>
          </w:tcPr>
          <w:p w14:paraId="456B87A7" w14:textId="3BE14C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0,78</w:t>
            </w:r>
          </w:p>
        </w:tc>
      </w:tr>
      <w:tr w:rsidR="00106B2F" w:rsidRPr="00106B2F" w14:paraId="2D4160C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4406BA4"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SE-N_31</w:t>
            </w:r>
          </w:p>
        </w:tc>
        <w:tc>
          <w:tcPr>
            <w:tcW w:w="5103" w:type="dxa"/>
            <w:tcBorders>
              <w:top w:val="nil"/>
              <w:left w:val="nil"/>
              <w:bottom w:val="single" w:sz="4" w:space="0" w:color="auto"/>
              <w:right w:val="single" w:sz="4" w:space="0" w:color="auto"/>
            </w:tcBorders>
            <w:shd w:val="clear" w:color="auto" w:fill="auto"/>
            <w:noWrap/>
            <w:vAlign w:val="bottom"/>
            <w:hideMark/>
          </w:tcPr>
          <w:p w14:paraId="266E43B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La Cebada</w:t>
            </w:r>
          </w:p>
        </w:tc>
        <w:tc>
          <w:tcPr>
            <w:tcW w:w="992" w:type="dxa"/>
            <w:tcBorders>
              <w:top w:val="nil"/>
              <w:left w:val="nil"/>
              <w:bottom w:val="single" w:sz="4" w:space="0" w:color="auto"/>
              <w:right w:val="single" w:sz="4" w:space="0" w:color="auto"/>
            </w:tcBorders>
            <w:shd w:val="clear" w:color="auto" w:fill="auto"/>
            <w:noWrap/>
          </w:tcPr>
          <w:p w14:paraId="6F29058B" w14:textId="4D46BF0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0,23</w:t>
            </w:r>
          </w:p>
        </w:tc>
        <w:tc>
          <w:tcPr>
            <w:tcW w:w="851" w:type="dxa"/>
            <w:tcBorders>
              <w:top w:val="nil"/>
              <w:left w:val="nil"/>
              <w:bottom w:val="single" w:sz="4" w:space="0" w:color="auto"/>
              <w:right w:val="single" w:sz="4" w:space="0" w:color="auto"/>
            </w:tcBorders>
            <w:shd w:val="clear" w:color="auto" w:fill="auto"/>
            <w:noWrap/>
          </w:tcPr>
          <w:p w14:paraId="13C69092" w14:textId="2E1BE60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0,77</w:t>
            </w:r>
          </w:p>
        </w:tc>
        <w:tc>
          <w:tcPr>
            <w:tcW w:w="992" w:type="dxa"/>
            <w:tcBorders>
              <w:top w:val="nil"/>
              <w:left w:val="nil"/>
              <w:bottom w:val="single" w:sz="4" w:space="0" w:color="auto"/>
              <w:right w:val="single" w:sz="4" w:space="0" w:color="auto"/>
            </w:tcBorders>
            <w:shd w:val="clear" w:color="auto" w:fill="auto"/>
            <w:noWrap/>
          </w:tcPr>
          <w:p w14:paraId="43A4FA3E" w14:textId="7F5597D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0,26</w:t>
            </w:r>
          </w:p>
        </w:tc>
        <w:tc>
          <w:tcPr>
            <w:tcW w:w="992" w:type="dxa"/>
            <w:tcBorders>
              <w:top w:val="nil"/>
              <w:left w:val="nil"/>
              <w:bottom w:val="single" w:sz="4" w:space="0" w:color="auto"/>
              <w:right w:val="single" w:sz="4" w:space="0" w:color="auto"/>
            </w:tcBorders>
            <w:shd w:val="clear" w:color="auto" w:fill="auto"/>
            <w:noWrap/>
          </w:tcPr>
          <w:p w14:paraId="2B21081F" w14:textId="11AF6E3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0,74</w:t>
            </w:r>
          </w:p>
        </w:tc>
      </w:tr>
      <w:tr w:rsidR="00106B2F" w:rsidRPr="00106B2F" w14:paraId="434054E4"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02BACF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SE-N_32</w:t>
            </w:r>
          </w:p>
        </w:tc>
        <w:tc>
          <w:tcPr>
            <w:tcW w:w="5103" w:type="dxa"/>
            <w:tcBorders>
              <w:top w:val="nil"/>
              <w:left w:val="nil"/>
              <w:bottom w:val="single" w:sz="4" w:space="0" w:color="auto"/>
              <w:right w:val="single" w:sz="4" w:space="0" w:color="auto"/>
            </w:tcBorders>
            <w:shd w:val="clear" w:color="auto" w:fill="auto"/>
            <w:noWrap/>
            <w:vAlign w:val="bottom"/>
            <w:hideMark/>
          </w:tcPr>
          <w:p w14:paraId="6697F37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Laberinto</w:t>
            </w:r>
          </w:p>
        </w:tc>
        <w:tc>
          <w:tcPr>
            <w:tcW w:w="992" w:type="dxa"/>
            <w:tcBorders>
              <w:top w:val="nil"/>
              <w:left w:val="nil"/>
              <w:bottom w:val="single" w:sz="4" w:space="0" w:color="auto"/>
              <w:right w:val="single" w:sz="4" w:space="0" w:color="auto"/>
            </w:tcBorders>
            <w:shd w:val="clear" w:color="auto" w:fill="auto"/>
            <w:noWrap/>
          </w:tcPr>
          <w:p w14:paraId="6E643E13" w14:textId="1223528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0,73</w:t>
            </w:r>
          </w:p>
        </w:tc>
        <w:tc>
          <w:tcPr>
            <w:tcW w:w="851" w:type="dxa"/>
            <w:tcBorders>
              <w:top w:val="nil"/>
              <w:left w:val="nil"/>
              <w:bottom w:val="single" w:sz="4" w:space="0" w:color="auto"/>
              <w:right w:val="single" w:sz="4" w:space="0" w:color="auto"/>
            </w:tcBorders>
            <w:shd w:val="clear" w:color="auto" w:fill="auto"/>
            <w:noWrap/>
          </w:tcPr>
          <w:p w14:paraId="16AE45EE" w14:textId="7020C64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0,27</w:t>
            </w:r>
          </w:p>
        </w:tc>
        <w:tc>
          <w:tcPr>
            <w:tcW w:w="992" w:type="dxa"/>
            <w:tcBorders>
              <w:top w:val="nil"/>
              <w:left w:val="nil"/>
              <w:bottom w:val="single" w:sz="4" w:space="0" w:color="auto"/>
              <w:right w:val="single" w:sz="4" w:space="0" w:color="auto"/>
            </w:tcBorders>
            <w:shd w:val="clear" w:color="auto" w:fill="auto"/>
            <w:noWrap/>
          </w:tcPr>
          <w:p w14:paraId="36BD8C02" w14:textId="34635A1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0,80</w:t>
            </w:r>
          </w:p>
        </w:tc>
        <w:tc>
          <w:tcPr>
            <w:tcW w:w="992" w:type="dxa"/>
            <w:tcBorders>
              <w:top w:val="nil"/>
              <w:left w:val="nil"/>
              <w:bottom w:val="single" w:sz="4" w:space="0" w:color="auto"/>
              <w:right w:val="single" w:sz="4" w:space="0" w:color="auto"/>
            </w:tcBorders>
            <w:shd w:val="clear" w:color="auto" w:fill="auto"/>
            <w:noWrap/>
          </w:tcPr>
          <w:p w14:paraId="20B10CAF" w14:textId="628455D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0,20</w:t>
            </w:r>
          </w:p>
        </w:tc>
      </w:tr>
      <w:tr w:rsidR="00106B2F" w:rsidRPr="00106B2F" w14:paraId="23EDE866"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60574F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SE-N_33</w:t>
            </w:r>
          </w:p>
        </w:tc>
        <w:tc>
          <w:tcPr>
            <w:tcW w:w="5103" w:type="dxa"/>
            <w:tcBorders>
              <w:top w:val="nil"/>
              <w:left w:val="nil"/>
              <w:bottom w:val="single" w:sz="4" w:space="0" w:color="auto"/>
              <w:right w:val="single" w:sz="4" w:space="0" w:color="auto"/>
            </w:tcBorders>
            <w:shd w:val="clear" w:color="auto" w:fill="auto"/>
            <w:noWrap/>
            <w:vAlign w:val="bottom"/>
            <w:hideMark/>
          </w:tcPr>
          <w:p w14:paraId="6A64DBC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Lagunas</w:t>
            </w:r>
          </w:p>
        </w:tc>
        <w:tc>
          <w:tcPr>
            <w:tcW w:w="992" w:type="dxa"/>
            <w:tcBorders>
              <w:top w:val="nil"/>
              <w:left w:val="nil"/>
              <w:bottom w:val="single" w:sz="4" w:space="0" w:color="auto"/>
              <w:right w:val="single" w:sz="4" w:space="0" w:color="auto"/>
            </w:tcBorders>
            <w:shd w:val="clear" w:color="auto" w:fill="auto"/>
            <w:noWrap/>
          </w:tcPr>
          <w:p w14:paraId="3A5150E4" w14:textId="09DEBE8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0,38</w:t>
            </w:r>
          </w:p>
        </w:tc>
        <w:tc>
          <w:tcPr>
            <w:tcW w:w="851" w:type="dxa"/>
            <w:tcBorders>
              <w:top w:val="nil"/>
              <w:left w:val="nil"/>
              <w:bottom w:val="single" w:sz="4" w:space="0" w:color="auto"/>
              <w:right w:val="single" w:sz="4" w:space="0" w:color="auto"/>
            </w:tcBorders>
            <w:shd w:val="clear" w:color="auto" w:fill="auto"/>
            <w:noWrap/>
          </w:tcPr>
          <w:p w14:paraId="5C99199C" w14:textId="4140003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78786D41" w14:textId="4F54CFD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0,53</w:t>
            </w:r>
          </w:p>
        </w:tc>
        <w:tc>
          <w:tcPr>
            <w:tcW w:w="992" w:type="dxa"/>
            <w:tcBorders>
              <w:top w:val="nil"/>
              <w:left w:val="nil"/>
              <w:bottom w:val="single" w:sz="4" w:space="0" w:color="auto"/>
              <w:right w:val="single" w:sz="4" w:space="0" w:color="auto"/>
            </w:tcBorders>
            <w:shd w:val="clear" w:color="auto" w:fill="auto"/>
            <w:noWrap/>
          </w:tcPr>
          <w:p w14:paraId="3F0452EB" w14:textId="03B5413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0,47</w:t>
            </w:r>
          </w:p>
        </w:tc>
      </w:tr>
      <w:tr w:rsidR="00106B2F" w:rsidRPr="00106B2F" w14:paraId="15808CAC"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F9618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SE-N_34</w:t>
            </w:r>
          </w:p>
        </w:tc>
        <w:tc>
          <w:tcPr>
            <w:tcW w:w="5103" w:type="dxa"/>
            <w:tcBorders>
              <w:top w:val="nil"/>
              <w:left w:val="nil"/>
              <w:bottom w:val="single" w:sz="4" w:space="0" w:color="auto"/>
              <w:right w:val="single" w:sz="4" w:space="0" w:color="auto"/>
            </w:tcBorders>
            <w:shd w:val="clear" w:color="auto" w:fill="auto"/>
            <w:noWrap/>
            <w:vAlign w:val="bottom"/>
            <w:hideMark/>
          </w:tcPr>
          <w:p w14:paraId="121F550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Lagunillas</w:t>
            </w:r>
          </w:p>
        </w:tc>
        <w:tc>
          <w:tcPr>
            <w:tcW w:w="992" w:type="dxa"/>
            <w:tcBorders>
              <w:top w:val="nil"/>
              <w:left w:val="nil"/>
              <w:bottom w:val="single" w:sz="4" w:space="0" w:color="auto"/>
              <w:right w:val="single" w:sz="4" w:space="0" w:color="auto"/>
            </w:tcBorders>
            <w:shd w:val="clear" w:color="auto" w:fill="auto"/>
            <w:noWrap/>
          </w:tcPr>
          <w:p w14:paraId="570DD76A" w14:textId="5B94C9D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0,44</w:t>
            </w:r>
          </w:p>
        </w:tc>
        <w:tc>
          <w:tcPr>
            <w:tcW w:w="851" w:type="dxa"/>
            <w:tcBorders>
              <w:top w:val="nil"/>
              <w:left w:val="nil"/>
              <w:bottom w:val="single" w:sz="4" w:space="0" w:color="auto"/>
              <w:right w:val="single" w:sz="4" w:space="0" w:color="auto"/>
            </w:tcBorders>
            <w:shd w:val="clear" w:color="auto" w:fill="auto"/>
            <w:noWrap/>
          </w:tcPr>
          <w:p w14:paraId="490DF099" w14:textId="760FAFD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0,56</w:t>
            </w:r>
          </w:p>
        </w:tc>
        <w:tc>
          <w:tcPr>
            <w:tcW w:w="992" w:type="dxa"/>
            <w:tcBorders>
              <w:top w:val="nil"/>
              <w:left w:val="nil"/>
              <w:bottom w:val="single" w:sz="4" w:space="0" w:color="auto"/>
              <w:right w:val="single" w:sz="4" w:space="0" w:color="auto"/>
            </w:tcBorders>
            <w:shd w:val="clear" w:color="auto" w:fill="auto"/>
            <w:noWrap/>
          </w:tcPr>
          <w:p w14:paraId="36D3F76C" w14:textId="52D9C58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0,64</w:t>
            </w:r>
          </w:p>
        </w:tc>
        <w:tc>
          <w:tcPr>
            <w:tcW w:w="992" w:type="dxa"/>
            <w:tcBorders>
              <w:top w:val="nil"/>
              <w:left w:val="nil"/>
              <w:bottom w:val="single" w:sz="4" w:space="0" w:color="auto"/>
              <w:right w:val="single" w:sz="4" w:space="0" w:color="auto"/>
            </w:tcBorders>
            <w:shd w:val="clear" w:color="auto" w:fill="auto"/>
            <w:noWrap/>
          </w:tcPr>
          <w:p w14:paraId="7CC7BBE7" w14:textId="077C117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0,36</w:t>
            </w:r>
          </w:p>
        </w:tc>
      </w:tr>
      <w:tr w:rsidR="00106B2F" w:rsidRPr="00106B2F" w14:paraId="0B8B54C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FA170C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SE-N_35</w:t>
            </w:r>
          </w:p>
        </w:tc>
        <w:tc>
          <w:tcPr>
            <w:tcW w:w="5103" w:type="dxa"/>
            <w:tcBorders>
              <w:top w:val="nil"/>
              <w:left w:val="nil"/>
              <w:bottom w:val="single" w:sz="4" w:space="0" w:color="auto"/>
              <w:right w:val="single" w:sz="4" w:space="0" w:color="auto"/>
            </w:tcBorders>
            <w:shd w:val="clear" w:color="auto" w:fill="auto"/>
            <w:noWrap/>
            <w:vAlign w:val="bottom"/>
            <w:hideMark/>
          </w:tcPr>
          <w:p w14:paraId="6F70A1B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Las Palmas</w:t>
            </w:r>
          </w:p>
        </w:tc>
        <w:tc>
          <w:tcPr>
            <w:tcW w:w="992" w:type="dxa"/>
            <w:tcBorders>
              <w:top w:val="nil"/>
              <w:left w:val="nil"/>
              <w:bottom w:val="single" w:sz="4" w:space="0" w:color="auto"/>
              <w:right w:val="single" w:sz="4" w:space="0" w:color="auto"/>
            </w:tcBorders>
            <w:shd w:val="clear" w:color="auto" w:fill="auto"/>
            <w:noWrap/>
          </w:tcPr>
          <w:p w14:paraId="4EF9BDE1" w14:textId="3DB7671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0,29</w:t>
            </w:r>
          </w:p>
        </w:tc>
        <w:tc>
          <w:tcPr>
            <w:tcW w:w="851" w:type="dxa"/>
            <w:tcBorders>
              <w:top w:val="nil"/>
              <w:left w:val="nil"/>
              <w:bottom w:val="single" w:sz="4" w:space="0" w:color="auto"/>
              <w:right w:val="single" w:sz="4" w:space="0" w:color="auto"/>
            </w:tcBorders>
            <w:shd w:val="clear" w:color="auto" w:fill="auto"/>
            <w:noWrap/>
          </w:tcPr>
          <w:p w14:paraId="5DF64212" w14:textId="3FF9A05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0,71</w:t>
            </w:r>
          </w:p>
        </w:tc>
        <w:tc>
          <w:tcPr>
            <w:tcW w:w="992" w:type="dxa"/>
            <w:tcBorders>
              <w:top w:val="nil"/>
              <w:left w:val="nil"/>
              <w:bottom w:val="single" w:sz="4" w:space="0" w:color="auto"/>
              <w:right w:val="single" w:sz="4" w:space="0" w:color="auto"/>
            </w:tcBorders>
            <w:shd w:val="clear" w:color="auto" w:fill="auto"/>
            <w:noWrap/>
          </w:tcPr>
          <w:p w14:paraId="4B518481" w14:textId="6687EC2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0,39</w:t>
            </w:r>
          </w:p>
        </w:tc>
        <w:tc>
          <w:tcPr>
            <w:tcW w:w="992" w:type="dxa"/>
            <w:tcBorders>
              <w:top w:val="nil"/>
              <w:left w:val="nil"/>
              <w:bottom w:val="single" w:sz="4" w:space="0" w:color="auto"/>
              <w:right w:val="single" w:sz="4" w:space="0" w:color="auto"/>
            </w:tcBorders>
            <w:shd w:val="clear" w:color="auto" w:fill="auto"/>
            <w:noWrap/>
          </w:tcPr>
          <w:p w14:paraId="11552C25" w14:textId="077CC01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0,61</w:t>
            </w:r>
          </w:p>
        </w:tc>
      </w:tr>
      <w:tr w:rsidR="00106B2F" w:rsidRPr="00106B2F" w14:paraId="116C40E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B3FCE6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SE-N_36</w:t>
            </w:r>
          </w:p>
        </w:tc>
        <w:tc>
          <w:tcPr>
            <w:tcW w:w="5103" w:type="dxa"/>
            <w:tcBorders>
              <w:top w:val="nil"/>
              <w:left w:val="nil"/>
              <w:bottom w:val="single" w:sz="4" w:space="0" w:color="auto"/>
              <w:right w:val="single" w:sz="4" w:space="0" w:color="auto"/>
            </w:tcBorders>
            <w:shd w:val="clear" w:color="auto" w:fill="auto"/>
            <w:noWrap/>
            <w:vAlign w:val="bottom"/>
            <w:hideMark/>
          </w:tcPr>
          <w:p w14:paraId="59DF02A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Lo Aguirre</w:t>
            </w:r>
          </w:p>
        </w:tc>
        <w:tc>
          <w:tcPr>
            <w:tcW w:w="992" w:type="dxa"/>
            <w:tcBorders>
              <w:top w:val="nil"/>
              <w:left w:val="nil"/>
              <w:bottom w:val="single" w:sz="4" w:space="0" w:color="auto"/>
              <w:right w:val="single" w:sz="4" w:space="0" w:color="auto"/>
            </w:tcBorders>
            <w:shd w:val="clear" w:color="auto" w:fill="auto"/>
            <w:noWrap/>
          </w:tcPr>
          <w:p w14:paraId="5B76104B" w14:textId="57E1CCE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5B5BF399" w14:textId="0C7DB91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19D1310" w14:textId="4E33848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1F14EE4" w14:textId="296FCD3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0BD9F3E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102504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SE-N_37</w:t>
            </w:r>
          </w:p>
        </w:tc>
        <w:tc>
          <w:tcPr>
            <w:tcW w:w="5103" w:type="dxa"/>
            <w:tcBorders>
              <w:top w:val="nil"/>
              <w:left w:val="nil"/>
              <w:bottom w:val="single" w:sz="4" w:space="0" w:color="auto"/>
              <w:right w:val="single" w:sz="4" w:space="0" w:color="auto"/>
            </w:tcBorders>
            <w:shd w:val="clear" w:color="auto" w:fill="auto"/>
            <w:noWrap/>
            <w:vAlign w:val="bottom"/>
            <w:hideMark/>
          </w:tcPr>
          <w:p w14:paraId="50CEB1B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Los Changos</w:t>
            </w:r>
          </w:p>
        </w:tc>
        <w:tc>
          <w:tcPr>
            <w:tcW w:w="992" w:type="dxa"/>
            <w:tcBorders>
              <w:top w:val="nil"/>
              <w:left w:val="nil"/>
              <w:bottom w:val="single" w:sz="4" w:space="0" w:color="auto"/>
              <w:right w:val="single" w:sz="4" w:space="0" w:color="auto"/>
            </w:tcBorders>
            <w:shd w:val="clear" w:color="auto" w:fill="auto"/>
            <w:noWrap/>
          </w:tcPr>
          <w:p w14:paraId="2485D331" w14:textId="41217EB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0,54</w:t>
            </w:r>
          </w:p>
        </w:tc>
        <w:tc>
          <w:tcPr>
            <w:tcW w:w="851" w:type="dxa"/>
            <w:tcBorders>
              <w:top w:val="nil"/>
              <w:left w:val="nil"/>
              <w:bottom w:val="single" w:sz="4" w:space="0" w:color="auto"/>
              <w:right w:val="single" w:sz="4" w:space="0" w:color="auto"/>
            </w:tcBorders>
            <w:shd w:val="clear" w:color="auto" w:fill="auto"/>
            <w:noWrap/>
          </w:tcPr>
          <w:p w14:paraId="3D03C5D5" w14:textId="3D071F5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0,46</w:t>
            </w:r>
          </w:p>
        </w:tc>
        <w:tc>
          <w:tcPr>
            <w:tcW w:w="992" w:type="dxa"/>
            <w:tcBorders>
              <w:top w:val="nil"/>
              <w:left w:val="nil"/>
              <w:bottom w:val="single" w:sz="4" w:space="0" w:color="auto"/>
              <w:right w:val="single" w:sz="4" w:space="0" w:color="auto"/>
            </w:tcBorders>
            <w:shd w:val="clear" w:color="auto" w:fill="auto"/>
            <w:noWrap/>
          </w:tcPr>
          <w:p w14:paraId="54C95DB6" w14:textId="554A969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0,64</w:t>
            </w:r>
          </w:p>
        </w:tc>
        <w:tc>
          <w:tcPr>
            <w:tcW w:w="992" w:type="dxa"/>
            <w:tcBorders>
              <w:top w:val="nil"/>
              <w:left w:val="nil"/>
              <w:bottom w:val="single" w:sz="4" w:space="0" w:color="auto"/>
              <w:right w:val="single" w:sz="4" w:space="0" w:color="auto"/>
            </w:tcBorders>
            <w:shd w:val="clear" w:color="auto" w:fill="auto"/>
            <w:noWrap/>
          </w:tcPr>
          <w:p w14:paraId="4C1CE715" w14:textId="2980D37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0,36</w:t>
            </w:r>
          </w:p>
        </w:tc>
      </w:tr>
      <w:tr w:rsidR="00106B2F" w:rsidRPr="00106B2F" w14:paraId="77E28D8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36EFEF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SE-N_38</w:t>
            </w:r>
          </w:p>
        </w:tc>
        <w:tc>
          <w:tcPr>
            <w:tcW w:w="5103" w:type="dxa"/>
            <w:tcBorders>
              <w:top w:val="nil"/>
              <w:left w:val="nil"/>
              <w:bottom w:val="single" w:sz="4" w:space="0" w:color="auto"/>
              <w:right w:val="single" w:sz="4" w:space="0" w:color="auto"/>
            </w:tcBorders>
            <w:shd w:val="clear" w:color="auto" w:fill="auto"/>
            <w:noWrap/>
            <w:vAlign w:val="bottom"/>
            <w:hideMark/>
          </w:tcPr>
          <w:p w14:paraId="14385B5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Los Maquis</w:t>
            </w:r>
          </w:p>
        </w:tc>
        <w:tc>
          <w:tcPr>
            <w:tcW w:w="992" w:type="dxa"/>
            <w:tcBorders>
              <w:top w:val="nil"/>
              <w:left w:val="nil"/>
              <w:bottom w:val="single" w:sz="4" w:space="0" w:color="auto"/>
              <w:right w:val="single" w:sz="4" w:space="0" w:color="auto"/>
            </w:tcBorders>
            <w:shd w:val="clear" w:color="auto" w:fill="auto"/>
            <w:noWrap/>
          </w:tcPr>
          <w:p w14:paraId="5114097E" w14:textId="4E3E1CB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0,35</w:t>
            </w:r>
          </w:p>
        </w:tc>
        <w:tc>
          <w:tcPr>
            <w:tcW w:w="851" w:type="dxa"/>
            <w:tcBorders>
              <w:top w:val="nil"/>
              <w:left w:val="nil"/>
              <w:bottom w:val="single" w:sz="4" w:space="0" w:color="auto"/>
              <w:right w:val="single" w:sz="4" w:space="0" w:color="auto"/>
            </w:tcBorders>
            <w:shd w:val="clear" w:color="auto" w:fill="auto"/>
            <w:noWrap/>
          </w:tcPr>
          <w:p w14:paraId="08BD032A" w14:textId="3FE00B5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562F144F" w14:textId="1120F72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672B016D" w14:textId="38B6837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0,43</w:t>
            </w:r>
          </w:p>
        </w:tc>
      </w:tr>
      <w:tr w:rsidR="00106B2F" w:rsidRPr="00106B2F" w14:paraId="6F2DA75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5D946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SE-N_39</w:t>
            </w:r>
          </w:p>
        </w:tc>
        <w:tc>
          <w:tcPr>
            <w:tcW w:w="5103" w:type="dxa"/>
            <w:tcBorders>
              <w:top w:val="nil"/>
              <w:left w:val="nil"/>
              <w:bottom w:val="single" w:sz="4" w:space="0" w:color="auto"/>
              <w:right w:val="single" w:sz="4" w:space="0" w:color="auto"/>
            </w:tcBorders>
            <w:shd w:val="clear" w:color="auto" w:fill="auto"/>
            <w:noWrap/>
            <w:vAlign w:val="bottom"/>
            <w:hideMark/>
          </w:tcPr>
          <w:p w14:paraId="2613B54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Los Peumos</w:t>
            </w:r>
          </w:p>
        </w:tc>
        <w:tc>
          <w:tcPr>
            <w:tcW w:w="992" w:type="dxa"/>
            <w:tcBorders>
              <w:top w:val="nil"/>
              <w:left w:val="nil"/>
              <w:bottom w:val="single" w:sz="4" w:space="0" w:color="auto"/>
              <w:right w:val="single" w:sz="4" w:space="0" w:color="auto"/>
            </w:tcBorders>
            <w:shd w:val="clear" w:color="auto" w:fill="auto"/>
            <w:noWrap/>
          </w:tcPr>
          <w:p w14:paraId="5D1D0CB3" w14:textId="4CDF109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0,81</w:t>
            </w:r>
          </w:p>
        </w:tc>
        <w:tc>
          <w:tcPr>
            <w:tcW w:w="851" w:type="dxa"/>
            <w:tcBorders>
              <w:top w:val="nil"/>
              <w:left w:val="nil"/>
              <w:bottom w:val="single" w:sz="4" w:space="0" w:color="auto"/>
              <w:right w:val="single" w:sz="4" w:space="0" w:color="auto"/>
            </w:tcBorders>
            <w:shd w:val="clear" w:color="auto" w:fill="auto"/>
            <w:noWrap/>
          </w:tcPr>
          <w:p w14:paraId="3E7D0E90" w14:textId="248CB4A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0,19</w:t>
            </w:r>
          </w:p>
        </w:tc>
        <w:tc>
          <w:tcPr>
            <w:tcW w:w="992" w:type="dxa"/>
            <w:tcBorders>
              <w:top w:val="nil"/>
              <w:left w:val="nil"/>
              <w:bottom w:val="single" w:sz="4" w:space="0" w:color="auto"/>
              <w:right w:val="single" w:sz="4" w:space="0" w:color="auto"/>
            </w:tcBorders>
            <w:shd w:val="clear" w:color="auto" w:fill="auto"/>
            <w:noWrap/>
          </w:tcPr>
          <w:p w14:paraId="5EA4747D" w14:textId="44FAE97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0,91</w:t>
            </w:r>
          </w:p>
        </w:tc>
        <w:tc>
          <w:tcPr>
            <w:tcW w:w="992" w:type="dxa"/>
            <w:tcBorders>
              <w:top w:val="nil"/>
              <w:left w:val="nil"/>
              <w:bottom w:val="single" w:sz="4" w:space="0" w:color="auto"/>
              <w:right w:val="single" w:sz="4" w:space="0" w:color="auto"/>
            </w:tcBorders>
            <w:shd w:val="clear" w:color="auto" w:fill="auto"/>
            <w:noWrap/>
          </w:tcPr>
          <w:p w14:paraId="6615D8DE" w14:textId="68DB7E0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0,09</w:t>
            </w:r>
          </w:p>
        </w:tc>
      </w:tr>
      <w:tr w:rsidR="00106B2F" w:rsidRPr="00106B2F" w14:paraId="1563F7B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579CDF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SE-N_40</w:t>
            </w:r>
          </w:p>
        </w:tc>
        <w:tc>
          <w:tcPr>
            <w:tcW w:w="5103" w:type="dxa"/>
            <w:tcBorders>
              <w:top w:val="nil"/>
              <w:left w:val="nil"/>
              <w:bottom w:val="single" w:sz="4" w:space="0" w:color="auto"/>
              <w:right w:val="single" w:sz="4" w:space="0" w:color="auto"/>
            </w:tcBorders>
            <w:shd w:val="clear" w:color="auto" w:fill="auto"/>
            <w:noWrap/>
            <w:vAlign w:val="bottom"/>
            <w:hideMark/>
          </w:tcPr>
          <w:p w14:paraId="6CE00F7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Los Vilos</w:t>
            </w:r>
          </w:p>
        </w:tc>
        <w:tc>
          <w:tcPr>
            <w:tcW w:w="992" w:type="dxa"/>
            <w:tcBorders>
              <w:top w:val="nil"/>
              <w:left w:val="nil"/>
              <w:bottom w:val="single" w:sz="4" w:space="0" w:color="auto"/>
              <w:right w:val="single" w:sz="4" w:space="0" w:color="auto"/>
            </w:tcBorders>
            <w:shd w:val="clear" w:color="auto" w:fill="auto"/>
            <w:noWrap/>
          </w:tcPr>
          <w:p w14:paraId="6ABF3188" w14:textId="477EBFC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0,28</w:t>
            </w:r>
          </w:p>
        </w:tc>
        <w:tc>
          <w:tcPr>
            <w:tcW w:w="851" w:type="dxa"/>
            <w:tcBorders>
              <w:top w:val="nil"/>
              <w:left w:val="nil"/>
              <w:bottom w:val="single" w:sz="4" w:space="0" w:color="auto"/>
              <w:right w:val="single" w:sz="4" w:space="0" w:color="auto"/>
            </w:tcBorders>
            <w:shd w:val="clear" w:color="auto" w:fill="auto"/>
            <w:noWrap/>
          </w:tcPr>
          <w:p w14:paraId="43DC29D0" w14:textId="64907BC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0,72</w:t>
            </w:r>
          </w:p>
        </w:tc>
        <w:tc>
          <w:tcPr>
            <w:tcW w:w="992" w:type="dxa"/>
            <w:tcBorders>
              <w:top w:val="nil"/>
              <w:left w:val="nil"/>
              <w:bottom w:val="single" w:sz="4" w:space="0" w:color="auto"/>
              <w:right w:val="single" w:sz="4" w:space="0" w:color="auto"/>
            </w:tcBorders>
            <w:shd w:val="clear" w:color="auto" w:fill="auto"/>
            <w:noWrap/>
          </w:tcPr>
          <w:p w14:paraId="703CF09E" w14:textId="15E9618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0,41</w:t>
            </w:r>
          </w:p>
        </w:tc>
        <w:tc>
          <w:tcPr>
            <w:tcW w:w="992" w:type="dxa"/>
            <w:tcBorders>
              <w:top w:val="nil"/>
              <w:left w:val="nil"/>
              <w:bottom w:val="single" w:sz="4" w:space="0" w:color="auto"/>
              <w:right w:val="single" w:sz="4" w:space="0" w:color="auto"/>
            </w:tcBorders>
            <w:shd w:val="clear" w:color="auto" w:fill="auto"/>
            <w:noWrap/>
          </w:tcPr>
          <w:p w14:paraId="6CE7D85A" w14:textId="354E4E0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0,59</w:t>
            </w:r>
          </w:p>
        </w:tc>
      </w:tr>
      <w:tr w:rsidR="00106B2F" w:rsidRPr="00106B2F" w14:paraId="4439B28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724286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SE-N_41</w:t>
            </w:r>
          </w:p>
        </w:tc>
        <w:tc>
          <w:tcPr>
            <w:tcW w:w="5103" w:type="dxa"/>
            <w:tcBorders>
              <w:top w:val="nil"/>
              <w:left w:val="nil"/>
              <w:bottom w:val="single" w:sz="4" w:space="0" w:color="auto"/>
              <w:right w:val="single" w:sz="4" w:space="0" w:color="auto"/>
            </w:tcBorders>
            <w:shd w:val="clear" w:color="auto" w:fill="auto"/>
            <w:noWrap/>
            <w:vAlign w:val="bottom"/>
            <w:hideMark/>
          </w:tcPr>
          <w:p w14:paraId="012E3B2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Maipo</w:t>
            </w:r>
          </w:p>
        </w:tc>
        <w:tc>
          <w:tcPr>
            <w:tcW w:w="992" w:type="dxa"/>
            <w:tcBorders>
              <w:top w:val="nil"/>
              <w:left w:val="nil"/>
              <w:bottom w:val="single" w:sz="4" w:space="0" w:color="auto"/>
              <w:right w:val="single" w:sz="4" w:space="0" w:color="auto"/>
            </w:tcBorders>
            <w:shd w:val="clear" w:color="auto" w:fill="auto"/>
            <w:noWrap/>
          </w:tcPr>
          <w:p w14:paraId="65A105B0" w14:textId="18145D4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0,37</w:t>
            </w:r>
          </w:p>
        </w:tc>
        <w:tc>
          <w:tcPr>
            <w:tcW w:w="851" w:type="dxa"/>
            <w:tcBorders>
              <w:top w:val="nil"/>
              <w:left w:val="nil"/>
              <w:bottom w:val="single" w:sz="4" w:space="0" w:color="auto"/>
              <w:right w:val="single" w:sz="4" w:space="0" w:color="auto"/>
            </w:tcBorders>
            <w:shd w:val="clear" w:color="auto" w:fill="auto"/>
            <w:noWrap/>
          </w:tcPr>
          <w:p w14:paraId="6D6410B2" w14:textId="604B347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0,63</w:t>
            </w:r>
          </w:p>
        </w:tc>
        <w:tc>
          <w:tcPr>
            <w:tcW w:w="992" w:type="dxa"/>
            <w:tcBorders>
              <w:top w:val="nil"/>
              <w:left w:val="nil"/>
              <w:bottom w:val="single" w:sz="4" w:space="0" w:color="auto"/>
              <w:right w:val="single" w:sz="4" w:space="0" w:color="auto"/>
            </w:tcBorders>
            <w:shd w:val="clear" w:color="auto" w:fill="auto"/>
            <w:noWrap/>
          </w:tcPr>
          <w:p w14:paraId="32E16737" w14:textId="4029E5D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0,56</w:t>
            </w:r>
          </w:p>
        </w:tc>
        <w:tc>
          <w:tcPr>
            <w:tcW w:w="992" w:type="dxa"/>
            <w:tcBorders>
              <w:top w:val="nil"/>
              <w:left w:val="nil"/>
              <w:bottom w:val="single" w:sz="4" w:space="0" w:color="auto"/>
              <w:right w:val="single" w:sz="4" w:space="0" w:color="auto"/>
            </w:tcBorders>
            <w:shd w:val="clear" w:color="auto" w:fill="auto"/>
            <w:noWrap/>
          </w:tcPr>
          <w:p w14:paraId="0C4167D9" w14:textId="2262828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0,44</w:t>
            </w:r>
          </w:p>
        </w:tc>
      </w:tr>
      <w:tr w:rsidR="00106B2F" w:rsidRPr="00106B2F" w14:paraId="0FFE134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482651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SE-N_42</w:t>
            </w:r>
          </w:p>
        </w:tc>
        <w:tc>
          <w:tcPr>
            <w:tcW w:w="5103" w:type="dxa"/>
            <w:tcBorders>
              <w:top w:val="nil"/>
              <w:left w:val="nil"/>
              <w:bottom w:val="single" w:sz="4" w:space="0" w:color="auto"/>
              <w:right w:val="single" w:sz="4" w:space="0" w:color="auto"/>
            </w:tcBorders>
            <w:shd w:val="clear" w:color="auto" w:fill="auto"/>
            <w:noWrap/>
            <w:vAlign w:val="bottom"/>
            <w:hideMark/>
          </w:tcPr>
          <w:p w14:paraId="496E10B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Maitencillo</w:t>
            </w:r>
          </w:p>
        </w:tc>
        <w:tc>
          <w:tcPr>
            <w:tcW w:w="992" w:type="dxa"/>
            <w:tcBorders>
              <w:top w:val="nil"/>
              <w:left w:val="nil"/>
              <w:bottom w:val="single" w:sz="4" w:space="0" w:color="auto"/>
              <w:right w:val="single" w:sz="4" w:space="0" w:color="auto"/>
            </w:tcBorders>
            <w:shd w:val="clear" w:color="auto" w:fill="auto"/>
            <w:noWrap/>
          </w:tcPr>
          <w:p w14:paraId="1E83BD4F" w14:textId="38365BB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0,12</w:t>
            </w:r>
          </w:p>
        </w:tc>
        <w:tc>
          <w:tcPr>
            <w:tcW w:w="851" w:type="dxa"/>
            <w:tcBorders>
              <w:top w:val="nil"/>
              <w:left w:val="nil"/>
              <w:bottom w:val="single" w:sz="4" w:space="0" w:color="auto"/>
              <w:right w:val="single" w:sz="4" w:space="0" w:color="auto"/>
            </w:tcBorders>
            <w:shd w:val="clear" w:color="auto" w:fill="auto"/>
            <w:noWrap/>
          </w:tcPr>
          <w:p w14:paraId="3F02331A" w14:textId="18688F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0,88</w:t>
            </w:r>
          </w:p>
        </w:tc>
        <w:tc>
          <w:tcPr>
            <w:tcW w:w="992" w:type="dxa"/>
            <w:tcBorders>
              <w:top w:val="nil"/>
              <w:left w:val="nil"/>
              <w:bottom w:val="single" w:sz="4" w:space="0" w:color="auto"/>
              <w:right w:val="single" w:sz="4" w:space="0" w:color="auto"/>
            </w:tcBorders>
            <w:shd w:val="clear" w:color="auto" w:fill="auto"/>
            <w:noWrap/>
          </w:tcPr>
          <w:p w14:paraId="526F3726" w14:textId="7E5C119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0,21</w:t>
            </w:r>
          </w:p>
        </w:tc>
        <w:tc>
          <w:tcPr>
            <w:tcW w:w="992" w:type="dxa"/>
            <w:tcBorders>
              <w:top w:val="nil"/>
              <w:left w:val="nil"/>
              <w:bottom w:val="single" w:sz="4" w:space="0" w:color="auto"/>
              <w:right w:val="single" w:sz="4" w:space="0" w:color="auto"/>
            </w:tcBorders>
            <w:shd w:val="clear" w:color="auto" w:fill="auto"/>
            <w:noWrap/>
          </w:tcPr>
          <w:p w14:paraId="0FA38A52" w14:textId="2D1CE8B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0,79</w:t>
            </w:r>
          </w:p>
        </w:tc>
      </w:tr>
      <w:tr w:rsidR="00106B2F" w:rsidRPr="00106B2F" w14:paraId="31A2A64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1365A1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SE-N_43</w:t>
            </w:r>
          </w:p>
        </w:tc>
        <w:tc>
          <w:tcPr>
            <w:tcW w:w="5103" w:type="dxa"/>
            <w:tcBorders>
              <w:top w:val="nil"/>
              <w:left w:val="nil"/>
              <w:bottom w:val="single" w:sz="4" w:space="0" w:color="auto"/>
              <w:right w:val="single" w:sz="4" w:space="0" w:color="auto"/>
            </w:tcBorders>
            <w:shd w:val="clear" w:color="auto" w:fill="auto"/>
            <w:noWrap/>
            <w:vAlign w:val="bottom"/>
            <w:hideMark/>
          </w:tcPr>
          <w:p w14:paraId="3D2A1EC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Maria Elena</w:t>
            </w:r>
          </w:p>
        </w:tc>
        <w:tc>
          <w:tcPr>
            <w:tcW w:w="992" w:type="dxa"/>
            <w:tcBorders>
              <w:top w:val="nil"/>
              <w:left w:val="nil"/>
              <w:bottom w:val="single" w:sz="4" w:space="0" w:color="auto"/>
              <w:right w:val="single" w:sz="4" w:space="0" w:color="auto"/>
            </w:tcBorders>
            <w:shd w:val="clear" w:color="auto" w:fill="auto"/>
            <w:noWrap/>
          </w:tcPr>
          <w:p w14:paraId="13EAD77D" w14:textId="49177F6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0,06</w:t>
            </w:r>
          </w:p>
        </w:tc>
        <w:tc>
          <w:tcPr>
            <w:tcW w:w="851" w:type="dxa"/>
            <w:tcBorders>
              <w:top w:val="nil"/>
              <w:left w:val="nil"/>
              <w:bottom w:val="single" w:sz="4" w:space="0" w:color="auto"/>
              <w:right w:val="single" w:sz="4" w:space="0" w:color="auto"/>
            </w:tcBorders>
            <w:shd w:val="clear" w:color="auto" w:fill="auto"/>
            <w:noWrap/>
          </w:tcPr>
          <w:p w14:paraId="3359962D" w14:textId="257E851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0,94</w:t>
            </w:r>
          </w:p>
        </w:tc>
        <w:tc>
          <w:tcPr>
            <w:tcW w:w="992" w:type="dxa"/>
            <w:tcBorders>
              <w:top w:val="nil"/>
              <w:left w:val="nil"/>
              <w:bottom w:val="single" w:sz="4" w:space="0" w:color="auto"/>
              <w:right w:val="single" w:sz="4" w:space="0" w:color="auto"/>
            </w:tcBorders>
            <w:shd w:val="clear" w:color="auto" w:fill="auto"/>
            <w:noWrap/>
          </w:tcPr>
          <w:p w14:paraId="0EE305EE" w14:textId="01C5209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0,10</w:t>
            </w:r>
          </w:p>
        </w:tc>
        <w:tc>
          <w:tcPr>
            <w:tcW w:w="992" w:type="dxa"/>
            <w:tcBorders>
              <w:top w:val="nil"/>
              <w:left w:val="nil"/>
              <w:bottom w:val="single" w:sz="4" w:space="0" w:color="auto"/>
              <w:right w:val="single" w:sz="4" w:space="0" w:color="auto"/>
            </w:tcBorders>
            <w:shd w:val="clear" w:color="auto" w:fill="auto"/>
            <w:noWrap/>
          </w:tcPr>
          <w:p w14:paraId="36673D2D" w14:textId="0281360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0,90</w:t>
            </w:r>
          </w:p>
        </w:tc>
      </w:tr>
      <w:tr w:rsidR="00106B2F" w:rsidRPr="00106B2F" w14:paraId="2AEC56F3"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D22E8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SE-N_44</w:t>
            </w:r>
          </w:p>
        </w:tc>
        <w:tc>
          <w:tcPr>
            <w:tcW w:w="5103" w:type="dxa"/>
            <w:tcBorders>
              <w:top w:val="nil"/>
              <w:left w:val="nil"/>
              <w:bottom w:val="single" w:sz="4" w:space="0" w:color="auto"/>
              <w:right w:val="single" w:sz="4" w:space="0" w:color="auto"/>
            </w:tcBorders>
            <w:shd w:val="clear" w:color="auto" w:fill="auto"/>
            <w:noWrap/>
            <w:vAlign w:val="bottom"/>
            <w:hideMark/>
          </w:tcPr>
          <w:p w14:paraId="65502CD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Melipulli</w:t>
            </w:r>
          </w:p>
        </w:tc>
        <w:tc>
          <w:tcPr>
            <w:tcW w:w="992" w:type="dxa"/>
            <w:tcBorders>
              <w:top w:val="nil"/>
              <w:left w:val="nil"/>
              <w:bottom w:val="single" w:sz="4" w:space="0" w:color="auto"/>
              <w:right w:val="single" w:sz="4" w:space="0" w:color="auto"/>
            </w:tcBorders>
            <w:shd w:val="clear" w:color="auto" w:fill="auto"/>
            <w:noWrap/>
          </w:tcPr>
          <w:p w14:paraId="4FD408BE" w14:textId="3201675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1460516B" w14:textId="7AE6F83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4E203B08" w14:textId="09CDAA0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c>
          <w:tcPr>
            <w:tcW w:w="992" w:type="dxa"/>
            <w:tcBorders>
              <w:top w:val="nil"/>
              <w:left w:val="nil"/>
              <w:bottom w:val="single" w:sz="4" w:space="0" w:color="auto"/>
              <w:right w:val="single" w:sz="4" w:space="0" w:color="auto"/>
            </w:tcBorders>
            <w:shd w:val="clear" w:color="auto" w:fill="auto"/>
            <w:noWrap/>
          </w:tcPr>
          <w:p w14:paraId="45856E7C" w14:textId="3200AA2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r>
      <w:tr w:rsidR="00106B2F" w:rsidRPr="00106B2F" w14:paraId="1592DD5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D0823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SE-N_45</w:t>
            </w:r>
          </w:p>
        </w:tc>
        <w:tc>
          <w:tcPr>
            <w:tcW w:w="5103" w:type="dxa"/>
            <w:tcBorders>
              <w:top w:val="nil"/>
              <w:left w:val="nil"/>
              <w:bottom w:val="single" w:sz="4" w:space="0" w:color="auto"/>
              <w:right w:val="single" w:sz="4" w:space="0" w:color="auto"/>
            </w:tcBorders>
            <w:shd w:val="clear" w:color="auto" w:fill="auto"/>
            <w:noWrap/>
            <w:vAlign w:val="bottom"/>
            <w:hideMark/>
          </w:tcPr>
          <w:p w14:paraId="251F6A7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Miraje</w:t>
            </w:r>
          </w:p>
        </w:tc>
        <w:tc>
          <w:tcPr>
            <w:tcW w:w="992" w:type="dxa"/>
            <w:tcBorders>
              <w:top w:val="nil"/>
              <w:left w:val="nil"/>
              <w:bottom w:val="single" w:sz="4" w:space="0" w:color="auto"/>
              <w:right w:val="single" w:sz="4" w:space="0" w:color="auto"/>
            </w:tcBorders>
            <w:shd w:val="clear" w:color="auto" w:fill="auto"/>
            <w:noWrap/>
          </w:tcPr>
          <w:p w14:paraId="41434652" w14:textId="5E8D862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0,15</w:t>
            </w:r>
          </w:p>
        </w:tc>
        <w:tc>
          <w:tcPr>
            <w:tcW w:w="851" w:type="dxa"/>
            <w:tcBorders>
              <w:top w:val="nil"/>
              <w:left w:val="nil"/>
              <w:bottom w:val="single" w:sz="4" w:space="0" w:color="auto"/>
              <w:right w:val="single" w:sz="4" w:space="0" w:color="auto"/>
            </w:tcBorders>
            <w:shd w:val="clear" w:color="auto" w:fill="auto"/>
            <w:noWrap/>
          </w:tcPr>
          <w:p w14:paraId="4CED8663" w14:textId="7661093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0,85</w:t>
            </w:r>
          </w:p>
        </w:tc>
        <w:tc>
          <w:tcPr>
            <w:tcW w:w="992" w:type="dxa"/>
            <w:tcBorders>
              <w:top w:val="nil"/>
              <w:left w:val="nil"/>
              <w:bottom w:val="single" w:sz="4" w:space="0" w:color="auto"/>
              <w:right w:val="single" w:sz="4" w:space="0" w:color="auto"/>
            </w:tcBorders>
            <w:shd w:val="clear" w:color="auto" w:fill="auto"/>
            <w:noWrap/>
          </w:tcPr>
          <w:p w14:paraId="4F49728F" w14:textId="03AA9A6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0,25</w:t>
            </w:r>
          </w:p>
        </w:tc>
        <w:tc>
          <w:tcPr>
            <w:tcW w:w="992" w:type="dxa"/>
            <w:tcBorders>
              <w:top w:val="nil"/>
              <w:left w:val="nil"/>
              <w:bottom w:val="single" w:sz="4" w:space="0" w:color="auto"/>
              <w:right w:val="single" w:sz="4" w:space="0" w:color="auto"/>
            </w:tcBorders>
            <w:shd w:val="clear" w:color="auto" w:fill="auto"/>
            <w:noWrap/>
          </w:tcPr>
          <w:p w14:paraId="4FBCB5AF" w14:textId="42F1659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0,75</w:t>
            </w:r>
          </w:p>
        </w:tc>
      </w:tr>
      <w:tr w:rsidR="00106B2F" w:rsidRPr="00106B2F" w14:paraId="051E022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E41C8C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SE-N_46</w:t>
            </w:r>
          </w:p>
        </w:tc>
        <w:tc>
          <w:tcPr>
            <w:tcW w:w="5103" w:type="dxa"/>
            <w:tcBorders>
              <w:top w:val="nil"/>
              <w:left w:val="nil"/>
              <w:bottom w:val="single" w:sz="4" w:space="0" w:color="auto"/>
              <w:right w:val="single" w:sz="4" w:space="0" w:color="auto"/>
            </w:tcBorders>
            <w:shd w:val="clear" w:color="auto" w:fill="auto"/>
            <w:noWrap/>
            <w:vAlign w:val="bottom"/>
            <w:hideMark/>
          </w:tcPr>
          <w:p w14:paraId="7CC0CF1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Mulchen</w:t>
            </w:r>
          </w:p>
        </w:tc>
        <w:tc>
          <w:tcPr>
            <w:tcW w:w="992" w:type="dxa"/>
            <w:tcBorders>
              <w:top w:val="nil"/>
              <w:left w:val="nil"/>
              <w:bottom w:val="single" w:sz="4" w:space="0" w:color="auto"/>
              <w:right w:val="single" w:sz="4" w:space="0" w:color="auto"/>
            </w:tcBorders>
            <w:shd w:val="clear" w:color="auto" w:fill="auto"/>
            <w:noWrap/>
          </w:tcPr>
          <w:p w14:paraId="0BD579CE" w14:textId="41D2157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0,46</w:t>
            </w:r>
          </w:p>
        </w:tc>
        <w:tc>
          <w:tcPr>
            <w:tcW w:w="851" w:type="dxa"/>
            <w:tcBorders>
              <w:top w:val="nil"/>
              <w:left w:val="nil"/>
              <w:bottom w:val="single" w:sz="4" w:space="0" w:color="auto"/>
              <w:right w:val="single" w:sz="4" w:space="0" w:color="auto"/>
            </w:tcBorders>
            <w:shd w:val="clear" w:color="auto" w:fill="auto"/>
            <w:noWrap/>
          </w:tcPr>
          <w:p w14:paraId="17AE7C3A" w14:textId="338F1D8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0,54</w:t>
            </w:r>
          </w:p>
        </w:tc>
        <w:tc>
          <w:tcPr>
            <w:tcW w:w="992" w:type="dxa"/>
            <w:tcBorders>
              <w:top w:val="nil"/>
              <w:left w:val="nil"/>
              <w:bottom w:val="single" w:sz="4" w:space="0" w:color="auto"/>
              <w:right w:val="single" w:sz="4" w:space="0" w:color="auto"/>
            </w:tcBorders>
            <w:shd w:val="clear" w:color="auto" w:fill="auto"/>
            <w:noWrap/>
          </w:tcPr>
          <w:p w14:paraId="1BE06CE1" w14:textId="146C719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0BBDA2DF" w14:textId="1F4EE53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0,43</w:t>
            </w:r>
          </w:p>
        </w:tc>
      </w:tr>
      <w:tr w:rsidR="00106B2F" w:rsidRPr="00106B2F" w14:paraId="28BBF47B"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B45746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SE-N_47</w:t>
            </w:r>
          </w:p>
        </w:tc>
        <w:tc>
          <w:tcPr>
            <w:tcW w:w="5103" w:type="dxa"/>
            <w:tcBorders>
              <w:top w:val="nil"/>
              <w:left w:val="nil"/>
              <w:bottom w:val="single" w:sz="4" w:space="0" w:color="auto"/>
              <w:right w:val="single" w:sz="4" w:space="0" w:color="auto"/>
            </w:tcBorders>
            <w:shd w:val="clear" w:color="auto" w:fill="auto"/>
            <w:noWrap/>
            <w:vAlign w:val="bottom"/>
            <w:hideMark/>
          </w:tcPr>
          <w:p w14:paraId="628F4BE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Neptuno</w:t>
            </w:r>
          </w:p>
        </w:tc>
        <w:tc>
          <w:tcPr>
            <w:tcW w:w="992" w:type="dxa"/>
            <w:tcBorders>
              <w:top w:val="nil"/>
              <w:left w:val="nil"/>
              <w:bottom w:val="single" w:sz="4" w:space="0" w:color="auto"/>
              <w:right w:val="single" w:sz="4" w:space="0" w:color="auto"/>
            </w:tcBorders>
            <w:shd w:val="clear" w:color="auto" w:fill="auto"/>
            <w:noWrap/>
          </w:tcPr>
          <w:p w14:paraId="2E60285A" w14:textId="30BBE7F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0,40</w:t>
            </w:r>
          </w:p>
        </w:tc>
        <w:tc>
          <w:tcPr>
            <w:tcW w:w="851" w:type="dxa"/>
            <w:tcBorders>
              <w:top w:val="nil"/>
              <w:left w:val="nil"/>
              <w:bottom w:val="single" w:sz="4" w:space="0" w:color="auto"/>
              <w:right w:val="single" w:sz="4" w:space="0" w:color="auto"/>
            </w:tcBorders>
            <w:shd w:val="clear" w:color="auto" w:fill="auto"/>
            <w:noWrap/>
          </w:tcPr>
          <w:p w14:paraId="39F8BE17" w14:textId="33BDB92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0,60</w:t>
            </w:r>
          </w:p>
        </w:tc>
        <w:tc>
          <w:tcPr>
            <w:tcW w:w="992" w:type="dxa"/>
            <w:tcBorders>
              <w:top w:val="nil"/>
              <w:left w:val="nil"/>
              <w:bottom w:val="single" w:sz="4" w:space="0" w:color="auto"/>
              <w:right w:val="single" w:sz="4" w:space="0" w:color="auto"/>
            </w:tcBorders>
            <w:shd w:val="clear" w:color="auto" w:fill="auto"/>
            <w:noWrap/>
          </w:tcPr>
          <w:p w14:paraId="16A15771" w14:textId="1075EF2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0,48</w:t>
            </w:r>
          </w:p>
        </w:tc>
        <w:tc>
          <w:tcPr>
            <w:tcW w:w="992" w:type="dxa"/>
            <w:tcBorders>
              <w:top w:val="nil"/>
              <w:left w:val="nil"/>
              <w:bottom w:val="single" w:sz="4" w:space="0" w:color="auto"/>
              <w:right w:val="single" w:sz="4" w:space="0" w:color="auto"/>
            </w:tcBorders>
            <w:shd w:val="clear" w:color="auto" w:fill="auto"/>
            <w:noWrap/>
          </w:tcPr>
          <w:p w14:paraId="46A450C8" w14:textId="1763A18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0,52</w:t>
            </w:r>
          </w:p>
        </w:tc>
      </w:tr>
      <w:tr w:rsidR="00106B2F" w:rsidRPr="00106B2F" w14:paraId="2171105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D9ED4C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SE-N_48</w:t>
            </w:r>
          </w:p>
        </w:tc>
        <w:tc>
          <w:tcPr>
            <w:tcW w:w="5103" w:type="dxa"/>
            <w:tcBorders>
              <w:top w:val="nil"/>
              <w:left w:val="nil"/>
              <w:bottom w:val="single" w:sz="4" w:space="0" w:color="auto"/>
              <w:right w:val="single" w:sz="4" w:space="0" w:color="auto"/>
            </w:tcBorders>
            <w:shd w:val="clear" w:color="auto" w:fill="auto"/>
            <w:noWrap/>
            <w:vAlign w:val="bottom"/>
            <w:hideMark/>
          </w:tcPr>
          <w:p w14:paraId="61556B5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Nogales</w:t>
            </w:r>
          </w:p>
        </w:tc>
        <w:tc>
          <w:tcPr>
            <w:tcW w:w="992" w:type="dxa"/>
            <w:tcBorders>
              <w:top w:val="nil"/>
              <w:left w:val="nil"/>
              <w:bottom w:val="single" w:sz="4" w:space="0" w:color="auto"/>
              <w:right w:val="single" w:sz="4" w:space="0" w:color="auto"/>
            </w:tcBorders>
            <w:shd w:val="clear" w:color="auto" w:fill="auto"/>
            <w:noWrap/>
          </w:tcPr>
          <w:p w14:paraId="250410BF" w14:textId="6438780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0,35</w:t>
            </w:r>
          </w:p>
        </w:tc>
        <w:tc>
          <w:tcPr>
            <w:tcW w:w="851" w:type="dxa"/>
            <w:tcBorders>
              <w:top w:val="nil"/>
              <w:left w:val="nil"/>
              <w:bottom w:val="single" w:sz="4" w:space="0" w:color="auto"/>
              <w:right w:val="single" w:sz="4" w:space="0" w:color="auto"/>
            </w:tcBorders>
            <w:shd w:val="clear" w:color="auto" w:fill="auto"/>
            <w:noWrap/>
          </w:tcPr>
          <w:p w14:paraId="280339F1" w14:textId="6561A96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1ED2A221" w14:textId="6EAC3D0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0,43</w:t>
            </w:r>
          </w:p>
        </w:tc>
        <w:tc>
          <w:tcPr>
            <w:tcW w:w="992" w:type="dxa"/>
            <w:tcBorders>
              <w:top w:val="nil"/>
              <w:left w:val="nil"/>
              <w:bottom w:val="single" w:sz="4" w:space="0" w:color="auto"/>
              <w:right w:val="single" w:sz="4" w:space="0" w:color="auto"/>
            </w:tcBorders>
            <w:shd w:val="clear" w:color="auto" w:fill="auto"/>
            <w:noWrap/>
          </w:tcPr>
          <w:p w14:paraId="11A27BB9" w14:textId="60AE8F0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0,57</w:t>
            </w:r>
          </w:p>
        </w:tc>
      </w:tr>
      <w:tr w:rsidR="00106B2F" w:rsidRPr="00106B2F" w14:paraId="18037486"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98DCDC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SE-N_49</w:t>
            </w:r>
          </w:p>
        </w:tc>
        <w:tc>
          <w:tcPr>
            <w:tcW w:w="5103" w:type="dxa"/>
            <w:tcBorders>
              <w:top w:val="nil"/>
              <w:left w:val="nil"/>
              <w:bottom w:val="single" w:sz="4" w:space="0" w:color="auto"/>
              <w:right w:val="single" w:sz="4" w:space="0" w:color="auto"/>
            </w:tcBorders>
            <w:shd w:val="clear" w:color="auto" w:fill="auto"/>
            <w:noWrap/>
            <w:vAlign w:val="bottom"/>
            <w:hideMark/>
          </w:tcPr>
          <w:p w14:paraId="201C06C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Nueva Alto Melipilla</w:t>
            </w:r>
          </w:p>
        </w:tc>
        <w:tc>
          <w:tcPr>
            <w:tcW w:w="992" w:type="dxa"/>
            <w:tcBorders>
              <w:top w:val="nil"/>
              <w:left w:val="nil"/>
              <w:bottom w:val="single" w:sz="4" w:space="0" w:color="auto"/>
              <w:right w:val="single" w:sz="4" w:space="0" w:color="auto"/>
            </w:tcBorders>
            <w:shd w:val="clear" w:color="auto" w:fill="auto"/>
            <w:noWrap/>
          </w:tcPr>
          <w:p w14:paraId="6E3D2F66" w14:textId="23B317F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3C5048DA" w14:textId="28ABB06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F07A324" w14:textId="5D9A5BE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30A9504" w14:textId="05C528A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4388152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9A09C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SE-N_50</w:t>
            </w:r>
          </w:p>
        </w:tc>
        <w:tc>
          <w:tcPr>
            <w:tcW w:w="5103" w:type="dxa"/>
            <w:tcBorders>
              <w:top w:val="nil"/>
              <w:left w:val="nil"/>
              <w:bottom w:val="single" w:sz="4" w:space="0" w:color="auto"/>
              <w:right w:val="single" w:sz="4" w:space="0" w:color="auto"/>
            </w:tcBorders>
            <w:shd w:val="clear" w:color="auto" w:fill="auto"/>
            <w:noWrap/>
            <w:vAlign w:val="bottom"/>
            <w:hideMark/>
          </w:tcPr>
          <w:p w14:paraId="4B74F91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Nueva Cardones</w:t>
            </w:r>
          </w:p>
        </w:tc>
        <w:tc>
          <w:tcPr>
            <w:tcW w:w="992" w:type="dxa"/>
            <w:tcBorders>
              <w:top w:val="nil"/>
              <w:left w:val="nil"/>
              <w:bottom w:val="single" w:sz="4" w:space="0" w:color="auto"/>
              <w:right w:val="single" w:sz="4" w:space="0" w:color="auto"/>
            </w:tcBorders>
            <w:shd w:val="clear" w:color="auto" w:fill="auto"/>
            <w:noWrap/>
          </w:tcPr>
          <w:p w14:paraId="6185E317" w14:textId="77B65AA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0,43</w:t>
            </w:r>
          </w:p>
        </w:tc>
        <w:tc>
          <w:tcPr>
            <w:tcW w:w="851" w:type="dxa"/>
            <w:tcBorders>
              <w:top w:val="nil"/>
              <w:left w:val="nil"/>
              <w:bottom w:val="single" w:sz="4" w:space="0" w:color="auto"/>
              <w:right w:val="single" w:sz="4" w:space="0" w:color="auto"/>
            </w:tcBorders>
            <w:shd w:val="clear" w:color="auto" w:fill="auto"/>
            <w:noWrap/>
          </w:tcPr>
          <w:p w14:paraId="6865D879" w14:textId="29C172E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262E821C" w14:textId="7D6273B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0,57</w:t>
            </w:r>
          </w:p>
        </w:tc>
        <w:tc>
          <w:tcPr>
            <w:tcW w:w="992" w:type="dxa"/>
            <w:tcBorders>
              <w:top w:val="nil"/>
              <w:left w:val="nil"/>
              <w:bottom w:val="single" w:sz="4" w:space="0" w:color="auto"/>
              <w:right w:val="single" w:sz="4" w:space="0" w:color="auto"/>
            </w:tcBorders>
            <w:shd w:val="clear" w:color="auto" w:fill="auto"/>
            <w:noWrap/>
          </w:tcPr>
          <w:p w14:paraId="61423214" w14:textId="44FE253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0,43</w:t>
            </w:r>
          </w:p>
        </w:tc>
      </w:tr>
      <w:tr w:rsidR="00106B2F" w:rsidRPr="00106B2F" w14:paraId="6A9BDE4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6A0B55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SE-N_51</w:t>
            </w:r>
          </w:p>
        </w:tc>
        <w:tc>
          <w:tcPr>
            <w:tcW w:w="5103" w:type="dxa"/>
            <w:tcBorders>
              <w:top w:val="nil"/>
              <w:left w:val="nil"/>
              <w:bottom w:val="single" w:sz="4" w:space="0" w:color="auto"/>
              <w:right w:val="single" w:sz="4" w:space="0" w:color="auto"/>
            </w:tcBorders>
            <w:shd w:val="clear" w:color="auto" w:fill="auto"/>
            <w:noWrap/>
            <w:vAlign w:val="bottom"/>
            <w:hideMark/>
          </w:tcPr>
          <w:p w14:paraId="6E589BB8"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Nueva Pichirropulli</w:t>
            </w:r>
          </w:p>
        </w:tc>
        <w:tc>
          <w:tcPr>
            <w:tcW w:w="992" w:type="dxa"/>
            <w:tcBorders>
              <w:top w:val="nil"/>
              <w:left w:val="nil"/>
              <w:bottom w:val="single" w:sz="4" w:space="0" w:color="auto"/>
              <w:right w:val="single" w:sz="4" w:space="0" w:color="auto"/>
            </w:tcBorders>
            <w:shd w:val="clear" w:color="auto" w:fill="auto"/>
            <w:noWrap/>
          </w:tcPr>
          <w:p w14:paraId="585AE3FE" w14:textId="64E6CB5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0,10</w:t>
            </w:r>
          </w:p>
        </w:tc>
        <w:tc>
          <w:tcPr>
            <w:tcW w:w="851" w:type="dxa"/>
            <w:tcBorders>
              <w:top w:val="nil"/>
              <w:left w:val="nil"/>
              <w:bottom w:val="single" w:sz="4" w:space="0" w:color="auto"/>
              <w:right w:val="single" w:sz="4" w:space="0" w:color="auto"/>
            </w:tcBorders>
            <w:shd w:val="clear" w:color="auto" w:fill="auto"/>
            <w:noWrap/>
          </w:tcPr>
          <w:p w14:paraId="31E974BF" w14:textId="05143F2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0,90</w:t>
            </w:r>
          </w:p>
        </w:tc>
        <w:tc>
          <w:tcPr>
            <w:tcW w:w="992" w:type="dxa"/>
            <w:tcBorders>
              <w:top w:val="nil"/>
              <w:left w:val="nil"/>
              <w:bottom w:val="single" w:sz="4" w:space="0" w:color="auto"/>
              <w:right w:val="single" w:sz="4" w:space="0" w:color="auto"/>
            </w:tcBorders>
            <w:shd w:val="clear" w:color="auto" w:fill="auto"/>
            <w:noWrap/>
          </w:tcPr>
          <w:p w14:paraId="64308552" w14:textId="74C652A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0,16</w:t>
            </w:r>
          </w:p>
        </w:tc>
        <w:tc>
          <w:tcPr>
            <w:tcW w:w="992" w:type="dxa"/>
            <w:tcBorders>
              <w:top w:val="nil"/>
              <w:left w:val="nil"/>
              <w:bottom w:val="single" w:sz="4" w:space="0" w:color="auto"/>
              <w:right w:val="single" w:sz="4" w:space="0" w:color="auto"/>
            </w:tcBorders>
            <w:shd w:val="clear" w:color="auto" w:fill="auto"/>
            <w:noWrap/>
          </w:tcPr>
          <w:p w14:paraId="34779500" w14:textId="775E2BC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0,84</w:t>
            </w:r>
          </w:p>
        </w:tc>
      </w:tr>
      <w:tr w:rsidR="00106B2F" w:rsidRPr="00106B2F" w14:paraId="62A1CE5C"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8ABAD0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SE-N_52</w:t>
            </w:r>
          </w:p>
        </w:tc>
        <w:tc>
          <w:tcPr>
            <w:tcW w:w="5103" w:type="dxa"/>
            <w:tcBorders>
              <w:top w:val="nil"/>
              <w:left w:val="nil"/>
              <w:bottom w:val="single" w:sz="4" w:space="0" w:color="auto"/>
              <w:right w:val="single" w:sz="4" w:space="0" w:color="auto"/>
            </w:tcBorders>
            <w:shd w:val="clear" w:color="auto" w:fill="auto"/>
            <w:noWrap/>
            <w:vAlign w:val="bottom"/>
            <w:hideMark/>
          </w:tcPr>
          <w:p w14:paraId="6D1AA25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Nueva Victoria</w:t>
            </w:r>
          </w:p>
        </w:tc>
        <w:tc>
          <w:tcPr>
            <w:tcW w:w="992" w:type="dxa"/>
            <w:tcBorders>
              <w:top w:val="nil"/>
              <w:left w:val="nil"/>
              <w:bottom w:val="single" w:sz="4" w:space="0" w:color="auto"/>
              <w:right w:val="single" w:sz="4" w:space="0" w:color="auto"/>
            </w:tcBorders>
            <w:shd w:val="clear" w:color="auto" w:fill="auto"/>
            <w:noWrap/>
          </w:tcPr>
          <w:p w14:paraId="31D2BC8C" w14:textId="72C18FC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7C9811B6" w14:textId="06B6EC6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0EC5E90" w14:textId="32986DD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6F4A66F" w14:textId="1CBB521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113CFDE2"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47677A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SE-N_53</w:t>
            </w:r>
          </w:p>
        </w:tc>
        <w:tc>
          <w:tcPr>
            <w:tcW w:w="5103" w:type="dxa"/>
            <w:tcBorders>
              <w:top w:val="nil"/>
              <w:left w:val="nil"/>
              <w:bottom w:val="single" w:sz="4" w:space="0" w:color="auto"/>
              <w:right w:val="single" w:sz="4" w:space="0" w:color="auto"/>
            </w:tcBorders>
            <w:shd w:val="clear" w:color="auto" w:fill="auto"/>
            <w:noWrap/>
            <w:vAlign w:val="bottom"/>
            <w:hideMark/>
          </w:tcPr>
          <w:p w14:paraId="7FDA73B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O Higgins</w:t>
            </w:r>
          </w:p>
        </w:tc>
        <w:tc>
          <w:tcPr>
            <w:tcW w:w="992" w:type="dxa"/>
            <w:tcBorders>
              <w:top w:val="nil"/>
              <w:left w:val="nil"/>
              <w:bottom w:val="single" w:sz="4" w:space="0" w:color="auto"/>
              <w:right w:val="single" w:sz="4" w:space="0" w:color="auto"/>
            </w:tcBorders>
            <w:shd w:val="clear" w:color="auto" w:fill="auto"/>
            <w:noWrap/>
          </w:tcPr>
          <w:p w14:paraId="7A9689D9" w14:textId="5949D70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0,25</w:t>
            </w:r>
          </w:p>
        </w:tc>
        <w:tc>
          <w:tcPr>
            <w:tcW w:w="851" w:type="dxa"/>
            <w:tcBorders>
              <w:top w:val="nil"/>
              <w:left w:val="nil"/>
              <w:bottom w:val="single" w:sz="4" w:space="0" w:color="auto"/>
              <w:right w:val="single" w:sz="4" w:space="0" w:color="auto"/>
            </w:tcBorders>
            <w:shd w:val="clear" w:color="auto" w:fill="auto"/>
            <w:noWrap/>
          </w:tcPr>
          <w:p w14:paraId="7C333D98" w14:textId="00CC40F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54CEE27C" w14:textId="36E496B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0,32</w:t>
            </w:r>
          </w:p>
        </w:tc>
        <w:tc>
          <w:tcPr>
            <w:tcW w:w="992" w:type="dxa"/>
            <w:tcBorders>
              <w:top w:val="nil"/>
              <w:left w:val="nil"/>
              <w:bottom w:val="single" w:sz="4" w:space="0" w:color="auto"/>
              <w:right w:val="single" w:sz="4" w:space="0" w:color="auto"/>
            </w:tcBorders>
            <w:shd w:val="clear" w:color="auto" w:fill="auto"/>
            <w:noWrap/>
          </w:tcPr>
          <w:p w14:paraId="1FD3890A" w14:textId="7A76247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0,68</w:t>
            </w:r>
          </w:p>
        </w:tc>
      </w:tr>
      <w:tr w:rsidR="00106B2F" w:rsidRPr="00106B2F" w14:paraId="3F7CBD77"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BE471E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SE-N_54</w:t>
            </w:r>
          </w:p>
        </w:tc>
        <w:tc>
          <w:tcPr>
            <w:tcW w:w="5103" w:type="dxa"/>
            <w:tcBorders>
              <w:top w:val="nil"/>
              <w:left w:val="nil"/>
              <w:bottom w:val="single" w:sz="4" w:space="0" w:color="auto"/>
              <w:right w:val="single" w:sz="4" w:space="0" w:color="auto"/>
            </w:tcBorders>
            <w:shd w:val="clear" w:color="auto" w:fill="auto"/>
            <w:noWrap/>
            <w:vAlign w:val="bottom"/>
            <w:hideMark/>
          </w:tcPr>
          <w:p w14:paraId="35F1E07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Pan de Azucar</w:t>
            </w:r>
          </w:p>
        </w:tc>
        <w:tc>
          <w:tcPr>
            <w:tcW w:w="992" w:type="dxa"/>
            <w:tcBorders>
              <w:top w:val="nil"/>
              <w:left w:val="nil"/>
              <w:bottom w:val="single" w:sz="4" w:space="0" w:color="auto"/>
              <w:right w:val="single" w:sz="4" w:space="0" w:color="auto"/>
            </w:tcBorders>
            <w:shd w:val="clear" w:color="auto" w:fill="auto"/>
            <w:noWrap/>
          </w:tcPr>
          <w:p w14:paraId="1B3C13EA" w14:textId="21630EC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0,14</w:t>
            </w:r>
          </w:p>
        </w:tc>
        <w:tc>
          <w:tcPr>
            <w:tcW w:w="851" w:type="dxa"/>
            <w:tcBorders>
              <w:top w:val="nil"/>
              <w:left w:val="nil"/>
              <w:bottom w:val="single" w:sz="4" w:space="0" w:color="auto"/>
              <w:right w:val="single" w:sz="4" w:space="0" w:color="auto"/>
            </w:tcBorders>
            <w:shd w:val="clear" w:color="auto" w:fill="auto"/>
            <w:noWrap/>
          </w:tcPr>
          <w:p w14:paraId="6AD4A8B5" w14:textId="703ABED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0,86</w:t>
            </w:r>
          </w:p>
        </w:tc>
        <w:tc>
          <w:tcPr>
            <w:tcW w:w="992" w:type="dxa"/>
            <w:tcBorders>
              <w:top w:val="nil"/>
              <w:left w:val="nil"/>
              <w:bottom w:val="single" w:sz="4" w:space="0" w:color="auto"/>
              <w:right w:val="single" w:sz="4" w:space="0" w:color="auto"/>
            </w:tcBorders>
            <w:shd w:val="clear" w:color="auto" w:fill="auto"/>
            <w:noWrap/>
          </w:tcPr>
          <w:p w14:paraId="7B592A80" w14:textId="18B7E9B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0,28</w:t>
            </w:r>
          </w:p>
        </w:tc>
        <w:tc>
          <w:tcPr>
            <w:tcW w:w="992" w:type="dxa"/>
            <w:tcBorders>
              <w:top w:val="nil"/>
              <w:left w:val="nil"/>
              <w:bottom w:val="single" w:sz="4" w:space="0" w:color="auto"/>
              <w:right w:val="single" w:sz="4" w:space="0" w:color="auto"/>
            </w:tcBorders>
            <w:shd w:val="clear" w:color="auto" w:fill="auto"/>
            <w:noWrap/>
          </w:tcPr>
          <w:p w14:paraId="26C06F5B" w14:textId="628DE08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0,72</w:t>
            </w:r>
          </w:p>
        </w:tc>
      </w:tr>
      <w:tr w:rsidR="00106B2F" w:rsidRPr="00106B2F" w14:paraId="41DDAAAC"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F7D5C0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SE-N_55</w:t>
            </w:r>
          </w:p>
        </w:tc>
        <w:tc>
          <w:tcPr>
            <w:tcW w:w="5103" w:type="dxa"/>
            <w:tcBorders>
              <w:top w:val="nil"/>
              <w:left w:val="nil"/>
              <w:bottom w:val="single" w:sz="4" w:space="0" w:color="auto"/>
              <w:right w:val="single" w:sz="4" w:space="0" w:color="auto"/>
            </w:tcBorders>
            <w:shd w:val="clear" w:color="auto" w:fill="auto"/>
            <w:noWrap/>
            <w:vAlign w:val="bottom"/>
            <w:hideMark/>
          </w:tcPr>
          <w:p w14:paraId="7740D55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Parinacota</w:t>
            </w:r>
          </w:p>
        </w:tc>
        <w:tc>
          <w:tcPr>
            <w:tcW w:w="992" w:type="dxa"/>
            <w:tcBorders>
              <w:top w:val="nil"/>
              <w:left w:val="nil"/>
              <w:bottom w:val="single" w:sz="4" w:space="0" w:color="auto"/>
              <w:right w:val="single" w:sz="4" w:space="0" w:color="auto"/>
            </w:tcBorders>
            <w:shd w:val="clear" w:color="auto" w:fill="auto"/>
            <w:noWrap/>
          </w:tcPr>
          <w:p w14:paraId="0D45E937" w14:textId="77EB8D1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0,80</w:t>
            </w:r>
          </w:p>
        </w:tc>
        <w:tc>
          <w:tcPr>
            <w:tcW w:w="851" w:type="dxa"/>
            <w:tcBorders>
              <w:top w:val="nil"/>
              <w:left w:val="nil"/>
              <w:bottom w:val="single" w:sz="4" w:space="0" w:color="auto"/>
              <w:right w:val="single" w:sz="4" w:space="0" w:color="auto"/>
            </w:tcBorders>
            <w:shd w:val="clear" w:color="auto" w:fill="auto"/>
            <w:noWrap/>
          </w:tcPr>
          <w:p w14:paraId="4E109ED9" w14:textId="22904A0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0,20</w:t>
            </w:r>
          </w:p>
        </w:tc>
        <w:tc>
          <w:tcPr>
            <w:tcW w:w="992" w:type="dxa"/>
            <w:tcBorders>
              <w:top w:val="nil"/>
              <w:left w:val="nil"/>
              <w:bottom w:val="single" w:sz="4" w:space="0" w:color="auto"/>
              <w:right w:val="single" w:sz="4" w:space="0" w:color="auto"/>
            </w:tcBorders>
            <w:shd w:val="clear" w:color="auto" w:fill="auto"/>
            <w:noWrap/>
          </w:tcPr>
          <w:p w14:paraId="6EAAC9B0" w14:textId="1473C71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0,87</w:t>
            </w:r>
          </w:p>
        </w:tc>
        <w:tc>
          <w:tcPr>
            <w:tcW w:w="992" w:type="dxa"/>
            <w:tcBorders>
              <w:top w:val="nil"/>
              <w:left w:val="nil"/>
              <w:bottom w:val="single" w:sz="4" w:space="0" w:color="auto"/>
              <w:right w:val="single" w:sz="4" w:space="0" w:color="auto"/>
            </w:tcBorders>
            <w:shd w:val="clear" w:color="auto" w:fill="auto"/>
            <w:noWrap/>
          </w:tcPr>
          <w:p w14:paraId="2908637E" w14:textId="38A9256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0,13</w:t>
            </w:r>
          </w:p>
        </w:tc>
      </w:tr>
      <w:tr w:rsidR="00106B2F" w:rsidRPr="00106B2F" w14:paraId="10E184C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FE9506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SE-N_56</w:t>
            </w:r>
          </w:p>
        </w:tc>
        <w:tc>
          <w:tcPr>
            <w:tcW w:w="5103" w:type="dxa"/>
            <w:tcBorders>
              <w:top w:val="nil"/>
              <w:left w:val="nil"/>
              <w:bottom w:val="single" w:sz="4" w:space="0" w:color="auto"/>
              <w:right w:val="single" w:sz="4" w:space="0" w:color="auto"/>
            </w:tcBorders>
            <w:shd w:val="clear" w:color="auto" w:fill="auto"/>
            <w:noWrap/>
            <w:vAlign w:val="bottom"/>
            <w:hideMark/>
          </w:tcPr>
          <w:p w14:paraId="64BEDAB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Polpaico</w:t>
            </w:r>
          </w:p>
        </w:tc>
        <w:tc>
          <w:tcPr>
            <w:tcW w:w="992" w:type="dxa"/>
            <w:tcBorders>
              <w:top w:val="nil"/>
              <w:left w:val="nil"/>
              <w:bottom w:val="single" w:sz="4" w:space="0" w:color="auto"/>
              <w:right w:val="single" w:sz="4" w:space="0" w:color="auto"/>
            </w:tcBorders>
            <w:shd w:val="clear" w:color="auto" w:fill="auto"/>
            <w:noWrap/>
          </w:tcPr>
          <w:p w14:paraId="08DA2B40" w14:textId="4C0BCF4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0,19</w:t>
            </w:r>
          </w:p>
        </w:tc>
        <w:tc>
          <w:tcPr>
            <w:tcW w:w="851" w:type="dxa"/>
            <w:tcBorders>
              <w:top w:val="nil"/>
              <w:left w:val="nil"/>
              <w:bottom w:val="single" w:sz="4" w:space="0" w:color="auto"/>
              <w:right w:val="single" w:sz="4" w:space="0" w:color="auto"/>
            </w:tcBorders>
            <w:shd w:val="clear" w:color="auto" w:fill="auto"/>
            <w:noWrap/>
          </w:tcPr>
          <w:p w14:paraId="34B9FEA2" w14:textId="7C1BDD3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0,81</w:t>
            </w:r>
          </w:p>
        </w:tc>
        <w:tc>
          <w:tcPr>
            <w:tcW w:w="992" w:type="dxa"/>
            <w:tcBorders>
              <w:top w:val="nil"/>
              <w:left w:val="nil"/>
              <w:bottom w:val="single" w:sz="4" w:space="0" w:color="auto"/>
              <w:right w:val="single" w:sz="4" w:space="0" w:color="auto"/>
            </w:tcBorders>
            <w:shd w:val="clear" w:color="auto" w:fill="auto"/>
            <w:noWrap/>
          </w:tcPr>
          <w:p w14:paraId="5E6A5229" w14:textId="54025B9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0,31</w:t>
            </w:r>
          </w:p>
        </w:tc>
        <w:tc>
          <w:tcPr>
            <w:tcW w:w="992" w:type="dxa"/>
            <w:tcBorders>
              <w:top w:val="nil"/>
              <w:left w:val="nil"/>
              <w:bottom w:val="single" w:sz="4" w:space="0" w:color="auto"/>
              <w:right w:val="single" w:sz="4" w:space="0" w:color="auto"/>
            </w:tcBorders>
            <w:shd w:val="clear" w:color="auto" w:fill="auto"/>
            <w:noWrap/>
          </w:tcPr>
          <w:p w14:paraId="2FDEC969" w14:textId="797FF31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0,69</w:t>
            </w:r>
          </w:p>
        </w:tc>
      </w:tr>
      <w:tr w:rsidR="00106B2F" w:rsidRPr="00106B2F" w14:paraId="6B25C24D"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6B0AD8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SE-N_57</w:t>
            </w:r>
          </w:p>
        </w:tc>
        <w:tc>
          <w:tcPr>
            <w:tcW w:w="5103" w:type="dxa"/>
            <w:tcBorders>
              <w:top w:val="nil"/>
              <w:left w:val="nil"/>
              <w:bottom w:val="single" w:sz="4" w:space="0" w:color="auto"/>
              <w:right w:val="single" w:sz="4" w:space="0" w:color="auto"/>
            </w:tcBorders>
            <w:shd w:val="clear" w:color="auto" w:fill="auto"/>
            <w:noWrap/>
            <w:vAlign w:val="bottom"/>
            <w:hideMark/>
          </w:tcPr>
          <w:p w14:paraId="32FCD91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Pozo Almonte</w:t>
            </w:r>
          </w:p>
        </w:tc>
        <w:tc>
          <w:tcPr>
            <w:tcW w:w="992" w:type="dxa"/>
            <w:tcBorders>
              <w:top w:val="nil"/>
              <w:left w:val="nil"/>
              <w:bottom w:val="single" w:sz="4" w:space="0" w:color="auto"/>
              <w:right w:val="single" w:sz="4" w:space="0" w:color="auto"/>
            </w:tcBorders>
            <w:shd w:val="clear" w:color="auto" w:fill="auto"/>
            <w:noWrap/>
          </w:tcPr>
          <w:p w14:paraId="29216681" w14:textId="3C9D874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0,53</w:t>
            </w:r>
          </w:p>
        </w:tc>
        <w:tc>
          <w:tcPr>
            <w:tcW w:w="851" w:type="dxa"/>
            <w:tcBorders>
              <w:top w:val="nil"/>
              <w:left w:val="nil"/>
              <w:bottom w:val="single" w:sz="4" w:space="0" w:color="auto"/>
              <w:right w:val="single" w:sz="4" w:space="0" w:color="auto"/>
            </w:tcBorders>
            <w:shd w:val="clear" w:color="auto" w:fill="auto"/>
            <w:noWrap/>
          </w:tcPr>
          <w:p w14:paraId="01663537" w14:textId="025BAB6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491423FF" w14:textId="11CB448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24B5BD24" w14:textId="3E105B5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r>
      <w:tr w:rsidR="00106B2F" w:rsidRPr="00106B2F" w14:paraId="3E60A149"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9BF4F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SE-N_58</w:t>
            </w:r>
          </w:p>
        </w:tc>
        <w:tc>
          <w:tcPr>
            <w:tcW w:w="5103" w:type="dxa"/>
            <w:tcBorders>
              <w:top w:val="nil"/>
              <w:left w:val="nil"/>
              <w:bottom w:val="single" w:sz="4" w:space="0" w:color="auto"/>
              <w:right w:val="single" w:sz="4" w:space="0" w:color="auto"/>
            </w:tcBorders>
            <w:shd w:val="clear" w:color="auto" w:fill="auto"/>
            <w:noWrap/>
            <w:vAlign w:val="bottom"/>
            <w:hideMark/>
          </w:tcPr>
          <w:p w14:paraId="54117E4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Puente Negro</w:t>
            </w:r>
          </w:p>
        </w:tc>
        <w:tc>
          <w:tcPr>
            <w:tcW w:w="992" w:type="dxa"/>
            <w:tcBorders>
              <w:top w:val="nil"/>
              <w:left w:val="nil"/>
              <w:bottom w:val="single" w:sz="4" w:space="0" w:color="auto"/>
              <w:right w:val="single" w:sz="4" w:space="0" w:color="auto"/>
            </w:tcBorders>
            <w:shd w:val="clear" w:color="auto" w:fill="auto"/>
            <w:noWrap/>
          </w:tcPr>
          <w:p w14:paraId="3E261567" w14:textId="148CEBD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560FDF51" w14:textId="7D40DC7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9F70A88" w14:textId="3C56AC0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55BD0A8" w14:textId="6411760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2E6E4303"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C1848B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SE-N_59</w:t>
            </w:r>
          </w:p>
        </w:tc>
        <w:tc>
          <w:tcPr>
            <w:tcW w:w="5103" w:type="dxa"/>
            <w:tcBorders>
              <w:top w:val="nil"/>
              <w:left w:val="nil"/>
              <w:bottom w:val="single" w:sz="4" w:space="0" w:color="auto"/>
              <w:right w:val="single" w:sz="4" w:space="0" w:color="auto"/>
            </w:tcBorders>
            <w:shd w:val="clear" w:color="auto" w:fill="auto"/>
            <w:noWrap/>
            <w:vAlign w:val="bottom"/>
            <w:hideMark/>
          </w:tcPr>
          <w:p w14:paraId="6AAA23C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Puerto Montt</w:t>
            </w:r>
          </w:p>
        </w:tc>
        <w:tc>
          <w:tcPr>
            <w:tcW w:w="992" w:type="dxa"/>
            <w:tcBorders>
              <w:top w:val="nil"/>
              <w:left w:val="nil"/>
              <w:bottom w:val="single" w:sz="4" w:space="0" w:color="auto"/>
              <w:right w:val="single" w:sz="4" w:space="0" w:color="auto"/>
            </w:tcBorders>
            <w:shd w:val="clear" w:color="auto" w:fill="auto"/>
            <w:noWrap/>
          </w:tcPr>
          <w:p w14:paraId="1C2AF225" w14:textId="0CEAF32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0,35</w:t>
            </w:r>
          </w:p>
        </w:tc>
        <w:tc>
          <w:tcPr>
            <w:tcW w:w="851" w:type="dxa"/>
            <w:tcBorders>
              <w:top w:val="nil"/>
              <w:left w:val="nil"/>
              <w:bottom w:val="single" w:sz="4" w:space="0" w:color="auto"/>
              <w:right w:val="single" w:sz="4" w:space="0" w:color="auto"/>
            </w:tcBorders>
            <w:shd w:val="clear" w:color="auto" w:fill="auto"/>
            <w:noWrap/>
          </w:tcPr>
          <w:p w14:paraId="3698240C" w14:textId="2C7F8AA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0,65</w:t>
            </w:r>
          </w:p>
        </w:tc>
        <w:tc>
          <w:tcPr>
            <w:tcW w:w="992" w:type="dxa"/>
            <w:tcBorders>
              <w:top w:val="nil"/>
              <w:left w:val="nil"/>
              <w:bottom w:val="single" w:sz="4" w:space="0" w:color="auto"/>
              <w:right w:val="single" w:sz="4" w:space="0" w:color="auto"/>
            </w:tcBorders>
            <w:shd w:val="clear" w:color="auto" w:fill="auto"/>
            <w:noWrap/>
          </w:tcPr>
          <w:p w14:paraId="05ABB974" w14:textId="33F797F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c>
          <w:tcPr>
            <w:tcW w:w="992" w:type="dxa"/>
            <w:tcBorders>
              <w:top w:val="nil"/>
              <w:left w:val="nil"/>
              <w:bottom w:val="single" w:sz="4" w:space="0" w:color="auto"/>
              <w:right w:val="single" w:sz="4" w:space="0" w:color="auto"/>
            </w:tcBorders>
            <w:shd w:val="clear" w:color="auto" w:fill="auto"/>
            <w:noWrap/>
          </w:tcPr>
          <w:p w14:paraId="27F6497F" w14:textId="3C8EA4E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r>
      <w:tr w:rsidR="00106B2F" w:rsidRPr="00106B2F" w14:paraId="04618AD4"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70D949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SE-N_60</w:t>
            </w:r>
          </w:p>
        </w:tc>
        <w:tc>
          <w:tcPr>
            <w:tcW w:w="5103" w:type="dxa"/>
            <w:tcBorders>
              <w:top w:val="nil"/>
              <w:left w:val="nil"/>
              <w:bottom w:val="single" w:sz="4" w:space="0" w:color="auto"/>
              <w:right w:val="single" w:sz="4" w:space="0" w:color="auto"/>
            </w:tcBorders>
            <w:shd w:val="clear" w:color="auto" w:fill="auto"/>
            <w:noWrap/>
            <w:vAlign w:val="bottom"/>
            <w:hideMark/>
          </w:tcPr>
          <w:p w14:paraId="3F096DA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Punta Colorada</w:t>
            </w:r>
          </w:p>
        </w:tc>
        <w:tc>
          <w:tcPr>
            <w:tcW w:w="992" w:type="dxa"/>
            <w:tcBorders>
              <w:top w:val="nil"/>
              <w:left w:val="nil"/>
              <w:bottom w:val="single" w:sz="4" w:space="0" w:color="auto"/>
              <w:right w:val="single" w:sz="4" w:space="0" w:color="auto"/>
            </w:tcBorders>
            <w:shd w:val="clear" w:color="auto" w:fill="auto"/>
            <w:noWrap/>
          </w:tcPr>
          <w:p w14:paraId="67C02D27" w14:textId="4758B2D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0,30</w:t>
            </w:r>
          </w:p>
        </w:tc>
        <w:tc>
          <w:tcPr>
            <w:tcW w:w="851" w:type="dxa"/>
            <w:tcBorders>
              <w:top w:val="nil"/>
              <w:left w:val="nil"/>
              <w:bottom w:val="single" w:sz="4" w:space="0" w:color="auto"/>
              <w:right w:val="single" w:sz="4" w:space="0" w:color="auto"/>
            </w:tcBorders>
            <w:shd w:val="clear" w:color="auto" w:fill="auto"/>
            <w:noWrap/>
          </w:tcPr>
          <w:p w14:paraId="529125AE" w14:textId="30D0DC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0,70</w:t>
            </w:r>
          </w:p>
        </w:tc>
        <w:tc>
          <w:tcPr>
            <w:tcW w:w="992" w:type="dxa"/>
            <w:tcBorders>
              <w:top w:val="nil"/>
              <w:left w:val="nil"/>
              <w:bottom w:val="single" w:sz="4" w:space="0" w:color="auto"/>
              <w:right w:val="single" w:sz="4" w:space="0" w:color="auto"/>
            </w:tcBorders>
            <w:shd w:val="clear" w:color="auto" w:fill="auto"/>
            <w:noWrap/>
          </w:tcPr>
          <w:p w14:paraId="255F6F5C" w14:textId="57AE05F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0,38</w:t>
            </w:r>
          </w:p>
        </w:tc>
        <w:tc>
          <w:tcPr>
            <w:tcW w:w="992" w:type="dxa"/>
            <w:tcBorders>
              <w:top w:val="nil"/>
              <w:left w:val="nil"/>
              <w:bottom w:val="single" w:sz="4" w:space="0" w:color="auto"/>
              <w:right w:val="single" w:sz="4" w:space="0" w:color="auto"/>
            </w:tcBorders>
            <w:shd w:val="clear" w:color="auto" w:fill="auto"/>
            <w:noWrap/>
          </w:tcPr>
          <w:p w14:paraId="593FEC85" w14:textId="4A2825B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0,62</w:t>
            </w:r>
          </w:p>
        </w:tc>
      </w:tr>
      <w:tr w:rsidR="00106B2F" w:rsidRPr="00106B2F" w14:paraId="6577CB0B"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D1798B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SE-N_61</w:t>
            </w:r>
          </w:p>
        </w:tc>
        <w:tc>
          <w:tcPr>
            <w:tcW w:w="5103" w:type="dxa"/>
            <w:tcBorders>
              <w:top w:val="nil"/>
              <w:left w:val="nil"/>
              <w:bottom w:val="single" w:sz="4" w:space="0" w:color="auto"/>
              <w:right w:val="single" w:sz="4" w:space="0" w:color="auto"/>
            </w:tcBorders>
            <w:shd w:val="clear" w:color="auto" w:fill="auto"/>
            <w:noWrap/>
            <w:vAlign w:val="bottom"/>
            <w:hideMark/>
          </w:tcPr>
          <w:p w14:paraId="7D49A88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Punta Sierra</w:t>
            </w:r>
          </w:p>
        </w:tc>
        <w:tc>
          <w:tcPr>
            <w:tcW w:w="992" w:type="dxa"/>
            <w:tcBorders>
              <w:top w:val="nil"/>
              <w:left w:val="nil"/>
              <w:bottom w:val="single" w:sz="4" w:space="0" w:color="auto"/>
              <w:right w:val="single" w:sz="4" w:space="0" w:color="auto"/>
            </w:tcBorders>
            <w:shd w:val="clear" w:color="auto" w:fill="auto"/>
            <w:noWrap/>
          </w:tcPr>
          <w:p w14:paraId="0DD3F26E" w14:textId="013B5B1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17082B46" w14:textId="5D2215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2F70D095" w14:textId="7FA5D6D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5FEA7CB" w14:textId="18304210"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1B57C93D"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FB55CF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SE-N_62</w:t>
            </w:r>
          </w:p>
        </w:tc>
        <w:tc>
          <w:tcPr>
            <w:tcW w:w="5103" w:type="dxa"/>
            <w:tcBorders>
              <w:top w:val="nil"/>
              <w:left w:val="nil"/>
              <w:bottom w:val="single" w:sz="4" w:space="0" w:color="auto"/>
              <w:right w:val="single" w:sz="4" w:space="0" w:color="auto"/>
            </w:tcBorders>
            <w:shd w:val="clear" w:color="auto" w:fill="auto"/>
            <w:noWrap/>
            <w:vAlign w:val="bottom"/>
            <w:hideMark/>
          </w:tcPr>
          <w:p w14:paraId="2BBBF56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Quilapilun</w:t>
            </w:r>
          </w:p>
        </w:tc>
        <w:tc>
          <w:tcPr>
            <w:tcW w:w="992" w:type="dxa"/>
            <w:tcBorders>
              <w:top w:val="nil"/>
              <w:left w:val="nil"/>
              <w:bottom w:val="single" w:sz="4" w:space="0" w:color="auto"/>
              <w:right w:val="single" w:sz="4" w:space="0" w:color="auto"/>
            </w:tcBorders>
            <w:shd w:val="clear" w:color="auto" w:fill="auto"/>
            <w:noWrap/>
          </w:tcPr>
          <w:p w14:paraId="64C328F1" w14:textId="0E6323C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0,80</w:t>
            </w:r>
          </w:p>
        </w:tc>
        <w:tc>
          <w:tcPr>
            <w:tcW w:w="851" w:type="dxa"/>
            <w:tcBorders>
              <w:top w:val="nil"/>
              <w:left w:val="nil"/>
              <w:bottom w:val="single" w:sz="4" w:space="0" w:color="auto"/>
              <w:right w:val="single" w:sz="4" w:space="0" w:color="auto"/>
            </w:tcBorders>
            <w:shd w:val="clear" w:color="auto" w:fill="auto"/>
            <w:noWrap/>
          </w:tcPr>
          <w:p w14:paraId="2E06974B" w14:textId="0C60331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0,20</w:t>
            </w:r>
          </w:p>
        </w:tc>
        <w:tc>
          <w:tcPr>
            <w:tcW w:w="992" w:type="dxa"/>
            <w:tcBorders>
              <w:top w:val="nil"/>
              <w:left w:val="nil"/>
              <w:bottom w:val="single" w:sz="4" w:space="0" w:color="auto"/>
              <w:right w:val="single" w:sz="4" w:space="0" w:color="auto"/>
            </w:tcBorders>
            <w:shd w:val="clear" w:color="auto" w:fill="auto"/>
            <w:noWrap/>
          </w:tcPr>
          <w:p w14:paraId="4DE6E7BF" w14:textId="619553E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0,79</w:t>
            </w:r>
          </w:p>
        </w:tc>
        <w:tc>
          <w:tcPr>
            <w:tcW w:w="992" w:type="dxa"/>
            <w:tcBorders>
              <w:top w:val="nil"/>
              <w:left w:val="nil"/>
              <w:bottom w:val="single" w:sz="4" w:space="0" w:color="auto"/>
              <w:right w:val="single" w:sz="4" w:space="0" w:color="auto"/>
            </w:tcBorders>
            <w:shd w:val="clear" w:color="auto" w:fill="auto"/>
            <w:noWrap/>
          </w:tcPr>
          <w:p w14:paraId="2E555983" w14:textId="38C158A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0,21</w:t>
            </w:r>
          </w:p>
        </w:tc>
      </w:tr>
      <w:tr w:rsidR="00106B2F" w:rsidRPr="00106B2F" w14:paraId="60955FC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1CFEA0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SE-N_63</w:t>
            </w:r>
          </w:p>
        </w:tc>
        <w:tc>
          <w:tcPr>
            <w:tcW w:w="5103" w:type="dxa"/>
            <w:tcBorders>
              <w:top w:val="nil"/>
              <w:left w:val="nil"/>
              <w:bottom w:val="single" w:sz="4" w:space="0" w:color="auto"/>
              <w:right w:val="single" w:sz="4" w:space="0" w:color="auto"/>
            </w:tcBorders>
            <w:shd w:val="clear" w:color="auto" w:fill="auto"/>
            <w:noWrap/>
            <w:vAlign w:val="bottom"/>
            <w:hideMark/>
          </w:tcPr>
          <w:p w14:paraId="7052B3B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Quillagua</w:t>
            </w:r>
          </w:p>
        </w:tc>
        <w:tc>
          <w:tcPr>
            <w:tcW w:w="992" w:type="dxa"/>
            <w:tcBorders>
              <w:top w:val="nil"/>
              <w:left w:val="nil"/>
              <w:bottom w:val="single" w:sz="4" w:space="0" w:color="auto"/>
              <w:right w:val="single" w:sz="4" w:space="0" w:color="auto"/>
            </w:tcBorders>
            <w:shd w:val="clear" w:color="auto" w:fill="auto"/>
            <w:noWrap/>
          </w:tcPr>
          <w:p w14:paraId="2FC62A49" w14:textId="6C72E94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0,75</w:t>
            </w:r>
          </w:p>
        </w:tc>
        <w:tc>
          <w:tcPr>
            <w:tcW w:w="851" w:type="dxa"/>
            <w:tcBorders>
              <w:top w:val="nil"/>
              <w:left w:val="nil"/>
              <w:bottom w:val="single" w:sz="4" w:space="0" w:color="auto"/>
              <w:right w:val="single" w:sz="4" w:space="0" w:color="auto"/>
            </w:tcBorders>
            <w:shd w:val="clear" w:color="auto" w:fill="auto"/>
            <w:noWrap/>
          </w:tcPr>
          <w:p w14:paraId="6050F714" w14:textId="0F6CA7E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0,25</w:t>
            </w:r>
          </w:p>
        </w:tc>
        <w:tc>
          <w:tcPr>
            <w:tcW w:w="992" w:type="dxa"/>
            <w:tcBorders>
              <w:top w:val="nil"/>
              <w:left w:val="nil"/>
              <w:bottom w:val="single" w:sz="4" w:space="0" w:color="auto"/>
              <w:right w:val="single" w:sz="4" w:space="0" w:color="auto"/>
            </w:tcBorders>
            <w:shd w:val="clear" w:color="auto" w:fill="auto"/>
            <w:noWrap/>
          </w:tcPr>
          <w:p w14:paraId="1D239BD3" w14:textId="56732C9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0,75</w:t>
            </w:r>
          </w:p>
        </w:tc>
        <w:tc>
          <w:tcPr>
            <w:tcW w:w="992" w:type="dxa"/>
            <w:tcBorders>
              <w:top w:val="nil"/>
              <w:left w:val="nil"/>
              <w:bottom w:val="single" w:sz="4" w:space="0" w:color="auto"/>
              <w:right w:val="single" w:sz="4" w:space="0" w:color="auto"/>
            </w:tcBorders>
            <w:shd w:val="clear" w:color="auto" w:fill="auto"/>
            <w:noWrap/>
          </w:tcPr>
          <w:p w14:paraId="7A1DB428" w14:textId="1B82F34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0,25</w:t>
            </w:r>
          </w:p>
        </w:tc>
      </w:tr>
      <w:tr w:rsidR="00106B2F" w:rsidRPr="00106B2F" w14:paraId="6D924307"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D897D0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SE-N_64</w:t>
            </w:r>
          </w:p>
        </w:tc>
        <w:tc>
          <w:tcPr>
            <w:tcW w:w="5103" w:type="dxa"/>
            <w:tcBorders>
              <w:top w:val="nil"/>
              <w:left w:val="nil"/>
              <w:bottom w:val="single" w:sz="4" w:space="0" w:color="auto"/>
              <w:right w:val="single" w:sz="4" w:space="0" w:color="auto"/>
            </w:tcBorders>
            <w:shd w:val="clear" w:color="auto" w:fill="auto"/>
            <w:noWrap/>
            <w:vAlign w:val="bottom"/>
            <w:hideMark/>
          </w:tcPr>
          <w:p w14:paraId="7E8DBCB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Quillota</w:t>
            </w:r>
          </w:p>
        </w:tc>
        <w:tc>
          <w:tcPr>
            <w:tcW w:w="992" w:type="dxa"/>
            <w:tcBorders>
              <w:top w:val="nil"/>
              <w:left w:val="nil"/>
              <w:bottom w:val="single" w:sz="4" w:space="0" w:color="auto"/>
              <w:right w:val="single" w:sz="4" w:space="0" w:color="auto"/>
            </w:tcBorders>
            <w:shd w:val="clear" w:color="auto" w:fill="auto"/>
            <w:noWrap/>
          </w:tcPr>
          <w:p w14:paraId="1E8ED15E" w14:textId="09BCA54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0,41</w:t>
            </w:r>
          </w:p>
        </w:tc>
        <w:tc>
          <w:tcPr>
            <w:tcW w:w="851" w:type="dxa"/>
            <w:tcBorders>
              <w:top w:val="nil"/>
              <w:left w:val="nil"/>
              <w:bottom w:val="single" w:sz="4" w:space="0" w:color="auto"/>
              <w:right w:val="single" w:sz="4" w:space="0" w:color="auto"/>
            </w:tcBorders>
            <w:shd w:val="clear" w:color="auto" w:fill="auto"/>
            <w:noWrap/>
          </w:tcPr>
          <w:p w14:paraId="6802BEDD" w14:textId="251D08C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0,59</w:t>
            </w:r>
          </w:p>
        </w:tc>
        <w:tc>
          <w:tcPr>
            <w:tcW w:w="992" w:type="dxa"/>
            <w:tcBorders>
              <w:top w:val="nil"/>
              <w:left w:val="nil"/>
              <w:bottom w:val="single" w:sz="4" w:space="0" w:color="auto"/>
              <w:right w:val="single" w:sz="4" w:space="0" w:color="auto"/>
            </w:tcBorders>
            <w:shd w:val="clear" w:color="auto" w:fill="auto"/>
            <w:noWrap/>
          </w:tcPr>
          <w:p w14:paraId="4C611B92" w14:textId="65E79E4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0,51</w:t>
            </w:r>
          </w:p>
        </w:tc>
        <w:tc>
          <w:tcPr>
            <w:tcW w:w="992" w:type="dxa"/>
            <w:tcBorders>
              <w:top w:val="nil"/>
              <w:left w:val="nil"/>
              <w:bottom w:val="single" w:sz="4" w:space="0" w:color="auto"/>
              <w:right w:val="single" w:sz="4" w:space="0" w:color="auto"/>
            </w:tcBorders>
            <w:shd w:val="clear" w:color="auto" w:fill="auto"/>
            <w:noWrap/>
          </w:tcPr>
          <w:p w14:paraId="446B9079" w14:textId="01AFE2A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0,49</w:t>
            </w:r>
          </w:p>
        </w:tc>
      </w:tr>
      <w:tr w:rsidR="00106B2F" w:rsidRPr="00106B2F" w14:paraId="4701907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F2251E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SE-N_65</w:t>
            </w:r>
          </w:p>
        </w:tc>
        <w:tc>
          <w:tcPr>
            <w:tcW w:w="5103" w:type="dxa"/>
            <w:tcBorders>
              <w:top w:val="nil"/>
              <w:left w:val="nil"/>
              <w:bottom w:val="single" w:sz="4" w:space="0" w:color="auto"/>
              <w:right w:val="single" w:sz="4" w:space="0" w:color="auto"/>
            </w:tcBorders>
            <w:shd w:val="clear" w:color="auto" w:fill="auto"/>
            <w:noWrap/>
            <w:vAlign w:val="bottom"/>
            <w:hideMark/>
          </w:tcPr>
          <w:p w14:paraId="02AD46E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Rahue</w:t>
            </w:r>
          </w:p>
        </w:tc>
        <w:tc>
          <w:tcPr>
            <w:tcW w:w="992" w:type="dxa"/>
            <w:tcBorders>
              <w:top w:val="nil"/>
              <w:left w:val="nil"/>
              <w:bottom w:val="single" w:sz="4" w:space="0" w:color="auto"/>
              <w:right w:val="single" w:sz="4" w:space="0" w:color="auto"/>
            </w:tcBorders>
            <w:shd w:val="clear" w:color="auto" w:fill="auto"/>
            <w:noWrap/>
          </w:tcPr>
          <w:p w14:paraId="4C864EBB" w14:textId="5397313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0,40</w:t>
            </w:r>
          </w:p>
        </w:tc>
        <w:tc>
          <w:tcPr>
            <w:tcW w:w="851" w:type="dxa"/>
            <w:tcBorders>
              <w:top w:val="nil"/>
              <w:left w:val="nil"/>
              <w:bottom w:val="single" w:sz="4" w:space="0" w:color="auto"/>
              <w:right w:val="single" w:sz="4" w:space="0" w:color="auto"/>
            </w:tcBorders>
            <w:shd w:val="clear" w:color="auto" w:fill="auto"/>
            <w:noWrap/>
          </w:tcPr>
          <w:p w14:paraId="57873FF7" w14:textId="6A47807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0,60</w:t>
            </w:r>
          </w:p>
        </w:tc>
        <w:tc>
          <w:tcPr>
            <w:tcW w:w="992" w:type="dxa"/>
            <w:tcBorders>
              <w:top w:val="nil"/>
              <w:left w:val="nil"/>
              <w:bottom w:val="single" w:sz="4" w:space="0" w:color="auto"/>
              <w:right w:val="single" w:sz="4" w:space="0" w:color="auto"/>
            </w:tcBorders>
            <w:shd w:val="clear" w:color="auto" w:fill="auto"/>
            <w:noWrap/>
          </w:tcPr>
          <w:p w14:paraId="7AADC403" w14:textId="5419422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0,61</w:t>
            </w:r>
          </w:p>
        </w:tc>
        <w:tc>
          <w:tcPr>
            <w:tcW w:w="992" w:type="dxa"/>
            <w:tcBorders>
              <w:top w:val="nil"/>
              <w:left w:val="nil"/>
              <w:bottom w:val="single" w:sz="4" w:space="0" w:color="auto"/>
              <w:right w:val="single" w:sz="4" w:space="0" w:color="auto"/>
            </w:tcBorders>
            <w:shd w:val="clear" w:color="auto" w:fill="auto"/>
            <w:noWrap/>
          </w:tcPr>
          <w:p w14:paraId="7745ACC2" w14:textId="680ADC7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0,39</w:t>
            </w:r>
          </w:p>
        </w:tc>
      </w:tr>
      <w:tr w:rsidR="00106B2F" w:rsidRPr="00106B2F" w14:paraId="5338441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21077D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SE-N_66</w:t>
            </w:r>
          </w:p>
        </w:tc>
        <w:tc>
          <w:tcPr>
            <w:tcW w:w="5103" w:type="dxa"/>
            <w:tcBorders>
              <w:top w:val="nil"/>
              <w:left w:val="nil"/>
              <w:bottom w:val="single" w:sz="4" w:space="0" w:color="auto"/>
              <w:right w:val="single" w:sz="4" w:space="0" w:color="auto"/>
            </w:tcBorders>
            <w:shd w:val="clear" w:color="auto" w:fill="auto"/>
            <w:noWrap/>
            <w:vAlign w:val="bottom"/>
            <w:hideMark/>
          </w:tcPr>
          <w:p w14:paraId="6CD2D6B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Rapel</w:t>
            </w:r>
          </w:p>
        </w:tc>
        <w:tc>
          <w:tcPr>
            <w:tcW w:w="992" w:type="dxa"/>
            <w:tcBorders>
              <w:top w:val="nil"/>
              <w:left w:val="nil"/>
              <w:bottom w:val="single" w:sz="4" w:space="0" w:color="auto"/>
              <w:right w:val="single" w:sz="4" w:space="0" w:color="auto"/>
            </w:tcBorders>
            <w:shd w:val="clear" w:color="auto" w:fill="auto"/>
            <w:noWrap/>
          </w:tcPr>
          <w:p w14:paraId="6F84E3C1" w14:textId="03B840A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0,45</w:t>
            </w:r>
          </w:p>
        </w:tc>
        <w:tc>
          <w:tcPr>
            <w:tcW w:w="851" w:type="dxa"/>
            <w:tcBorders>
              <w:top w:val="nil"/>
              <w:left w:val="nil"/>
              <w:bottom w:val="single" w:sz="4" w:space="0" w:color="auto"/>
              <w:right w:val="single" w:sz="4" w:space="0" w:color="auto"/>
            </w:tcBorders>
            <w:shd w:val="clear" w:color="auto" w:fill="auto"/>
            <w:noWrap/>
          </w:tcPr>
          <w:p w14:paraId="58224DE3" w14:textId="4E944F4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3712D129" w14:textId="2AB355F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0,54</w:t>
            </w:r>
          </w:p>
        </w:tc>
        <w:tc>
          <w:tcPr>
            <w:tcW w:w="992" w:type="dxa"/>
            <w:tcBorders>
              <w:top w:val="nil"/>
              <w:left w:val="nil"/>
              <w:bottom w:val="single" w:sz="4" w:space="0" w:color="auto"/>
              <w:right w:val="single" w:sz="4" w:space="0" w:color="auto"/>
            </w:tcBorders>
            <w:shd w:val="clear" w:color="auto" w:fill="auto"/>
            <w:noWrap/>
          </w:tcPr>
          <w:p w14:paraId="67EEE79C" w14:textId="3CF62E3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0,46</w:t>
            </w:r>
          </w:p>
        </w:tc>
      </w:tr>
      <w:tr w:rsidR="00106B2F" w:rsidRPr="00106B2F" w14:paraId="5EA00685"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098AF7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SE-N_67</w:t>
            </w:r>
          </w:p>
        </w:tc>
        <w:tc>
          <w:tcPr>
            <w:tcW w:w="5103" w:type="dxa"/>
            <w:tcBorders>
              <w:top w:val="nil"/>
              <w:left w:val="nil"/>
              <w:bottom w:val="single" w:sz="4" w:space="0" w:color="auto"/>
              <w:right w:val="single" w:sz="4" w:space="0" w:color="auto"/>
            </w:tcBorders>
            <w:shd w:val="clear" w:color="auto" w:fill="auto"/>
            <w:noWrap/>
            <w:vAlign w:val="bottom"/>
            <w:hideMark/>
          </w:tcPr>
          <w:p w14:paraId="6C917B1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 San Andres</w:t>
            </w:r>
          </w:p>
        </w:tc>
        <w:tc>
          <w:tcPr>
            <w:tcW w:w="992" w:type="dxa"/>
            <w:tcBorders>
              <w:top w:val="nil"/>
              <w:left w:val="nil"/>
              <w:bottom w:val="single" w:sz="4" w:space="0" w:color="auto"/>
              <w:right w:val="single" w:sz="4" w:space="0" w:color="auto"/>
            </w:tcBorders>
            <w:shd w:val="clear" w:color="auto" w:fill="auto"/>
            <w:noWrap/>
          </w:tcPr>
          <w:p w14:paraId="242D21E4" w14:textId="4B57B80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0,77</w:t>
            </w:r>
          </w:p>
        </w:tc>
        <w:tc>
          <w:tcPr>
            <w:tcW w:w="851" w:type="dxa"/>
            <w:tcBorders>
              <w:top w:val="nil"/>
              <w:left w:val="nil"/>
              <w:bottom w:val="single" w:sz="4" w:space="0" w:color="auto"/>
              <w:right w:val="single" w:sz="4" w:space="0" w:color="auto"/>
            </w:tcBorders>
            <w:shd w:val="clear" w:color="auto" w:fill="auto"/>
            <w:noWrap/>
          </w:tcPr>
          <w:p w14:paraId="7279E232" w14:textId="7F3B489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0,23</w:t>
            </w:r>
          </w:p>
        </w:tc>
        <w:tc>
          <w:tcPr>
            <w:tcW w:w="992" w:type="dxa"/>
            <w:tcBorders>
              <w:top w:val="nil"/>
              <w:left w:val="nil"/>
              <w:bottom w:val="single" w:sz="4" w:space="0" w:color="auto"/>
              <w:right w:val="single" w:sz="4" w:space="0" w:color="auto"/>
            </w:tcBorders>
            <w:shd w:val="clear" w:color="auto" w:fill="auto"/>
            <w:noWrap/>
          </w:tcPr>
          <w:p w14:paraId="48E7851C" w14:textId="205CD29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0,89</w:t>
            </w:r>
          </w:p>
        </w:tc>
        <w:tc>
          <w:tcPr>
            <w:tcW w:w="992" w:type="dxa"/>
            <w:tcBorders>
              <w:top w:val="nil"/>
              <w:left w:val="nil"/>
              <w:bottom w:val="single" w:sz="4" w:space="0" w:color="auto"/>
              <w:right w:val="single" w:sz="4" w:space="0" w:color="auto"/>
            </w:tcBorders>
            <w:shd w:val="clear" w:color="auto" w:fill="auto"/>
            <w:noWrap/>
          </w:tcPr>
          <w:p w14:paraId="74EA6134" w14:textId="240725D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0,11</w:t>
            </w:r>
          </w:p>
        </w:tc>
      </w:tr>
      <w:tr w:rsidR="00106B2F" w:rsidRPr="00106B2F" w14:paraId="3170904D"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C26F542"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SE-N_68</w:t>
            </w:r>
          </w:p>
        </w:tc>
        <w:tc>
          <w:tcPr>
            <w:tcW w:w="5103" w:type="dxa"/>
            <w:tcBorders>
              <w:top w:val="nil"/>
              <w:left w:val="nil"/>
              <w:bottom w:val="single" w:sz="4" w:space="0" w:color="auto"/>
              <w:right w:val="single" w:sz="4" w:space="0" w:color="auto"/>
            </w:tcBorders>
            <w:shd w:val="clear" w:color="auto" w:fill="auto"/>
            <w:noWrap/>
            <w:vAlign w:val="bottom"/>
            <w:hideMark/>
          </w:tcPr>
          <w:p w14:paraId="3D9BAFC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Salar</w:t>
            </w:r>
          </w:p>
        </w:tc>
        <w:tc>
          <w:tcPr>
            <w:tcW w:w="992" w:type="dxa"/>
            <w:tcBorders>
              <w:top w:val="nil"/>
              <w:left w:val="nil"/>
              <w:bottom w:val="single" w:sz="4" w:space="0" w:color="auto"/>
              <w:right w:val="single" w:sz="4" w:space="0" w:color="auto"/>
            </w:tcBorders>
            <w:shd w:val="clear" w:color="auto" w:fill="auto"/>
            <w:noWrap/>
          </w:tcPr>
          <w:p w14:paraId="18B26398" w14:textId="4143C48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0,21</w:t>
            </w:r>
          </w:p>
        </w:tc>
        <w:tc>
          <w:tcPr>
            <w:tcW w:w="851" w:type="dxa"/>
            <w:tcBorders>
              <w:top w:val="nil"/>
              <w:left w:val="nil"/>
              <w:bottom w:val="single" w:sz="4" w:space="0" w:color="auto"/>
              <w:right w:val="single" w:sz="4" w:space="0" w:color="auto"/>
            </w:tcBorders>
            <w:shd w:val="clear" w:color="auto" w:fill="auto"/>
            <w:noWrap/>
          </w:tcPr>
          <w:p w14:paraId="0EA387F4" w14:textId="5FD67E6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0,79</w:t>
            </w:r>
          </w:p>
        </w:tc>
        <w:tc>
          <w:tcPr>
            <w:tcW w:w="992" w:type="dxa"/>
            <w:tcBorders>
              <w:top w:val="nil"/>
              <w:left w:val="nil"/>
              <w:bottom w:val="single" w:sz="4" w:space="0" w:color="auto"/>
              <w:right w:val="single" w:sz="4" w:space="0" w:color="auto"/>
            </w:tcBorders>
            <w:shd w:val="clear" w:color="auto" w:fill="auto"/>
            <w:noWrap/>
          </w:tcPr>
          <w:p w14:paraId="32A344ED" w14:textId="42BCF53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0,29</w:t>
            </w:r>
          </w:p>
        </w:tc>
        <w:tc>
          <w:tcPr>
            <w:tcW w:w="992" w:type="dxa"/>
            <w:tcBorders>
              <w:top w:val="nil"/>
              <w:left w:val="nil"/>
              <w:bottom w:val="single" w:sz="4" w:space="0" w:color="auto"/>
              <w:right w:val="single" w:sz="4" w:space="0" w:color="auto"/>
            </w:tcBorders>
            <w:shd w:val="clear" w:color="auto" w:fill="auto"/>
            <w:noWrap/>
          </w:tcPr>
          <w:p w14:paraId="3C981529" w14:textId="6617FBB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0,71</w:t>
            </w:r>
          </w:p>
        </w:tc>
      </w:tr>
      <w:tr w:rsidR="00106B2F" w:rsidRPr="00106B2F" w14:paraId="3CDB25AB"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65C9B9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SE-N_69</w:t>
            </w:r>
          </w:p>
        </w:tc>
        <w:tc>
          <w:tcPr>
            <w:tcW w:w="5103" w:type="dxa"/>
            <w:tcBorders>
              <w:top w:val="nil"/>
              <w:left w:val="nil"/>
              <w:bottom w:val="single" w:sz="4" w:space="0" w:color="auto"/>
              <w:right w:val="single" w:sz="4" w:space="0" w:color="auto"/>
            </w:tcBorders>
            <w:shd w:val="clear" w:color="auto" w:fill="auto"/>
            <w:noWrap/>
            <w:vAlign w:val="bottom"/>
            <w:hideMark/>
          </w:tcPr>
          <w:p w14:paraId="69CA8E0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San Luis</w:t>
            </w:r>
          </w:p>
        </w:tc>
        <w:tc>
          <w:tcPr>
            <w:tcW w:w="992" w:type="dxa"/>
            <w:tcBorders>
              <w:top w:val="nil"/>
              <w:left w:val="nil"/>
              <w:bottom w:val="single" w:sz="4" w:space="0" w:color="auto"/>
              <w:right w:val="single" w:sz="4" w:space="0" w:color="auto"/>
            </w:tcBorders>
            <w:shd w:val="clear" w:color="auto" w:fill="auto"/>
            <w:noWrap/>
          </w:tcPr>
          <w:p w14:paraId="1AB6B081" w14:textId="4121B42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0,53</w:t>
            </w:r>
          </w:p>
        </w:tc>
        <w:tc>
          <w:tcPr>
            <w:tcW w:w="851" w:type="dxa"/>
            <w:tcBorders>
              <w:top w:val="nil"/>
              <w:left w:val="nil"/>
              <w:bottom w:val="single" w:sz="4" w:space="0" w:color="auto"/>
              <w:right w:val="single" w:sz="4" w:space="0" w:color="auto"/>
            </w:tcBorders>
            <w:shd w:val="clear" w:color="auto" w:fill="auto"/>
            <w:noWrap/>
          </w:tcPr>
          <w:p w14:paraId="6D9E0D2B" w14:textId="4508962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0,47</w:t>
            </w:r>
          </w:p>
        </w:tc>
        <w:tc>
          <w:tcPr>
            <w:tcW w:w="992" w:type="dxa"/>
            <w:tcBorders>
              <w:top w:val="nil"/>
              <w:left w:val="nil"/>
              <w:bottom w:val="single" w:sz="4" w:space="0" w:color="auto"/>
              <w:right w:val="single" w:sz="4" w:space="0" w:color="auto"/>
            </w:tcBorders>
            <w:shd w:val="clear" w:color="auto" w:fill="auto"/>
            <w:noWrap/>
          </w:tcPr>
          <w:p w14:paraId="636C0F53" w14:textId="7576390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4394C1C9" w14:textId="5376A4F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0,38</w:t>
            </w:r>
          </w:p>
        </w:tc>
      </w:tr>
      <w:tr w:rsidR="00106B2F" w:rsidRPr="00106B2F" w14:paraId="7B936339"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E40EF4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SE-N_70</w:t>
            </w:r>
          </w:p>
        </w:tc>
        <w:tc>
          <w:tcPr>
            <w:tcW w:w="5103" w:type="dxa"/>
            <w:tcBorders>
              <w:top w:val="nil"/>
              <w:left w:val="nil"/>
              <w:bottom w:val="single" w:sz="4" w:space="0" w:color="auto"/>
              <w:right w:val="single" w:sz="4" w:space="0" w:color="auto"/>
            </w:tcBorders>
            <w:shd w:val="clear" w:color="auto" w:fill="auto"/>
            <w:noWrap/>
            <w:vAlign w:val="bottom"/>
            <w:hideMark/>
          </w:tcPr>
          <w:p w14:paraId="5C29698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San Simon</w:t>
            </w:r>
          </w:p>
        </w:tc>
        <w:tc>
          <w:tcPr>
            <w:tcW w:w="992" w:type="dxa"/>
            <w:tcBorders>
              <w:top w:val="nil"/>
              <w:left w:val="nil"/>
              <w:bottom w:val="single" w:sz="4" w:space="0" w:color="auto"/>
              <w:right w:val="single" w:sz="4" w:space="0" w:color="auto"/>
            </w:tcBorders>
            <w:shd w:val="clear" w:color="auto" w:fill="auto"/>
            <w:noWrap/>
          </w:tcPr>
          <w:p w14:paraId="3BC2A3AE" w14:textId="09A3BFC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350E2E2B" w14:textId="6A01B8B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C0DE6EF" w14:textId="5F17585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C614B52" w14:textId="1DA5972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7B40E0C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0528B20"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SE-N_71</w:t>
            </w:r>
          </w:p>
        </w:tc>
        <w:tc>
          <w:tcPr>
            <w:tcW w:w="5103" w:type="dxa"/>
            <w:tcBorders>
              <w:top w:val="nil"/>
              <w:left w:val="nil"/>
              <w:bottom w:val="single" w:sz="4" w:space="0" w:color="auto"/>
              <w:right w:val="single" w:sz="4" w:space="0" w:color="auto"/>
            </w:tcBorders>
            <w:shd w:val="clear" w:color="auto" w:fill="auto"/>
            <w:noWrap/>
            <w:vAlign w:val="bottom"/>
            <w:hideMark/>
          </w:tcPr>
          <w:p w14:paraId="59B0298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Central Santa Marta</w:t>
            </w:r>
          </w:p>
        </w:tc>
        <w:tc>
          <w:tcPr>
            <w:tcW w:w="992" w:type="dxa"/>
            <w:tcBorders>
              <w:top w:val="nil"/>
              <w:left w:val="nil"/>
              <w:bottom w:val="single" w:sz="4" w:space="0" w:color="auto"/>
              <w:right w:val="single" w:sz="4" w:space="0" w:color="auto"/>
            </w:tcBorders>
            <w:shd w:val="clear" w:color="auto" w:fill="auto"/>
            <w:noWrap/>
          </w:tcPr>
          <w:p w14:paraId="5637321B" w14:textId="74A4121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1E8A29E0" w14:textId="55582B7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57537B7" w14:textId="328960E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CE729F0" w14:textId="5B577FD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2FF8C969"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2FD5286"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SE-N_72</w:t>
            </w:r>
          </w:p>
        </w:tc>
        <w:tc>
          <w:tcPr>
            <w:tcW w:w="5103" w:type="dxa"/>
            <w:tcBorders>
              <w:top w:val="nil"/>
              <w:left w:val="nil"/>
              <w:bottom w:val="single" w:sz="4" w:space="0" w:color="auto"/>
              <w:right w:val="single" w:sz="4" w:space="0" w:color="auto"/>
            </w:tcBorders>
            <w:shd w:val="clear" w:color="auto" w:fill="auto"/>
            <w:noWrap/>
            <w:vAlign w:val="bottom"/>
            <w:hideMark/>
          </w:tcPr>
          <w:p w14:paraId="4B5392C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Chicureo</w:t>
            </w:r>
          </w:p>
        </w:tc>
        <w:tc>
          <w:tcPr>
            <w:tcW w:w="992" w:type="dxa"/>
            <w:tcBorders>
              <w:top w:val="nil"/>
              <w:left w:val="nil"/>
              <w:bottom w:val="single" w:sz="4" w:space="0" w:color="auto"/>
              <w:right w:val="single" w:sz="4" w:space="0" w:color="auto"/>
            </w:tcBorders>
            <w:shd w:val="clear" w:color="auto" w:fill="auto"/>
            <w:noWrap/>
          </w:tcPr>
          <w:p w14:paraId="6031D92B" w14:textId="46D059F5"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73653C68" w14:textId="4217F9B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0DCB504E" w14:textId="2CD31ED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4BD470D0" w14:textId="3A54187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08778288"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6537F8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SE-N_73</w:t>
            </w:r>
          </w:p>
        </w:tc>
        <w:tc>
          <w:tcPr>
            <w:tcW w:w="5103" w:type="dxa"/>
            <w:tcBorders>
              <w:top w:val="nil"/>
              <w:left w:val="nil"/>
              <w:bottom w:val="single" w:sz="4" w:space="0" w:color="auto"/>
              <w:right w:val="single" w:sz="4" w:space="0" w:color="auto"/>
            </w:tcBorders>
            <w:shd w:val="clear" w:color="auto" w:fill="auto"/>
            <w:noWrap/>
            <w:vAlign w:val="bottom"/>
            <w:hideMark/>
          </w:tcPr>
          <w:p w14:paraId="7C51768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Doña Carmen</w:t>
            </w:r>
          </w:p>
        </w:tc>
        <w:tc>
          <w:tcPr>
            <w:tcW w:w="992" w:type="dxa"/>
            <w:tcBorders>
              <w:top w:val="nil"/>
              <w:left w:val="nil"/>
              <w:bottom w:val="single" w:sz="4" w:space="0" w:color="auto"/>
              <w:right w:val="single" w:sz="4" w:space="0" w:color="auto"/>
            </w:tcBorders>
            <w:shd w:val="clear" w:color="auto" w:fill="auto"/>
            <w:noWrap/>
          </w:tcPr>
          <w:p w14:paraId="5C3DE4C0" w14:textId="473C7E8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4D7D7862" w14:textId="76CFCCD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1803140" w14:textId="1CF1A02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0DEE4270" w14:textId="7C9AE35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268FF7E7"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BD7459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SE-N_74</w:t>
            </w:r>
          </w:p>
        </w:tc>
        <w:tc>
          <w:tcPr>
            <w:tcW w:w="5103" w:type="dxa"/>
            <w:tcBorders>
              <w:top w:val="nil"/>
              <w:left w:val="nil"/>
              <w:bottom w:val="single" w:sz="4" w:space="0" w:color="auto"/>
              <w:right w:val="single" w:sz="4" w:space="0" w:color="auto"/>
            </w:tcBorders>
            <w:shd w:val="clear" w:color="auto" w:fill="auto"/>
            <w:noWrap/>
            <w:vAlign w:val="bottom"/>
            <w:hideMark/>
          </w:tcPr>
          <w:p w14:paraId="3C9595C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El Manzano</w:t>
            </w:r>
          </w:p>
        </w:tc>
        <w:tc>
          <w:tcPr>
            <w:tcW w:w="992" w:type="dxa"/>
            <w:tcBorders>
              <w:top w:val="nil"/>
              <w:left w:val="nil"/>
              <w:bottom w:val="single" w:sz="4" w:space="0" w:color="auto"/>
              <w:right w:val="single" w:sz="4" w:space="0" w:color="auto"/>
            </w:tcBorders>
            <w:shd w:val="clear" w:color="auto" w:fill="auto"/>
            <w:noWrap/>
          </w:tcPr>
          <w:p w14:paraId="51A10C07" w14:textId="5D10909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2A573C9D" w14:textId="5F88DBB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6FBD253B" w14:textId="2062891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464A2C3D" w14:textId="7F316634"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42CF9CEE"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C26274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SE-N_75</w:t>
            </w:r>
          </w:p>
        </w:tc>
        <w:tc>
          <w:tcPr>
            <w:tcW w:w="5103" w:type="dxa"/>
            <w:tcBorders>
              <w:top w:val="nil"/>
              <w:left w:val="nil"/>
              <w:bottom w:val="single" w:sz="4" w:space="0" w:color="auto"/>
              <w:right w:val="single" w:sz="4" w:space="0" w:color="auto"/>
            </w:tcBorders>
            <w:shd w:val="clear" w:color="auto" w:fill="auto"/>
            <w:noWrap/>
            <w:vAlign w:val="bottom"/>
            <w:hideMark/>
          </w:tcPr>
          <w:p w14:paraId="5EBE41E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El Romero</w:t>
            </w:r>
          </w:p>
        </w:tc>
        <w:tc>
          <w:tcPr>
            <w:tcW w:w="992" w:type="dxa"/>
            <w:tcBorders>
              <w:top w:val="nil"/>
              <w:left w:val="nil"/>
              <w:bottom w:val="single" w:sz="4" w:space="0" w:color="auto"/>
              <w:right w:val="single" w:sz="4" w:space="0" w:color="auto"/>
            </w:tcBorders>
            <w:shd w:val="clear" w:color="auto" w:fill="auto"/>
            <w:noWrap/>
          </w:tcPr>
          <w:p w14:paraId="43F457FF" w14:textId="252AE3F6"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0FE0BA3D" w14:textId="79780CA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3B557F84" w14:textId="0D89B2D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5A09BE1F" w14:textId="769FA69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5381EC16"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1C41EF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SE-N_76</w:t>
            </w:r>
          </w:p>
        </w:tc>
        <w:tc>
          <w:tcPr>
            <w:tcW w:w="5103" w:type="dxa"/>
            <w:tcBorders>
              <w:top w:val="nil"/>
              <w:left w:val="nil"/>
              <w:bottom w:val="single" w:sz="4" w:space="0" w:color="auto"/>
              <w:right w:val="single" w:sz="4" w:space="0" w:color="auto"/>
            </w:tcBorders>
            <w:shd w:val="clear" w:color="auto" w:fill="auto"/>
            <w:noWrap/>
            <w:vAlign w:val="bottom"/>
            <w:hideMark/>
          </w:tcPr>
          <w:p w14:paraId="4BE5C985"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Enlace</w:t>
            </w:r>
          </w:p>
        </w:tc>
        <w:tc>
          <w:tcPr>
            <w:tcW w:w="992" w:type="dxa"/>
            <w:tcBorders>
              <w:top w:val="nil"/>
              <w:left w:val="nil"/>
              <w:bottom w:val="single" w:sz="4" w:space="0" w:color="auto"/>
              <w:right w:val="single" w:sz="4" w:space="0" w:color="auto"/>
            </w:tcBorders>
            <w:shd w:val="clear" w:color="auto" w:fill="auto"/>
            <w:noWrap/>
          </w:tcPr>
          <w:p w14:paraId="4970C596" w14:textId="65C7EF8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0658F645" w14:textId="423D499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DEC6253" w14:textId="443CF222"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1084D8E8" w14:textId="7121D8B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61959D16"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A4ADD7C"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SE-N_77</w:t>
            </w:r>
          </w:p>
        </w:tc>
        <w:tc>
          <w:tcPr>
            <w:tcW w:w="5103" w:type="dxa"/>
            <w:tcBorders>
              <w:top w:val="nil"/>
              <w:left w:val="nil"/>
              <w:bottom w:val="single" w:sz="4" w:space="0" w:color="auto"/>
              <w:right w:val="single" w:sz="4" w:space="0" w:color="auto"/>
            </w:tcBorders>
            <w:shd w:val="clear" w:color="auto" w:fill="auto"/>
            <w:noWrap/>
            <w:vAlign w:val="bottom"/>
            <w:hideMark/>
          </w:tcPr>
          <w:p w14:paraId="651FC18D"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Tap off Sierra Gorda Eolico</w:t>
            </w:r>
          </w:p>
        </w:tc>
        <w:tc>
          <w:tcPr>
            <w:tcW w:w="992" w:type="dxa"/>
            <w:tcBorders>
              <w:top w:val="nil"/>
              <w:left w:val="nil"/>
              <w:bottom w:val="single" w:sz="4" w:space="0" w:color="auto"/>
              <w:right w:val="single" w:sz="4" w:space="0" w:color="auto"/>
            </w:tcBorders>
            <w:shd w:val="clear" w:color="auto" w:fill="auto"/>
            <w:noWrap/>
          </w:tcPr>
          <w:p w14:paraId="0E512075" w14:textId="3A84DB6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851" w:type="dxa"/>
            <w:tcBorders>
              <w:top w:val="nil"/>
              <w:left w:val="nil"/>
              <w:bottom w:val="single" w:sz="4" w:space="0" w:color="auto"/>
              <w:right w:val="single" w:sz="4" w:space="0" w:color="auto"/>
            </w:tcBorders>
            <w:shd w:val="clear" w:color="auto" w:fill="auto"/>
            <w:noWrap/>
          </w:tcPr>
          <w:p w14:paraId="5956E100" w14:textId="15E29561"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5029530" w14:textId="3089673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c>
          <w:tcPr>
            <w:tcW w:w="992" w:type="dxa"/>
            <w:tcBorders>
              <w:top w:val="nil"/>
              <w:left w:val="nil"/>
              <w:bottom w:val="single" w:sz="4" w:space="0" w:color="auto"/>
              <w:right w:val="single" w:sz="4" w:space="0" w:color="auto"/>
            </w:tcBorders>
            <w:shd w:val="clear" w:color="auto" w:fill="auto"/>
            <w:noWrap/>
          </w:tcPr>
          <w:p w14:paraId="7F224A9E" w14:textId="224A16BB"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0,00</w:t>
            </w:r>
          </w:p>
        </w:tc>
      </w:tr>
      <w:tr w:rsidR="00106B2F" w:rsidRPr="00106B2F" w14:paraId="3B9FD15A"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3B8416A"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SE-N_78</w:t>
            </w:r>
          </w:p>
        </w:tc>
        <w:tc>
          <w:tcPr>
            <w:tcW w:w="5103" w:type="dxa"/>
            <w:tcBorders>
              <w:top w:val="nil"/>
              <w:left w:val="nil"/>
              <w:bottom w:val="single" w:sz="4" w:space="0" w:color="auto"/>
              <w:right w:val="single" w:sz="4" w:space="0" w:color="auto"/>
            </w:tcBorders>
            <w:shd w:val="clear" w:color="auto" w:fill="auto"/>
            <w:noWrap/>
            <w:vAlign w:val="bottom"/>
            <w:hideMark/>
          </w:tcPr>
          <w:p w14:paraId="0EB252FB"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Tarapaca</w:t>
            </w:r>
          </w:p>
        </w:tc>
        <w:tc>
          <w:tcPr>
            <w:tcW w:w="992" w:type="dxa"/>
            <w:tcBorders>
              <w:top w:val="nil"/>
              <w:left w:val="nil"/>
              <w:bottom w:val="single" w:sz="4" w:space="0" w:color="auto"/>
              <w:right w:val="single" w:sz="4" w:space="0" w:color="auto"/>
            </w:tcBorders>
            <w:shd w:val="clear" w:color="auto" w:fill="auto"/>
            <w:noWrap/>
          </w:tcPr>
          <w:p w14:paraId="6A2627FF" w14:textId="0F56C4AD"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0,38</w:t>
            </w:r>
          </w:p>
        </w:tc>
        <w:tc>
          <w:tcPr>
            <w:tcW w:w="851" w:type="dxa"/>
            <w:tcBorders>
              <w:top w:val="nil"/>
              <w:left w:val="nil"/>
              <w:bottom w:val="single" w:sz="4" w:space="0" w:color="auto"/>
              <w:right w:val="single" w:sz="4" w:space="0" w:color="auto"/>
            </w:tcBorders>
            <w:shd w:val="clear" w:color="auto" w:fill="auto"/>
            <w:noWrap/>
          </w:tcPr>
          <w:p w14:paraId="54D9400C" w14:textId="0EC3D1E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0,62</w:t>
            </w:r>
          </w:p>
        </w:tc>
        <w:tc>
          <w:tcPr>
            <w:tcW w:w="992" w:type="dxa"/>
            <w:tcBorders>
              <w:top w:val="nil"/>
              <w:left w:val="nil"/>
              <w:bottom w:val="single" w:sz="4" w:space="0" w:color="auto"/>
              <w:right w:val="single" w:sz="4" w:space="0" w:color="auto"/>
            </w:tcBorders>
            <w:shd w:val="clear" w:color="auto" w:fill="auto"/>
            <w:noWrap/>
          </w:tcPr>
          <w:p w14:paraId="2D7AE11B" w14:textId="095949F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0,48</w:t>
            </w:r>
          </w:p>
        </w:tc>
        <w:tc>
          <w:tcPr>
            <w:tcW w:w="992" w:type="dxa"/>
            <w:tcBorders>
              <w:top w:val="nil"/>
              <w:left w:val="nil"/>
              <w:bottom w:val="single" w:sz="4" w:space="0" w:color="auto"/>
              <w:right w:val="single" w:sz="4" w:space="0" w:color="auto"/>
            </w:tcBorders>
            <w:shd w:val="clear" w:color="auto" w:fill="auto"/>
            <w:noWrap/>
          </w:tcPr>
          <w:p w14:paraId="5E1A8CFE" w14:textId="41774C8A"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0,52</w:t>
            </w:r>
          </w:p>
        </w:tc>
      </w:tr>
      <w:tr w:rsidR="00106B2F" w:rsidRPr="00106B2F" w14:paraId="417EA19F"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D2F44CE"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SE-N_79</w:t>
            </w:r>
          </w:p>
        </w:tc>
        <w:tc>
          <w:tcPr>
            <w:tcW w:w="5103" w:type="dxa"/>
            <w:tcBorders>
              <w:top w:val="nil"/>
              <w:left w:val="nil"/>
              <w:bottom w:val="single" w:sz="4" w:space="0" w:color="auto"/>
              <w:right w:val="single" w:sz="4" w:space="0" w:color="auto"/>
            </w:tcBorders>
            <w:shd w:val="clear" w:color="auto" w:fill="auto"/>
            <w:noWrap/>
            <w:vAlign w:val="bottom"/>
            <w:hideMark/>
          </w:tcPr>
          <w:p w14:paraId="196F8E3F"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Temuco</w:t>
            </w:r>
          </w:p>
        </w:tc>
        <w:tc>
          <w:tcPr>
            <w:tcW w:w="992" w:type="dxa"/>
            <w:tcBorders>
              <w:top w:val="nil"/>
              <w:left w:val="nil"/>
              <w:bottom w:val="single" w:sz="4" w:space="0" w:color="auto"/>
              <w:right w:val="single" w:sz="4" w:space="0" w:color="auto"/>
            </w:tcBorders>
            <w:shd w:val="clear" w:color="auto" w:fill="auto"/>
            <w:noWrap/>
          </w:tcPr>
          <w:p w14:paraId="67B0C0A8" w14:textId="18C032B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0,58</w:t>
            </w:r>
          </w:p>
        </w:tc>
        <w:tc>
          <w:tcPr>
            <w:tcW w:w="851" w:type="dxa"/>
            <w:tcBorders>
              <w:top w:val="nil"/>
              <w:left w:val="nil"/>
              <w:bottom w:val="single" w:sz="4" w:space="0" w:color="auto"/>
              <w:right w:val="single" w:sz="4" w:space="0" w:color="auto"/>
            </w:tcBorders>
            <w:shd w:val="clear" w:color="auto" w:fill="auto"/>
            <w:noWrap/>
          </w:tcPr>
          <w:p w14:paraId="02DBC899" w14:textId="20671FA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0,42</w:t>
            </w:r>
          </w:p>
        </w:tc>
        <w:tc>
          <w:tcPr>
            <w:tcW w:w="992" w:type="dxa"/>
            <w:tcBorders>
              <w:top w:val="nil"/>
              <w:left w:val="nil"/>
              <w:bottom w:val="single" w:sz="4" w:space="0" w:color="auto"/>
              <w:right w:val="single" w:sz="4" w:space="0" w:color="auto"/>
            </w:tcBorders>
            <w:shd w:val="clear" w:color="auto" w:fill="auto"/>
            <w:noWrap/>
          </w:tcPr>
          <w:p w14:paraId="44AB47B6" w14:textId="2F361CD7"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0,79</w:t>
            </w:r>
          </w:p>
        </w:tc>
        <w:tc>
          <w:tcPr>
            <w:tcW w:w="992" w:type="dxa"/>
            <w:tcBorders>
              <w:top w:val="nil"/>
              <w:left w:val="nil"/>
              <w:bottom w:val="single" w:sz="4" w:space="0" w:color="auto"/>
              <w:right w:val="single" w:sz="4" w:space="0" w:color="auto"/>
            </w:tcBorders>
            <w:shd w:val="clear" w:color="auto" w:fill="auto"/>
            <w:noWrap/>
          </w:tcPr>
          <w:p w14:paraId="79EAD873" w14:textId="49FD2F6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0,21</w:t>
            </w:r>
          </w:p>
        </w:tc>
      </w:tr>
      <w:tr w:rsidR="00106B2F" w:rsidRPr="00106B2F" w14:paraId="26D4B859"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20B35B1"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SE-N_80</w:t>
            </w:r>
          </w:p>
        </w:tc>
        <w:tc>
          <w:tcPr>
            <w:tcW w:w="5103" w:type="dxa"/>
            <w:tcBorders>
              <w:top w:val="nil"/>
              <w:left w:val="nil"/>
              <w:bottom w:val="single" w:sz="4" w:space="0" w:color="auto"/>
              <w:right w:val="single" w:sz="4" w:space="0" w:color="auto"/>
            </w:tcBorders>
            <w:shd w:val="clear" w:color="auto" w:fill="auto"/>
            <w:noWrap/>
            <w:vAlign w:val="bottom"/>
            <w:hideMark/>
          </w:tcPr>
          <w:p w14:paraId="73179479"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Tinguiririca</w:t>
            </w:r>
          </w:p>
        </w:tc>
        <w:tc>
          <w:tcPr>
            <w:tcW w:w="992" w:type="dxa"/>
            <w:tcBorders>
              <w:top w:val="nil"/>
              <w:left w:val="nil"/>
              <w:bottom w:val="single" w:sz="4" w:space="0" w:color="auto"/>
              <w:right w:val="single" w:sz="4" w:space="0" w:color="auto"/>
            </w:tcBorders>
            <w:shd w:val="clear" w:color="auto" w:fill="auto"/>
            <w:noWrap/>
          </w:tcPr>
          <w:p w14:paraId="6AA7E99B" w14:textId="111097A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0,39</w:t>
            </w:r>
          </w:p>
        </w:tc>
        <w:tc>
          <w:tcPr>
            <w:tcW w:w="851" w:type="dxa"/>
            <w:tcBorders>
              <w:top w:val="nil"/>
              <w:left w:val="nil"/>
              <w:bottom w:val="single" w:sz="4" w:space="0" w:color="auto"/>
              <w:right w:val="single" w:sz="4" w:space="0" w:color="auto"/>
            </w:tcBorders>
            <w:shd w:val="clear" w:color="auto" w:fill="auto"/>
            <w:noWrap/>
          </w:tcPr>
          <w:p w14:paraId="46B9BEB1" w14:textId="44979B1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0,61</w:t>
            </w:r>
          </w:p>
        </w:tc>
        <w:tc>
          <w:tcPr>
            <w:tcW w:w="992" w:type="dxa"/>
            <w:tcBorders>
              <w:top w:val="nil"/>
              <w:left w:val="nil"/>
              <w:bottom w:val="single" w:sz="4" w:space="0" w:color="auto"/>
              <w:right w:val="single" w:sz="4" w:space="0" w:color="auto"/>
            </w:tcBorders>
            <w:shd w:val="clear" w:color="auto" w:fill="auto"/>
            <w:noWrap/>
          </w:tcPr>
          <w:p w14:paraId="5ED56EE8" w14:textId="0725B9FE"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0,48</w:t>
            </w:r>
          </w:p>
        </w:tc>
        <w:tc>
          <w:tcPr>
            <w:tcW w:w="992" w:type="dxa"/>
            <w:tcBorders>
              <w:top w:val="nil"/>
              <w:left w:val="nil"/>
              <w:bottom w:val="single" w:sz="4" w:space="0" w:color="auto"/>
              <w:right w:val="single" w:sz="4" w:space="0" w:color="auto"/>
            </w:tcBorders>
            <w:shd w:val="clear" w:color="auto" w:fill="auto"/>
            <w:noWrap/>
          </w:tcPr>
          <w:p w14:paraId="3D0C959F" w14:textId="4D5D09AF"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0,52</w:t>
            </w:r>
          </w:p>
        </w:tc>
      </w:tr>
      <w:tr w:rsidR="00106B2F" w:rsidRPr="00106B2F" w14:paraId="16F707E1" w14:textId="77777777" w:rsidTr="00AC4A34">
        <w:trPr>
          <w:trHeight w:hRule="exact" w:val="284"/>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9B10207"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SE-N_81</w:t>
            </w:r>
          </w:p>
        </w:tc>
        <w:tc>
          <w:tcPr>
            <w:tcW w:w="5103" w:type="dxa"/>
            <w:tcBorders>
              <w:top w:val="nil"/>
              <w:left w:val="nil"/>
              <w:bottom w:val="single" w:sz="4" w:space="0" w:color="auto"/>
              <w:right w:val="single" w:sz="4" w:space="0" w:color="auto"/>
            </w:tcBorders>
            <w:shd w:val="clear" w:color="auto" w:fill="auto"/>
            <w:noWrap/>
            <w:vAlign w:val="bottom"/>
            <w:hideMark/>
          </w:tcPr>
          <w:p w14:paraId="26A79C43" w14:textId="77777777" w:rsidR="00106B2F" w:rsidRPr="00106B2F" w:rsidRDefault="00106B2F" w:rsidP="00106B2F">
            <w:pPr>
              <w:spacing w:after="0" w:line="240" w:lineRule="auto"/>
              <w:jc w:val="left"/>
              <w:rPr>
                <w:rFonts w:asciiTheme="minorHAnsi" w:eastAsia="Times New Roman" w:hAnsiTheme="minorHAnsi" w:cstheme="minorHAnsi"/>
                <w:color w:val="000000"/>
                <w:sz w:val="20"/>
                <w:szCs w:val="20"/>
                <w:lang w:val="es-CL" w:eastAsia="es-CL"/>
              </w:rPr>
            </w:pPr>
            <w:r w:rsidRPr="00106B2F">
              <w:rPr>
                <w:rFonts w:asciiTheme="minorHAnsi" w:eastAsia="Times New Roman" w:hAnsiTheme="minorHAnsi" w:cstheme="minorHAnsi"/>
                <w:color w:val="000000"/>
                <w:sz w:val="20"/>
                <w:szCs w:val="20"/>
                <w:lang w:val="es-CL" w:eastAsia="es-CL"/>
              </w:rPr>
              <w:t>Valdivia</w:t>
            </w:r>
          </w:p>
        </w:tc>
        <w:tc>
          <w:tcPr>
            <w:tcW w:w="992" w:type="dxa"/>
            <w:tcBorders>
              <w:top w:val="nil"/>
              <w:left w:val="nil"/>
              <w:bottom w:val="single" w:sz="4" w:space="0" w:color="auto"/>
              <w:right w:val="single" w:sz="4" w:space="0" w:color="auto"/>
            </w:tcBorders>
            <w:shd w:val="clear" w:color="auto" w:fill="auto"/>
            <w:noWrap/>
          </w:tcPr>
          <w:p w14:paraId="07228864" w14:textId="05495233"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0,45</w:t>
            </w:r>
          </w:p>
        </w:tc>
        <w:tc>
          <w:tcPr>
            <w:tcW w:w="851" w:type="dxa"/>
            <w:tcBorders>
              <w:top w:val="nil"/>
              <w:left w:val="nil"/>
              <w:bottom w:val="single" w:sz="4" w:space="0" w:color="auto"/>
              <w:right w:val="single" w:sz="4" w:space="0" w:color="auto"/>
            </w:tcBorders>
            <w:shd w:val="clear" w:color="auto" w:fill="auto"/>
            <w:noWrap/>
          </w:tcPr>
          <w:p w14:paraId="52D713D5" w14:textId="68E316E9"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0,55</w:t>
            </w:r>
          </w:p>
        </w:tc>
        <w:tc>
          <w:tcPr>
            <w:tcW w:w="992" w:type="dxa"/>
            <w:tcBorders>
              <w:top w:val="nil"/>
              <w:left w:val="nil"/>
              <w:bottom w:val="single" w:sz="4" w:space="0" w:color="auto"/>
              <w:right w:val="single" w:sz="4" w:space="0" w:color="auto"/>
            </w:tcBorders>
            <w:shd w:val="clear" w:color="auto" w:fill="auto"/>
            <w:noWrap/>
          </w:tcPr>
          <w:p w14:paraId="2020B25D" w14:textId="6AF2E52C"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0,61</w:t>
            </w:r>
          </w:p>
        </w:tc>
        <w:tc>
          <w:tcPr>
            <w:tcW w:w="992" w:type="dxa"/>
            <w:tcBorders>
              <w:top w:val="nil"/>
              <w:left w:val="nil"/>
              <w:bottom w:val="single" w:sz="4" w:space="0" w:color="auto"/>
              <w:right w:val="single" w:sz="4" w:space="0" w:color="auto"/>
            </w:tcBorders>
            <w:shd w:val="clear" w:color="auto" w:fill="auto"/>
            <w:noWrap/>
          </w:tcPr>
          <w:p w14:paraId="2167676A" w14:textId="034EC4D8" w:rsidR="00106B2F" w:rsidRPr="00106B2F" w:rsidRDefault="00106B2F" w:rsidP="00106B2F">
            <w:pPr>
              <w:jc w:val="center"/>
              <w:rPr>
                <w:rFonts w:asciiTheme="minorHAnsi" w:hAnsiTheme="minorHAnsi" w:cstheme="minorHAnsi"/>
                <w:sz w:val="20"/>
                <w:szCs w:val="20"/>
              </w:rPr>
            </w:pPr>
            <w:r w:rsidRPr="00106B2F">
              <w:rPr>
                <w:rFonts w:asciiTheme="minorHAnsi" w:hAnsiTheme="minorHAnsi" w:cstheme="minorHAnsi"/>
                <w:sz w:val="20"/>
                <w:szCs w:val="20"/>
              </w:rPr>
              <w:t>0,39</w:t>
            </w:r>
          </w:p>
        </w:tc>
      </w:tr>
    </w:tbl>
    <w:p w14:paraId="1DF60953" w14:textId="77777777" w:rsidR="00A34D3B" w:rsidRDefault="00A34D3B" w:rsidP="00680717"/>
    <w:p w14:paraId="02D06CAE" w14:textId="77777777" w:rsidR="00A34D3B" w:rsidRDefault="00A34D3B" w:rsidP="00680717"/>
    <w:p w14:paraId="10E5F32E" w14:textId="77777777" w:rsidR="00A34D3B" w:rsidRDefault="00A34D3B" w:rsidP="00680717"/>
    <w:p w14:paraId="60AEE661" w14:textId="77777777" w:rsidR="003D4D76" w:rsidRDefault="005821AA" w:rsidP="00D67B9F">
      <w:pPr>
        <w:pStyle w:val="Ttulo1"/>
      </w:pPr>
      <w:bookmarkStart w:id="376" w:name="_Toc34687299"/>
      <w:r w:rsidRPr="00EE2F47">
        <w:t>ANEXOS</w:t>
      </w:r>
      <w:bookmarkEnd w:id="376"/>
    </w:p>
    <w:p w14:paraId="30C910B3" w14:textId="73D2D511" w:rsidR="003400E0" w:rsidRDefault="003400E0" w:rsidP="003400E0">
      <w:r>
        <w:t xml:space="preserve">Como se indicó en el Capítulo 1 Introducción, dado el gran volumen del material que soporta los resultados del estudio, y con el objeto de facilitar su lectura y compresión, se </w:t>
      </w:r>
      <w:r w:rsidR="001406A7">
        <w:t>optó</w:t>
      </w:r>
      <w:r>
        <w:t xml:space="preserve"> por presentar el estudio en versión electrónica, estructurándolo en la forma de un documento principal y ejecutivo -el presente documento- y un cuerpo de anexos conformado por carpetas según se detalla a continuación:</w:t>
      </w:r>
    </w:p>
    <w:p w14:paraId="2C92675D" w14:textId="77777777" w:rsidR="003400E0" w:rsidRDefault="003400E0" w:rsidP="002E20CA">
      <w:pPr>
        <w:pStyle w:val="Prrafodelista"/>
        <w:numPr>
          <w:ilvl w:val="0"/>
          <w:numId w:val="17"/>
        </w:numPr>
      </w:pPr>
      <w:r>
        <w:t>Anexo Normativo</w:t>
      </w:r>
    </w:p>
    <w:p w14:paraId="07942771" w14:textId="77777777" w:rsidR="003400E0" w:rsidRDefault="003400E0" w:rsidP="002E20CA">
      <w:pPr>
        <w:pStyle w:val="Prrafodelista"/>
        <w:numPr>
          <w:ilvl w:val="0"/>
          <w:numId w:val="17"/>
        </w:numPr>
      </w:pPr>
      <w:r>
        <w:t>Anexo GE_1_Deflactores</w:t>
      </w:r>
    </w:p>
    <w:p w14:paraId="59B9C68F" w14:textId="7828040E" w:rsidR="003400E0" w:rsidRDefault="00904836" w:rsidP="003B2780">
      <w:pPr>
        <w:pStyle w:val="Prrafodelista"/>
        <w:numPr>
          <w:ilvl w:val="0"/>
          <w:numId w:val="17"/>
        </w:numPr>
      </w:pPr>
      <w:r>
        <w:t>Anexo</w:t>
      </w:r>
      <w:r w:rsidR="007124EF">
        <w:t>s</w:t>
      </w:r>
      <w:r>
        <w:t xml:space="preserve"> VI</w:t>
      </w:r>
    </w:p>
    <w:p w14:paraId="3630B29D" w14:textId="323076A9" w:rsidR="003B2780" w:rsidRDefault="003B2780" w:rsidP="003B2780">
      <w:pPr>
        <w:pStyle w:val="Prrafodelista"/>
        <w:numPr>
          <w:ilvl w:val="0"/>
          <w:numId w:val="17"/>
        </w:numPr>
      </w:pPr>
      <w:r>
        <w:t>Anexo</w:t>
      </w:r>
      <w:r w:rsidR="007124EF">
        <w:t>s</w:t>
      </w:r>
      <w:r>
        <w:t xml:space="preserve"> VATT</w:t>
      </w:r>
    </w:p>
    <w:p w14:paraId="470331BE" w14:textId="77777777" w:rsidR="003400E0" w:rsidRPr="003400E0" w:rsidRDefault="003400E0" w:rsidP="003400E0"/>
    <w:sectPr w:rsidR="003400E0" w:rsidRPr="003400E0" w:rsidSect="00F04B20">
      <w:pgSz w:w="12242" w:h="15842" w:code="1"/>
      <w:pgMar w:top="1134" w:right="1418" w:bottom="1134" w:left="1134" w:header="851"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7C111" w14:textId="77777777" w:rsidR="00F5226B" w:rsidRDefault="00F5226B" w:rsidP="00FE3577">
      <w:pPr>
        <w:spacing w:after="0" w:line="240" w:lineRule="auto"/>
      </w:pPr>
      <w:r>
        <w:separator/>
      </w:r>
    </w:p>
    <w:p w14:paraId="2BA69320" w14:textId="77777777" w:rsidR="00F5226B" w:rsidRDefault="00F5226B"/>
  </w:endnote>
  <w:endnote w:type="continuationSeparator" w:id="0">
    <w:p w14:paraId="7B6A4D81" w14:textId="77777777" w:rsidR="00F5226B" w:rsidRDefault="00F5226B" w:rsidP="00FE3577">
      <w:pPr>
        <w:spacing w:after="0" w:line="240" w:lineRule="auto"/>
      </w:pPr>
      <w:r>
        <w:continuationSeparator/>
      </w:r>
    </w:p>
    <w:p w14:paraId="382C4646" w14:textId="77777777" w:rsidR="00F5226B" w:rsidRDefault="00F52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D396D" w14:textId="77777777" w:rsidR="00F5226B" w:rsidRPr="00033904" w:rsidRDefault="00F5226B" w:rsidP="00FE3577">
      <w:pPr>
        <w:spacing w:after="0" w:line="240" w:lineRule="auto"/>
        <w:rPr>
          <w:sz w:val="22"/>
          <w:szCs w:val="22"/>
        </w:rPr>
      </w:pPr>
      <w:r w:rsidRPr="00033904">
        <w:rPr>
          <w:sz w:val="22"/>
          <w:szCs w:val="22"/>
        </w:rPr>
        <w:separator/>
      </w:r>
    </w:p>
  </w:footnote>
  <w:footnote w:type="continuationSeparator" w:id="0">
    <w:p w14:paraId="5ECD4C0C" w14:textId="77777777" w:rsidR="00F5226B" w:rsidRPr="00033904" w:rsidRDefault="00F5226B" w:rsidP="00FE3577">
      <w:pPr>
        <w:spacing w:after="0" w:line="240" w:lineRule="auto"/>
        <w:rPr>
          <w:sz w:val="22"/>
          <w:szCs w:val="22"/>
        </w:rPr>
      </w:pPr>
      <w:r w:rsidRPr="00033904">
        <w:rPr>
          <w:sz w:val="22"/>
          <w:szCs w:val="22"/>
        </w:rPr>
        <w:continuationSeparator/>
      </w:r>
    </w:p>
  </w:footnote>
  <w:footnote w:id="1">
    <w:p w14:paraId="6DDB66F5" w14:textId="77777777" w:rsidR="00904836" w:rsidRPr="002C2818" w:rsidRDefault="00904836" w:rsidP="005F38A2">
      <w:pPr>
        <w:spacing w:after="0" w:line="240" w:lineRule="auto"/>
        <w:ind w:left="284" w:hanging="284"/>
        <w:rPr>
          <w:rFonts w:cs="Calibri"/>
          <w:sz w:val="20"/>
          <w:szCs w:val="20"/>
          <w:lang w:val="es-CL"/>
        </w:rPr>
      </w:pPr>
      <w:r w:rsidRPr="004571A5">
        <w:rPr>
          <w:rFonts w:cs="Calibri"/>
          <w:vertAlign w:val="superscript"/>
        </w:rPr>
        <w:footnoteRef/>
      </w:r>
      <w:r w:rsidRPr="002C2818">
        <w:rPr>
          <w:rFonts w:cs="Calibri"/>
          <w:sz w:val="20"/>
          <w:szCs w:val="20"/>
        </w:rPr>
        <w:t xml:space="preserve"> </w:t>
      </w:r>
      <w:r w:rsidRPr="002C2818">
        <w:rPr>
          <w:rFonts w:cs="Calibri"/>
          <w:sz w:val="20"/>
          <w:szCs w:val="20"/>
        </w:rPr>
        <w:tab/>
      </w:r>
      <w:r w:rsidRPr="002C2818">
        <w:rPr>
          <w:rFonts w:cs="Calibri"/>
          <w:sz w:val="20"/>
          <w:szCs w:val="20"/>
          <w:lang w:val="es-CL"/>
        </w:rPr>
        <w:t>La Ley N°20.936 modificó las regulaciones introducidas en 2004 en la LGSE por la Ley N°19.940.</w:t>
      </w:r>
    </w:p>
  </w:footnote>
  <w:footnote w:id="2">
    <w:p w14:paraId="1509A571" w14:textId="77777777" w:rsidR="00904836" w:rsidRPr="002C2818" w:rsidRDefault="00904836" w:rsidP="005F38A2">
      <w:pPr>
        <w:spacing w:after="0" w:line="240" w:lineRule="auto"/>
        <w:ind w:left="284" w:hanging="284"/>
        <w:rPr>
          <w:rFonts w:cs="Calibri"/>
          <w:sz w:val="20"/>
          <w:szCs w:val="20"/>
          <w:lang w:val="es-CL"/>
        </w:rPr>
      </w:pPr>
      <w:r w:rsidRPr="004571A5">
        <w:rPr>
          <w:rFonts w:cs="Calibri"/>
          <w:vertAlign w:val="superscript"/>
          <w:lang w:val="es-CL"/>
        </w:rPr>
        <w:footnoteRef/>
      </w:r>
      <w:r w:rsidRPr="004571A5">
        <w:rPr>
          <w:rFonts w:cs="Calibri"/>
          <w:vertAlign w:val="superscript"/>
          <w:lang w:val="es-CL"/>
        </w:rPr>
        <w:t xml:space="preserve"> </w:t>
      </w:r>
      <w:r w:rsidRPr="002C2818">
        <w:rPr>
          <w:rFonts w:cs="Calibri"/>
          <w:sz w:val="20"/>
          <w:szCs w:val="20"/>
          <w:lang w:val="es-CL"/>
        </w:rPr>
        <w:tab/>
        <w:t>En efecto, a partir de un esquema que asignaba los pagos del sistema de transmisión a la generación y a la demanda de acuerdo al uso estimado, se avanzó a uno más simple en que los costos de transmisión son cubiertos totalmente por la demanda mediante la aplicación de un cargo único.</w:t>
      </w:r>
    </w:p>
  </w:footnote>
  <w:footnote w:id="3">
    <w:p w14:paraId="2E1C8AD6" w14:textId="77777777" w:rsidR="00904836" w:rsidRPr="002C2818" w:rsidRDefault="00904836" w:rsidP="005F38A2">
      <w:pPr>
        <w:spacing w:after="0" w:line="240" w:lineRule="auto"/>
        <w:ind w:left="284" w:hanging="284"/>
        <w:rPr>
          <w:rFonts w:cs="Calibri"/>
          <w:sz w:val="20"/>
          <w:szCs w:val="20"/>
          <w:lang w:val="es-CL"/>
        </w:rPr>
      </w:pPr>
      <w:r w:rsidRPr="004571A5">
        <w:rPr>
          <w:rFonts w:cs="Calibri"/>
          <w:vertAlign w:val="superscript"/>
          <w:lang w:val="es-CL"/>
        </w:rPr>
        <w:footnoteRef/>
      </w:r>
      <w:r w:rsidRPr="002C2818">
        <w:rPr>
          <w:rFonts w:cs="Calibri"/>
          <w:sz w:val="20"/>
          <w:szCs w:val="20"/>
          <w:lang w:val="es-CL"/>
        </w:rPr>
        <w:t xml:space="preserve"> </w:t>
      </w:r>
      <w:r w:rsidRPr="002C2818">
        <w:rPr>
          <w:rFonts w:cs="Calibri"/>
          <w:sz w:val="20"/>
          <w:szCs w:val="20"/>
          <w:lang w:val="es-CL"/>
        </w:rPr>
        <w:tab/>
        <w:t>Los polos de desarrollo corresponden a zonas territorialmente identificables en el país, ubicadas en las regiones en las que se emplaza el sistema eléctrico nacional, donde existen recursos para la producción de energía con energías renovables, cuyo aprovechamiento, utilizando un único sistema de transmisión, resulte de interés público por considerarse económicamente eficiente desde el punto de vista del suministro. Corresponde al Ministerio de Energía identificar, en su planificación energética de largo plazo, las áreas donde pueden existir polos de desarrollo de generación eléctrica (Artículo 105° de la LGSE). El Ministerio no identificó áreas con potenciales polos de desarrollo en la planificación energética vigente.</w:t>
      </w:r>
    </w:p>
  </w:footnote>
  <w:footnote w:id="4">
    <w:p w14:paraId="180702B8" w14:textId="77777777" w:rsidR="00904836" w:rsidRPr="005F38A2" w:rsidRDefault="00904836" w:rsidP="005F38A2">
      <w:pPr>
        <w:spacing w:after="0" w:line="240" w:lineRule="auto"/>
        <w:ind w:left="284" w:hanging="284"/>
        <w:rPr>
          <w:rFonts w:cs="Calibri"/>
          <w:sz w:val="20"/>
          <w:szCs w:val="20"/>
          <w:lang w:val="es-CL"/>
        </w:rPr>
      </w:pPr>
      <w:r w:rsidRPr="004571A5">
        <w:rPr>
          <w:vertAlign w:val="superscript"/>
          <w:lang w:val="es-CL"/>
        </w:rPr>
        <w:footnoteRef/>
      </w:r>
      <w:r w:rsidRPr="004571A5">
        <w:rPr>
          <w:rFonts w:cs="Calibri"/>
          <w:vertAlign w:val="superscript"/>
          <w:lang w:val="es-CL"/>
        </w:rPr>
        <w:t xml:space="preserve"> </w:t>
      </w:r>
      <w:r>
        <w:rPr>
          <w:rFonts w:cs="Calibri"/>
          <w:sz w:val="22"/>
          <w:szCs w:val="22"/>
          <w:lang w:val="es-CL"/>
        </w:rPr>
        <w:tab/>
      </w:r>
      <w:r w:rsidRPr="00027F60">
        <w:rPr>
          <w:rFonts w:cs="Calibri"/>
          <w:sz w:val="20"/>
          <w:szCs w:val="20"/>
          <w:lang w:val="es-CL"/>
        </w:rPr>
        <w:t>Artículo 102° de la LGSE.</w:t>
      </w:r>
    </w:p>
  </w:footnote>
  <w:footnote w:id="5">
    <w:p w14:paraId="6000118D" w14:textId="77777777" w:rsidR="00904836" w:rsidRPr="002C2818" w:rsidRDefault="00904836" w:rsidP="005F38A2">
      <w:pPr>
        <w:spacing w:after="0" w:line="240" w:lineRule="auto"/>
        <w:ind w:left="284" w:hanging="284"/>
        <w:rPr>
          <w:rFonts w:cs="Calibri"/>
          <w:sz w:val="20"/>
          <w:szCs w:val="20"/>
          <w:lang w:val="es-CL"/>
        </w:rPr>
      </w:pPr>
      <w:r w:rsidRPr="004571A5">
        <w:rPr>
          <w:rFonts w:cs="Calibri"/>
          <w:vertAlign w:val="superscript"/>
          <w:lang w:val="es-CL"/>
        </w:rPr>
        <w:footnoteRef/>
      </w:r>
      <w:r w:rsidRPr="005F38A2">
        <w:rPr>
          <w:rFonts w:cs="Calibri"/>
          <w:sz w:val="20"/>
          <w:szCs w:val="20"/>
          <w:lang w:val="es-CL"/>
        </w:rPr>
        <w:t xml:space="preserve"> </w:t>
      </w:r>
      <w:r w:rsidRPr="002C2818">
        <w:rPr>
          <w:rFonts w:cs="Calibri"/>
          <w:sz w:val="20"/>
          <w:szCs w:val="20"/>
          <w:lang w:val="es-CL"/>
        </w:rPr>
        <w:t>Punto 16.1 del CAPÍTULO I de las Bases.</w:t>
      </w:r>
    </w:p>
  </w:footnote>
  <w:footnote w:id="6">
    <w:p w14:paraId="7DAE3DB6" w14:textId="77777777" w:rsidR="00904836" w:rsidRPr="00887D2D" w:rsidRDefault="00904836">
      <w:pPr>
        <w:pStyle w:val="Textonotapie"/>
        <w:rPr>
          <w:lang w:val="es-CL"/>
        </w:rPr>
      </w:pPr>
      <w:r>
        <w:rPr>
          <w:rStyle w:val="Refdenotaalpie"/>
        </w:rPr>
        <w:footnoteRef/>
      </w:r>
      <w:r>
        <w:t xml:space="preserve"> </w:t>
      </w:r>
      <w:r>
        <w:rPr>
          <w:lang w:val="es-CL"/>
        </w:rPr>
        <w:t>Punto 16.2 del CAPÍTULO II de las Bases.</w:t>
      </w:r>
    </w:p>
  </w:footnote>
  <w:footnote w:id="7">
    <w:p w14:paraId="20827A1D"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3.1 de las Bases.</w:t>
      </w:r>
    </w:p>
  </w:footnote>
  <w:footnote w:id="8">
    <w:p w14:paraId="48935BEA"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3.3 de las Bases.</w:t>
      </w:r>
    </w:p>
  </w:footnote>
  <w:footnote w:id="9">
    <w:p w14:paraId="5839EE62"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3.3 de las Bases.</w:t>
      </w:r>
    </w:p>
  </w:footnote>
  <w:footnote w:id="10">
    <w:p w14:paraId="417AFF4A"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w:t>
      </w:r>
      <w:r>
        <w:rPr>
          <w:rFonts w:cs="Calibri"/>
          <w:lang w:val="es-CL"/>
        </w:rPr>
        <w:t>Las Bases rigen tanto el desarrollo del estudio de valorización del sistema nacional, como de los estudios de valorización de los sistemas zonales y los sistemas dedicados que abastece clientes regulados, todo mediante un texto consolidado. (</w:t>
      </w:r>
      <w:r w:rsidRPr="00865002">
        <w:rPr>
          <w:rFonts w:cs="Calibri"/>
          <w:lang w:val="es-CL"/>
        </w:rPr>
        <w:t>Capítulo II, Punto 3.3 de las Bases</w:t>
      </w:r>
      <w:r>
        <w:rPr>
          <w:rFonts w:cs="Calibri"/>
          <w:lang w:val="es-CL"/>
        </w:rPr>
        <w:t>)</w:t>
      </w:r>
      <w:r w:rsidRPr="00865002">
        <w:rPr>
          <w:rFonts w:cs="Calibri"/>
          <w:lang w:val="es-CL"/>
        </w:rPr>
        <w:t>.</w:t>
      </w:r>
    </w:p>
  </w:footnote>
  <w:footnote w:id="11">
    <w:p w14:paraId="26A0A3FC"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3.4 de las Bases.</w:t>
      </w:r>
    </w:p>
  </w:footnote>
  <w:footnote w:id="12">
    <w:p w14:paraId="7BBFB5D0"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3.4 de las Bases.</w:t>
      </w:r>
    </w:p>
  </w:footnote>
  <w:footnote w:id="13">
    <w:p w14:paraId="04AEE068"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1 de las Bases.</w:t>
      </w:r>
    </w:p>
  </w:footnote>
  <w:footnote w:id="14">
    <w:p w14:paraId="43E3A25D"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3.3 de las Bases.</w:t>
      </w:r>
    </w:p>
  </w:footnote>
  <w:footnote w:id="15">
    <w:p w14:paraId="0ED8A68D" w14:textId="77777777" w:rsidR="00904836" w:rsidRPr="00865002" w:rsidRDefault="00904836" w:rsidP="00D475CC">
      <w:pPr>
        <w:pStyle w:val="Textonotapie"/>
        <w:rPr>
          <w:rFonts w:cs="Calibri"/>
          <w:lang w:val="es-CL"/>
        </w:rPr>
      </w:pPr>
      <w:r w:rsidRPr="00865002">
        <w:rPr>
          <w:rStyle w:val="Refdenotaalpie"/>
          <w:rFonts w:cs="Calibri"/>
          <w:lang w:val="es-CL"/>
        </w:rPr>
        <w:footnoteRef/>
      </w:r>
      <w:r w:rsidRPr="00865002">
        <w:rPr>
          <w:rFonts w:cs="Calibri"/>
          <w:lang w:val="es-CL"/>
        </w:rPr>
        <w:t xml:space="preserve"> Capítulo II, Punto 3.4 de las Bases.</w:t>
      </w:r>
    </w:p>
  </w:footnote>
  <w:footnote w:id="16">
    <w:p w14:paraId="287A1DC1" w14:textId="77777777" w:rsidR="00904836" w:rsidRPr="003E7CBF" w:rsidRDefault="00904836" w:rsidP="003416F1">
      <w:pPr>
        <w:pStyle w:val="Piedepgina"/>
        <w:rPr>
          <w:sz w:val="20"/>
          <w:szCs w:val="20"/>
        </w:rPr>
      </w:pPr>
      <w:r w:rsidRPr="003E7CBF">
        <w:rPr>
          <w:sz w:val="20"/>
          <w:szCs w:val="20"/>
        </w:rPr>
        <w:footnoteRef/>
      </w:r>
      <w:r w:rsidRPr="003E7CBF">
        <w:rPr>
          <w:sz w:val="20"/>
          <w:szCs w:val="20"/>
        </w:rPr>
        <w:tab/>
        <w:t>Por exigencia de Price, la muestra mínima a considerar debe ser de 10 empresas.</w:t>
      </w:r>
    </w:p>
  </w:footnote>
  <w:footnote w:id="17">
    <w:p w14:paraId="6FD4473B" w14:textId="77777777" w:rsidR="00904836" w:rsidRPr="003E7CBF" w:rsidRDefault="00904836" w:rsidP="003416F1">
      <w:pPr>
        <w:pStyle w:val="Piedepgina"/>
        <w:rPr>
          <w:sz w:val="20"/>
          <w:szCs w:val="20"/>
        </w:rPr>
      </w:pPr>
      <w:r w:rsidRPr="003E7CBF">
        <w:rPr>
          <w:sz w:val="20"/>
          <w:szCs w:val="20"/>
        </w:rPr>
        <w:footnoteRef/>
      </w:r>
      <w:r w:rsidRPr="003E7CBF">
        <w:rPr>
          <w:sz w:val="20"/>
          <w:szCs w:val="20"/>
        </w:rPr>
        <w:t xml:space="preserve"> </w:t>
      </w:r>
      <w:r w:rsidRPr="003E7CBF">
        <w:rPr>
          <w:sz w:val="20"/>
          <w:szCs w:val="20"/>
        </w:rPr>
        <w:tab/>
        <w:t>En este punto se ha incluido conceptos que buscan dar respuesta a las observaciones del Comité efectuadas mediante correo electrónico del 27 de septiembre de 2019.</w:t>
      </w:r>
    </w:p>
  </w:footnote>
  <w:footnote w:id="18">
    <w:p w14:paraId="3DBDA5A2" w14:textId="77777777" w:rsidR="00904836" w:rsidRPr="003E7CBF" w:rsidRDefault="00904836" w:rsidP="003416F1">
      <w:pPr>
        <w:pStyle w:val="Piedepgina"/>
        <w:rPr>
          <w:sz w:val="20"/>
          <w:szCs w:val="20"/>
        </w:rPr>
      </w:pPr>
      <w:r w:rsidRPr="003E7CBF">
        <w:rPr>
          <w:sz w:val="20"/>
          <w:szCs w:val="20"/>
        </w:rPr>
        <w:footnoteRef/>
      </w:r>
      <w:r w:rsidRPr="003E7CBF">
        <w:rPr>
          <w:sz w:val="20"/>
          <w:szCs w:val="20"/>
        </w:rPr>
        <w:t xml:space="preserve"> </w:t>
      </w:r>
      <w:r w:rsidRPr="003E7CBF">
        <w:rPr>
          <w:sz w:val="20"/>
          <w:szCs w:val="20"/>
        </w:rPr>
        <w:tab/>
        <w:t xml:space="preserve">El criterio definido por Price para asignar el tamaño a las empresas, es el de ventas anuales en USD. Esta clasificación es realizada por la misma </w:t>
      </w:r>
      <w:r>
        <w:rPr>
          <w:sz w:val="20"/>
          <w:szCs w:val="20"/>
        </w:rPr>
        <w:t>Price</w:t>
      </w:r>
      <w:r w:rsidRPr="003E7CBF">
        <w:rPr>
          <w:sz w:val="20"/>
          <w:szCs w:val="20"/>
        </w:rPr>
        <w:t>, de acuerdo a la información que cada empresa participante informa. La muestra de 79 empresas consideradas en la encuesta Price incluye empresas de tamaños grande (sobre 250 MMUSD), medio grande (entre 100 y 250 MMUSD), mediano (entre 30 y 100 MMUSD) y pequeño (menos de 30 MMUSD)</w:t>
      </w:r>
    </w:p>
  </w:footnote>
  <w:footnote w:id="19">
    <w:p w14:paraId="2F8813CA" w14:textId="77777777" w:rsidR="00904836" w:rsidRPr="005C6297" w:rsidRDefault="00904836" w:rsidP="0079428C">
      <w:pPr>
        <w:pStyle w:val="Piedepgina"/>
        <w:rPr>
          <w:lang w:val="es-ES"/>
        </w:rPr>
      </w:pPr>
      <w:r w:rsidRPr="005C6297">
        <w:footnoteRef/>
      </w:r>
      <w:r w:rsidRPr="005C6297">
        <w:rPr>
          <w:lang w:val="es-CL"/>
        </w:rPr>
        <w:t xml:space="preserve"> </w:t>
      </w:r>
      <w:r>
        <w:rPr>
          <w:lang w:val="es-CL"/>
        </w:rPr>
        <w:tab/>
      </w:r>
      <w:r w:rsidRPr="005C6297">
        <w:rPr>
          <w:lang w:val="es-ES"/>
        </w:rPr>
        <w:t>Kit: se refiere a un conjunto de elementos específicos requeridos para ejecutar la labor del operario.</w:t>
      </w:r>
    </w:p>
  </w:footnote>
  <w:footnote w:id="20">
    <w:p w14:paraId="757C0BDC" w14:textId="77777777" w:rsidR="00904836" w:rsidRDefault="00904836" w:rsidP="00EE1E49">
      <w:pPr>
        <w:pStyle w:val="Textonotapie"/>
      </w:pPr>
      <w:r>
        <w:rPr>
          <w:rStyle w:val="Refdenotaalpie"/>
        </w:rPr>
        <w:footnoteRef/>
      </w:r>
      <w:r>
        <w:t xml:space="preserve"> El Grupo SAESA incluyó en su respuesta una descripción general de las obras de ampliación, así como otras consideraciones conceptuales de tipo general, pero no se refirió a la existencia de labores de ampliación vinculadas a los proyectos que informa.</w:t>
      </w:r>
    </w:p>
  </w:footnote>
  <w:footnote w:id="21">
    <w:p w14:paraId="6B1DCB4E" w14:textId="77777777" w:rsidR="00904836" w:rsidRDefault="00904836" w:rsidP="00725CE1">
      <w:pPr>
        <w:pStyle w:val="Textonotapie"/>
      </w:pPr>
      <w:r>
        <w:rPr>
          <w:rStyle w:val="Refdenotaalpie"/>
        </w:rPr>
        <w:footnoteRef/>
      </w:r>
      <w:r>
        <w:t xml:space="preserve"> La empresa Transelec señaló que los precios y recursos informados corresponden a valores contenidos en la oferta adjudicada de cada proyecto, por lo que se ha entendido que los costos indirectos informados corresponden a los del proyecto de ampliación completo y no a costos indirectos asignables a labores de ampliación (Transelec no acompañó los documentos de cada licitación). La empresa Interchile, por su parte, acompañó los documentos correspondientes de los cuales se desprende que los costos indirectos corresponden a los de la obra de ampliación completa.</w:t>
      </w:r>
    </w:p>
  </w:footnote>
  <w:footnote w:id="22">
    <w:p w14:paraId="710D675E" w14:textId="77777777" w:rsidR="00904836" w:rsidRDefault="00904836" w:rsidP="00725CE1">
      <w:pPr>
        <w:pStyle w:val="Textonotapie"/>
      </w:pPr>
      <w:r>
        <w:rPr>
          <w:rStyle w:val="Refdenotaalpie"/>
        </w:rPr>
        <w:footnoteRef/>
      </w:r>
      <w:r>
        <w:t xml:space="preserve"> En general los costos indirectos fueron informados con itemizados disímiles. El Consultor los consideró tal como fueron informados, incluyendo sólo un costo por utilidad del contratista cuando el mismo no fue informado. Para ello se adoptó un valor de 10%.</w:t>
      </w:r>
    </w:p>
  </w:footnote>
  <w:footnote w:id="23">
    <w:p w14:paraId="2A43810D" w14:textId="77777777" w:rsidR="00904836" w:rsidRDefault="00904836" w:rsidP="00725CE1">
      <w:pPr>
        <w:pStyle w:val="Textonotapie"/>
      </w:pPr>
      <w:r>
        <w:rPr>
          <w:rStyle w:val="Refdenotaalpie"/>
        </w:rPr>
        <w:footnoteRef/>
      </w:r>
      <w:r>
        <w:t xml:space="preserve"> Los valores originalmente informados en unidades de fomento (UF), se transformaron en dólares utilizando el valor del dólar y de la UF informados por las empresas para cada obra de ampliación.</w:t>
      </w:r>
    </w:p>
  </w:footnote>
  <w:footnote w:id="24">
    <w:p w14:paraId="7ABAABF5" w14:textId="77777777" w:rsidR="00904836" w:rsidRDefault="00904836" w:rsidP="00725CE1">
      <w:pPr>
        <w:pStyle w:val="Textonotapie"/>
      </w:pPr>
      <w:r>
        <w:rPr>
          <w:rStyle w:val="Refdenotaalpie"/>
        </w:rPr>
        <w:footnoteRef/>
      </w:r>
      <w:r>
        <w:t xml:space="preserve"> Sólo Transelec informó la fecha de adjudicación. En los demás casos se utilizó el “mes base” establecido en el decreto de valorización correspondiente a cada obra de ampliación.</w:t>
      </w:r>
    </w:p>
  </w:footnote>
  <w:footnote w:id="25">
    <w:p w14:paraId="6663C6D8" w14:textId="796096EA" w:rsidR="00904836" w:rsidRDefault="00904836" w:rsidP="00725CE1">
      <w:pPr>
        <w:pStyle w:val="Textonotapie"/>
      </w:pPr>
      <w:r>
        <w:rPr>
          <w:rStyle w:val="Refdenotaalpie"/>
        </w:rPr>
        <w:footnoteRef/>
      </w:r>
      <w:r>
        <w:t xml:space="preserve"> Informadas mediante correo electrónico de la secretariatxnacional</w:t>
      </w:r>
      <w:r w:rsidR="00932467">
        <w:t>.</w:t>
      </w:r>
      <w:r>
        <w:t>cne.cl.</w:t>
      </w:r>
    </w:p>
  </w:footnote>
  <w:footnote w:id="26">
    <w:p w14:paraId="126C015B" w14:textId="77777777" w:rsidR="00904836" w:rsidRPr="00027F60" w:rsidRDefault="00904836" w:rsidP="001B4185">
      <w:pPr>
        <w:spacing w:after="0" w:line="240" w:lineRule="auto"/>
        <w:rPr>
          <w:sz w:val="20"/>
          <w:szCs w:val="20"/>
          <w:lang w:val="es-CL"/>
        </w:rPr>
      </w:pPr>
      <w:r w:rsidRPr="004571A5">
        <w:rPr>
          <w:vertAlign w:val="superscript"/>
        </w:rPr>
        <w:footnoteRef/>
      </w:r>
      <w:r>
        <w:rPr>
          <w:sz w:val="20"/>
          <w:szCs w:val="20"/>
          <w:lang w:val="es-CL"/>
        </w:rPr>
        <w:t xml:space="preserve"> </w:t>
      </w:r>
      <w:r w:rsidRPr="00027F60">
        <w:rPr>
          <w:sz w:val="20"/>
          <w:szCs w:val="20"/>
          <w:lang w:val="es-CL"/>
        </w:rPr>
        <w:t>Punto 3 de las Bases “DE LA DETERMINACIÓN DEL V.A.T.T., página 34.</w:t>
      </w:r>
    </w:p>
  </w:footnote>
  <w:footnote w:id="27">
    <w:p w14:paraId="547CB2C9" w14:textId="77777777" w:rsidR="00904836" w:rsidRPr="00027F60" w:rsidRDefault="00904836" w:rsidP="004571A5">
      <w:pPr>
        <w:spacing w:after="0" w:line="240" w:lineRule="auto"/>
        <w:rPr>
          <w:sz w:val="20"/>
          <w:szCs w:val="20"/>
          <w:lang w:val="es-CL"/>
        </w:rPr>
      </w:pPr>
      <w:r w:rsidRPr="004571A5">
        <w:rPr>
          <w:vertAlign w:val="superscript"/>
        </w:rPr>
        <w:footnoteRef/>
      </w:r>
      <w:r>
        <w:rPr>
          <w:sz w:val="20"/>
          <w:szCs w:val="20"/>
          <w:lang w:val="es-CL"/>
        </w:rPr>
        <w:t xml:space="preserve"> </w:t>
      </w:r>
      <w:r w:rsidRPr="00027F60">
        <w:rPr>
          <w:sz w:val="20"/>
          <w:szCs w:val="20"/>
          <w:lang w:val="es-CL"/>
        </w:rPr>
        <w:t>Informe Técnico Definitivo (CNE), “Que Fija la Tasa de Descuento a que se refiere el Artículo 119° de la Ley General de</w:t>
      </w:r>
      <w:r>
        <w:rPr>
          <w:sz w:val="20"/>
          <w:szCs w:val="20"/>
          <w:lang w:val="es-CL"/>
        </w:rPr>
        <w:t xml:space="preserve"> </w:t>
      </w:r>
      <w:r w:rsidRPr="00027F60">
        <w:rPr>
          <w:sz w:val="20"/>
          <w:szCs w:val="20"/>
          <w:lang w:val="es-CL"/>
        </w:rPr>
        <w:t>Servicios Eléctricos”, cuadrienio 2020-2023, de abril de 2019.</w:t>
      </w:r>
    </w:p>
  </w:footnote>
  <w:footnote w:id="28">
    <w:p w14:paraId="4EE3A1BC" w14:textId="77777777" w:rsidR="00904836" w:rsidRPr="00027F60" w:rsidRDefault="00904836" w:rsidP="004571A5">
      <w:pPr>
        <w:spacing w:after="0" w:line="240" w:lineRule="auto"/>
        <w:rPr>
          <w:sz w:val="20"/>
          <w:szCs w:val="20"/>
          <w:lang w:val="es-CL"/>
        </w:rPr>
      </w:pPr>
      <w:r w:rsidRPr="004571A5">
        <w:rPr>
          <w:vertAlign w:val="superscript"/>
        </w:rPr>
        <w:footnoteRef/>
      </w:r>
      <w:r w:rsidRPr="00027F60">
        <w:rPr>
          <w:sz w:val="20"/>
          <w:szCs w:val="20"/>
          <w:lang w:val="es-CL"/>
        </w:rPr>
        <w:t xml:space="preserve"> Resolución Exenta N°412, del 5 de junio de 2018, CNE, que “Aprueba Informe Técnico Definitivo de Vidas Útiles a que se refiere el artículo 104° de la Ley General de Servicios Eléctricos y determina las vidas útiles de las instalaciones de transmisión que indica, aplicables por tres períodos tarifarios consecutivos”.</w:t>
      </w:r>
    </w:p>
  </w:footnote>
  <w:footnote w:id="29">
    <w:p w14:paraId="2DCFA340" w14:textId="77777777" w:rsidR="00904836" w:rsidRPr="00027F60" w:rsidRDefault="00904836" w:rsidP="001B4185">
      <w:pPr>
        <w:pStyle w:val="Piedepgina"/>
        <w:rPr>
          <w:sz w:val="20"/>
          <w:szCs w:val="20"/>
          <w:lang w:val="es-CL"/>
        </w:rPr>
      </w:pPr>
      <w:r w:rsidRPr="004571A5">
        <w:rPr>
          <w:sz w:val="24"/>
          <w:vertAlign w:val="superscript"/>
        </w:rPr>
        <w:footnoteRef/>
      </w:r>
      <w:r w:rsidRPr="00027F60">
        <w:rPr>
          <w:sz w:val="20"/>
          <w:szCs w:val="20"/>
          <w:lang w:val="es-CL"/>
        </w:rPr>
        <w:t xml:space="preserve"> Punto 3 de las Bases “DE LA DETERMINACIÓN DEL V.A.T.T., página 34.</w:t>
      </w:r>
    </w:p>
  </w:footnote>
  <w:footnote w:id="30">
    <w:p w14:paraId="11B696DC" w14:textId="77777777" w:rsidR="00904836" w:rsidRPr="00027F60" w:rsidRDefault="00904836" w:rsidP="001B4185">
      <w:pPr>
        <w:pStyle w:val="Piedepgina"/>
        <w:rPr>
          <w:sz w:val="20"/>
          <w:szCs w:val="20"/>
          <w:lang w:val="es-CL"/>
        </w:rPr>
      </w:pPr>
      <w:r w:rsidRPr="004571A5">
        <w:rPr>
          <w:sz w:val="24"/>
          <w:vertAlign w:val="superscript"/>
        </w:rPr>
        <w:footnoteRef/>
      </w:r>
      <w:r w:rsidRPr="00027F60">
        <w:rPr>
          <w:sz w:val="20"/>
          <w:szCs w:val="20"/>
          <w:lang w:val="es-CL"/>
        </w:rPr>
        <w:t xml:space="preserve"> Punto 3.9 de las Bases “DE LAS COMPONENTES DEL V.A.T.T., página 57.</w:t>
      </w:r>
    </w:p>
  </w:footnote>
  <w:footnote w:id="31">
    <w:p w14:paraId="24C629C6" w14:textId="77777777" w:rsidR="00904836" w:rsidRPr="00027F60" w:rsidRDefault="00904836" w:rsidP="008B57FF">
      <w:pPr>
        <w:pStyle w:val="Piedepgina"/>
        <w:ind w:left="0" w:firstLine="0"/>
        <w:rPr>
          <w:sz w:val="20"/>
          <w:szCs w:val="20"/>
          <w:lang w:val="es-CL"/>
        </w:rPr>
      </w:pPr>
      <w:r w:rsidRPr="008B57FF">
        <w:rPr>
          <w:sz w:val="24"/>
          <w:vertAlign w:val="superscript"/>
        </w:rPr>
        <w:footnoteRef/>
      </w:r>
      <w:r>
        <w:rPr>
          <w:sz w:val="20"/>
          <w:szCs w:val="20"/>
          <w:lang w:val="es-CL"/>
        </w:rPr>
        <w:t xml:space="preserve"> </w:t>
      </w:r>
      <w:r w:rsidRPr="00027F60">
        <w:rPr>
          <w:sz w:val="20"/>
          <w:szCs w:val="20"/>
          <w:lang w:val="es-CL"/>
        </w:rPr>
        <w:t>Por instalación económicamente identificable, se entenderá a aquéllas a que se refiere el Artículo 5° de la Resolución Exenta N°380 de julio de 2017, de la CNE.</w:t>
      </w:r>
    </w:p>
  </w:footnote>
  <w:footnote w:id="32">
    <w:p w14:paraId="0A756D6B" w14:textId="77777777" w:rsidR="00904836" w:rsidRPr="00027F60" w:rsidRDefault="00904836" w:rsidP="001B4185">
      <w:pPr>
        <w:rPr>
          <w:sz w:val="20"/>
          <w:szCs w:val="20"/>
          <w:lang w:val="es-CL"/>
        </w:rPr>
      </w:pPr>
      <w:r w:rsidRPr="008B57FF">
        <w:rPr>
          <w:vertAlign w:val="superscript"/>
        </w:rPr>
        <w:footnoteRef/>
      </w:r>
      <w:r w:rsidRPr="00027F60">
        <w:rPr>
          <w:sz w:val="20"/>
          <w:szCs w:val="20"/>
          <w:lang w:val="es-CL"/>
        </w:rPr>
        <w:t xml:space="preserve"> Punto 3.7 de las Bases “AJUSTE POR EFECTOS DE IMPUESTO A LA RENTA”, página 54.</w:t>
      </w:r>
    </w:p>
  </w:footnote>
  <w:footnote w:id="33">
    <w:p w14:paraId="55F34B9B" w14:textId="77777777" w:rsidR="00904836" w:rsidRPr="00773553" w:rsidRDefault="00904836">
      <w:pPr>
        <w:pStyle w:val="Textonotapie"/>
        <w:rPr>
          <w:lang w:val="es-CL"/>
        </w:rPr>
      </w:pPr>
      <w:r>
        <w:rPr>
          <w:rStyle w:val="Refdenotaalpie"/>
        </w:rPr>
        <w:footnoteRef/>
      </w:r>
      <w:r>
        <w:t xml:space="preserve"> </w:t>
      </w:r>
      <w:r>
        <w:rPr>
          <w:lang w:val="es-CL"/>
        </w:rPr>
        <w:t xml:space="preserve">La formulación para el cálculo de “Di” que se exhibe no corresponde a la originalmente contenida al efecto en las Bases. El Consultor, y sin entrar en el análisis de su lógica financiera, observó que la misma se encontraba mal estructurada, cuestión que la CNE subsanó mediante la </w:t>
      </w:r>
      <w:r w:rsidRPr="006D67EC">
        <w:rPr>
          <w:lang w:val="es-CL"/>
        </w:rPr>
        <w:t xml:space="preserve">Resolución Exenta N°766 del 11 de diciembre de 2019, </w:t>
      </w:r>
      <w:r>
        <w:rPr>
          <w:lang w:val="es-CL"/>
        </w:rPr>
        <w:t>estableciéndola en forma en que se muestra. La Resolución N°766 se encuentra en el Anexo Normativo.</w:t>
      </w:r>
    </w:p>
  </w:footnote>
  <w:footnote w:id="34">
    <w:p w14:paraId="05494D43" w14:textId="77777777" w:rsidR="00904836" w:rsidRPr="00E35ABD" w:rsidRDefault="00904836" w:rsidP="00F662B7">
      <w:pPr>
        <w:pStyle w:val="Piedepgina"/>
        <w:ind w:left="0" w:firstLine="0"/>
        <w:rPr>
          <w:sz w:val="20"/>
          <w:szCs w:val="20"/>
          <w:lang w:val="es-CL"/>
        </w:rPr>
      </w:pPr>
      <w:r w:rsidRPr="00F662B7">
        <w:rPr>
          <w:sz w:val="24"/>
          <w:vertAlign w:val="superscript"/>
        </w:rPr>
        <w:footnoteRef/>
      </w:r>
      <w:r w:rsidRPr="00E35ABD">
        <w:rPr>
          <w:sz w:val="20"/>
          <w:szCs w:val="20"/>
          <w:lang w:val="es-CL"/>
        </w:rPr>
        <w:t xml:space="preserve"> </w:t>
      </w:r>
      <w:r w:rsidRPr="00E35ABD">
        <w:rPr>
          <w:sz w:val="20"/>
          <w:szCs w:val="20"/>
          <w:lang w:val="es-CL"/>
        </w:rPr>
        <w:tab/>
        <w:t>Informe Técnico Definitivo (CNE), “Que Fija la Tasa de Descuento a que se refiere el Artículo 119° de la Ley General de Servicios Eléctricos”, cuadrienio 2020-2023, de abril de 2019.</w:t>
      </w:r>
      <w:r>
        <w:rPr>
          <w:sz w:val="20"/>
          <w:szCs w:val="20"/>
          <w:lang w:val="es-CL"/>
        </w:rPr>
        <w:t xml:space="preserve"> Ver Resolución N°747 en Anexo Normativo.</w:t>
      </w:r>
    </w:p>
  </w:footnote>
  <w:footnote w:id="35">
    <w:p w14:paraId="6825C49A" w14:textId="77777777" w:rsidR="00904836" w:rsidRPr="00847C84" w:rsidRDefault="00904836">
      <w:pPr>
        <w:pStyle w:val="Textonotapie"/>
        <w:rPr>
          <w:lang w:val="es-CL"/>
        </w:rPr>
      </w:pPr>
      <w:r>
        <w:rPr>
          <w:rStyle w:val="Refdenotaalpie"/>
        </w:rPr>
        <w:footnoteRef/>
      </w:r>
      <w:r>
        <w:t xml:space="preserve"> </w:t>
      </w:r>
      <w:r>
        <w:rPr>
          <w:lang w:val="es-CL"/>
        </w:rPr>
        <w:t>Ver Resolución N°412 en Anexo Normativo.</w:t>
      </w:r>
    </w:p>
  </w:footnote>
  <w:footnote w:id="36">
    <w:p w14:paraId="0BF429CE" w14:textId="77777777" w:rsidR="00904836" w:rsidRPr="003E7CBF" w:rsidRDefault="00904836" w:rsidP="00F662B7">
      <w:pPr>
        <w:pStyle w:val="Piedepgina"/>
        <w:ind w:left="0" w:firstLine="0"/>
        <w:rPr>
          <w:sz w:val="20"/>
          <w:szCs w:val="20"/>
          <w:lang w:val="es-CL"/>
        </w:rPr>
      </w:pPr>
      <w:r w:rsidRPr="00F662B7">
        <w:rPr>
          <w:sz w:val="24"/>
          <w:vertAlign w:val="superscript"/>
        </w:rPr>
        <w:footnoteRef/>
      </w:r>
      <w:r w:rsidRPr="003E7CBF">
        <w:rPr>
          <w:sz w:val="20"/>
          <w:szCs w:val="20"/>
          <w:lang w:val="es-CL"/>
        </w:rPr>
        <w:t xml:space="preserve"> </w:t>
      </w:r>
      <w:r w:rsidRPr="003E7CBF">
        <w:rPr>
          <w:sz w:val="20"/>
          <w:szCs w:val="20"/>
          <w:lang w:val="es-CL"/>
        </w:rPr>
        <w:tab/>
        <w:t>Artículo 1°, Apartado E “Sector Energético”, Sub Apartado E.1 “Empresas Eléctricas”. La resolución completa se muestra en</w:t>
      </w:r>
      <w:r>
        <w:rPr>
          <w:sz w:val="20"/>
          <w:szCs w:val="20"/>
          <w:lang w:val="es-CL"/>
        </w:rPr>
        <w:t xml:space="preserve"> el Anexo Normativo</w:t>
      </w:r>
      <w:r w:rsidRPr="003E7CBF">
        <w:rPr>
          <w:sz w:val="20"/>
          <w:szCs w:val="20"/>
          <w:lang w:val="es-CL"/>
        </w:rPr>
        <w:t>.</w:t>
      </w:r>
    </w:p>
  </w:footnote>
  <w:footnote w:id="37">
    <w:p w14:paraId="30F47FDB" w14:textId="77777777" w:rsidR="00904836" w:rsidRPr="001D23DB" w:rsidRDefault="00904836" w:rsidP="001D23DB">
      <w:pPr>
        <w:pStyle w:val="Textonotapie"/>
        <w:rPr>
          <w:rFonts w:cs="Calibri"/>
        </w:rPr>
      </w:pPr>
      <w:r w:rsidRPr="001D23DB">
        <w:rPr>
          <w:rStyle w:val="Refdenotaalpie"/>
          <w:rFonts w:cs="Calibri"/>
        </w:rPr>
        <w:footnoteRef/>
      </w:r>
      <w:r w:rsidRPr="001D23DB">
        <w:rPr>
          <w:rFonts w:cs="Calibri"/>
        </w:rPr>
        <w:t xml:space="preserve"> La notación “Conductores (Líneas de alta tensión-Transporte)” se refiere al ítem “Conductores” en la subcategoría “4) Líneas de alta tensión-Transporte” del rubro “E.1 Empresas Eléctricas”.</w:t>
      </w:r>
    </w:p>
  </w:footnote>
  <w:footnote w:id="38">
    <w:p w14:paraId="2ED9BAFE" w14:textId="77777777" w:rsidR="00904836" w:rsidRDefault="00904836" w:rsidP="009B2F4E">
      <w:pPr>
        <w:pStyle w:val="Textonotapie"/>
      </w:pPr>
      <w:r>
        <w:rPr>
          <w:rStyle w:val="Refdenotaalpie"/>
        </w:rPr>
        <w:footnoteRef/>
      </w:r>
      <w:r>
        <w:t>“</w:t>
      </w:r>
      <w:r w:rsidRPr="00AE5A99">
        <w:t>Las empresas operadoras o propietarias de los sistemas de transmisión nacional deberán estar constituidas como sociedades anónimas abiertas o cerradas sujetas a las obligaciones de información y publicidad a que se refiere el inciso séptimo del artículo 2° de la ley N°18.046</w:t>
      </w:r>
      <w:r>
        <w:t>.” (Artículo N°7 de la LGSE, inciso cuarto).</w:t>
      </w:r>
    </w:p>
  </w:footnote>
  <w:footnote w:id="39">
    <w:p w14:paraId="71E77238" w14:textId="77777777" w:rsidR="00904836" w:rsidRDefault="00904836" w:rsidP="009B2F4E">
      <w:pPr>
        <w:pStyle w:val="Textonotapie"/>
      </w:pPr>
      <w:r>
        <w:rPr>
          <w:rStyle w:val="Refdenotaalpie"/>
        </w:rPr>
        <w:footnoteRef/>
      </w:r>
      <w:r>
        <w:t xml:space="preserve"> </w:t>
      </w:r>
      <w:bookmarkStart w:id="359" w:name="_Hlk24624019"/>
      <w:bookmarkStart w:id="360" w:name="_Hlk24624020"/>
      <w:r>
        <w:t>El monto de la tasa de tributación -ambos guarismos- se estableció en las disposiciones transitorias de la Ley N°20.780 (Reforma Tributaria) de 2014 con un aumento progresivo, el que para los contribuyentes indicados en la letra B) del artículo 14 alcanza el 27% a partir de 2018 en adelante.</w:t>
      </w:r>
      <w:bookmarkEnd w:id="359"/>
      <w:bookmarkEnd w:id="360"/>
    </w:p>
  </w:footnote>
  <w:footnote w:id="40">
    <w:p w14:paraId="5715C747" w14:textId="77777777" w:rsidR="00904836" w:rsidRPr="009D321A" w:rsidRDefault="00904836" w:rsidP="00084018">
      <w:pPr>
        <w:pStyle w:val="Textonotapie"/>
        <w:rPr>
          <w:lang w:val="es-CL"/>
        </w:rPr>
      </w:pPr>
      <w:r>
        <w:rPr>
          <w:rStyle w:val="Refdenotaalpie"/>
        </w:rPr>
        <w:footnoteRef/>
      </w:r>
      <w:r>
        <w:t xml:space="preserve"> </w:t>
      </w:r>
      <w:r>
        <w:rPr>
          <w:lang w:val="es-CL"/>
        </w:rPr>
        <w:t xml:space="preserve">Esta estructura no corresponde a la incorporada originalmente en las Bases, sino que fue modificada por la CNE al detectar el Consultor un error en su formulación (comunicado al Comité </w:t>
      </w:r>
      <w:r w:rsidRPr="003E7CBF">
        <w:rPr>
          <w:lang w:val="es-CL"/>
        </w:rPr>
        <w:t>mediante correo del 3 de septiembre</w:t>
      </w:r>
      <w:r>
        <w:rPr>
          <w:lang w:val="es-CL"/>
        </w:rPr>
        <w:t xml:space="preserve"> de 2019). La corrección correspondiente fue materializada por la Comisión mediante la Resolución Exenta N°766 del 11 de diciembre de 2019.  La Resolución N°766 se encuentra en el Anexo Normativo.</w:t>
      </w:r>
    </w:p>
  </w:footnote>
  <w:footnote w:id="41">
    <w:p w14:paraId="798ACF39" w14:textId="77777777" w:rsidR="00904836" w:rsidRPr="00D94604" w:rsidRDefault="00904836" w:rsidP="00084018">
      <w:pPr>
        <w:pStyle w:val="Textonotapie"/>
        <w:rPr>
          <w:lang w:val="es-CL"/>
        </w:rPr>
      </w:pPr>
      <w:r>
        <w:rPr>
          <w:rStyle w:val="Refdenotaalpie"/>
        </w:rPr>
        <w:footnoteRef/>
      </w:r>
      <w:r>
        <w:t xml:space="preserve"> </w:t>
      </w:r>
      <w:r>
        <w:rPr>
          <w:lang w:val="es-CL"/>
        </w:rPr>
        <w:t xml:space="preserve">Respecto a la tasa arancelaria, el Consultor observó que existen diferentes regímenes arancelarios vistos los distintos tratados bilaterales de libre comercio que Chile mantiene con otros países, cuestión que dificultaría tanto la elección de una variable de seguimiento como su valor base, proponiendo entonces asimilar el tratamiento al utilizado en el Decreto 23T vigente, </w:t>
      </w:r>
      <w:r w:rsidRPr="00DE7C78">
        <w:rPr>
          <w:lang w:val="es-CL"/>
        </w:rPr>
        <w:t>el cual prescinde del efecto arancel de importación en la correspondiente fórmula de indexación</w:t>
      </w:r>
      <w:r>
        <w:rPr>
          <w:lang w:val="es-CL"/>
        </w:rPr>
        <w:t>.</w:t>
      </w:r>
      <w:r w:rsidRPr="00DE7C78">
        <w:t xml:space="preserve"> </w:t>
      </w:r>
      <w:r w:rsidRPr="00DE7C78">
        <w:rPr>
          <w:lang w:val="es-CL"/>
        </w:rPr>
        <w:t>Frente a esta observación</w:t>
      </w:r>
      <w:r>
        <w:rPr>
          <w:lang w:val="es-CL"/>
        </w:rPr>
        <w:t>,</w:t>
      </w:r>
      <w:r w:rsidRPr="00DE7C78">
        <w:rPr>
          <w:lang w:val="es-CL"/>
        </w:rPr>
        <w:t xml:space="preserve"> el presidente del Comité informó al Consultor que, si bien es correcto lo observado por éste, a los efectos de recoger el efecto de indexación de la tasa arancelaria en los distintos procesos tarifarios, se adopta la tasa de arancel general de derechos </w:t>
      </w:r>
      <w:r w:rsidRPr="00DE7C78">
        <w:rPr>
          <w:i/>
          <w:iCs/>
          <w:lang w:val="es-CL"/>
        </w:rPr>
        <w:t>ad valorem</w:t>
      </w:r>
      <w:r w:rsidRPr="00DE7C78">
        <w:rPr>
          <w:lang w:val="es-CL"/>
        </w:rPr>
        <w:t xml:space="preserve"> la cual desde el año 2003 corresponde a un 6%</w:t>
      </w:r>
      <w:r w:rsidRPr="00DE7C78">
        <w:t xml:space="preserve"> </w:t>
      </w:r>
      <w:r>
        <w:t>(</w:t>
      </w:r>
      <w:r>
        <w:rPr>
          <w:lang w:val="es-CL"/>
        </w:rPr>
        <w:t>c</w:t>
      </w:r>
      <w:r w:rsidRPr="00DE7C78">
        <w:rPr>
          <w:lang w:val="es-CL"/>
        </w:rPr>
        <w:t>omunicación del 26 de noviembre</w:t>
      </w:r>
      <w:r>
        <w:rPr>
          <w:lang w:val="es-CL"/>
        </w:rPr>
        <w:t xml:space="preserve"> 2019).</w:t>
      </w:r>
    </w:p>
  </w:footnote>
  <w:footnote w:id="42">
    <w:p w14:paraId="5D3CB524" w14:textId="77777777" w:rsidR="00904836" w:rsidRPr="002C2818" w:rsidRDefault="00904836" w:rsidP="00F662B7">
      <w:pPr>
        <w:pStyle w:val="Piedepgina"/>
        <w:ind w:left="0" w:firstLine="0"/>
        <w:rPr>
          <w:rFonts w:cs="Calibri"/>
          <w:sz w:val="20"/>
          <w:szCs w:val="20"/>
          <w:lang w:val="es-CL"/>
        </w:rPr>
      </w:pPr>
      <w:r w:rsidRPr="00F662B7">
        <w:rPr>
          <w:rFonts w:cs="Calibri"/>
          <w:sz w:val="24"/>
          <w:vertAlign w:val="superscript"/>
        </w:rPr>
        <w:footnoteRef/>
      </w:r>
      <w:r w:rsidRPr="002C2818">
        <w:rPr>
          <w:rFonts w:cs="Calibri"/>
          <w:sz w:val="20"/>
          <w:szCs w:val="20"/>
          <w:lang w:val="es-CL"/>
        </w:rPr>
        <w:t xml:space="preserve"> </w:t>
      </w:r>
      <w:r w:rsidRPr="002C2818">
        <w:rPr>
          <w:rFonts w:cs="Calibri"/>
          <w:sz w:val="20"/>
          <w:szCs w:val="20"/>
          <w:lang w:val="es-CL"/>
        </w:rPr>
        <w:tab/>
        <w:t xml:space="preserve">“Series empalmadas y antecedentes históricos”, Archivo Serie Histórica Empalmada IPC Diciembre 2009 a la fecha XLS, </w:t>
      </w:r>
      <w:hyperlink r:id="rId1" w:history="1">
        <w:r w:rsidRPr="002C2818">
          <w:rPr>
            <w:rFonts w:cs="Calibri"/>
            <w:sz w:val="20"/>
            <w:szCs w:val="20"/>
            <w:lang w:val="es-CL"/>
          </w:rPr>
          <w:t>https://www.ine.cl/estadísticas/precios/ipc</w:t>
        </w:r>
      </w:hyperlink>
      <w:r w:rsidRPr="002C2818">
        <w:rPr>
          <w:rFonts w:cs="Calibri"/>
          <w:sz w:val="20"/>
          <w:szCs w:val="20"/>
          <w:lang w:val="es-CL"/>
        </w:rPr>
        <w:t>.</w:t>
      </w:r>
    </w:p>
  </w:footnote>
  <w:footnote w:id="43">
    <w:p w14:paraId="7CFE1498" w14:textId="77777777" w:rsidR="00904836" w:rsidRPr="003E7CBF" w:rsidRDefault="00904836" w:rsidP="00F662B7">
      <w:pPr>
        <w:pStyle w:val="Piedepgina"/>
        <w:ind w:left="0" w:firstLine="0"/>
        <w:rPr>
          <w:sz w:val="20"/>
          <w:szCs w:val="20"/>
          <w:lang w:val="es-CL"/>
        </w:rPr>
      </w:pPr>
      <w:r w:rsidRPr="00F662B7">
        <w:rPr>
          <w:sz w:val="24"/>
          <w:vertAlign w:val="superscript"/>
        </w:rPr>
        <w:footnoteRef/>
      </w:r>
      <w:r w:rsidRPr="003E7CBF">
        <w:rPr>
          <w:sz w:val="20"/>
          <w:szCs w:val="20"/>
          <w:lang w:val="es-CL"/>
        </w:rPr>
        <w:t xml:space="preserve"> </w:t>
      </w:r>
      <w:hyperlink r:id="rId2" w:history="1">
        <w:r w:rsidRPr="009941B0">
          <w:rPr>
            <w:rStyle w:val="Hipervnculo"/>
            <w:sz w:val="20"/>
            <w:szCs w:val="20"/>
            <w:lang w:val="es-CL"/>
          </w:rPr>
          <w:t>https://data.bls.gov/timeseries/CUUR0000SA0</w:t>
        </w:r>
      </w:hyperlink>
      <w:r w:rsidRPr="003E7CBF">
        <w:rPr>
          <w:sz w:val="20"/>
          <w:szCs w:val="20"/>
          <w:lang w:val="es-CL"/>
        </w:rPr>
        <w:t>.</w:t>
      </w:r>
    </w:p>
  </w:footnote>
  <w:footnote w:id="44">
    <w:p w14:paraId="3A69085A" w14:textId="77777777" w:rsidR="00904836" w:rsidRPr="0010401B" w:rsidRDefault="00904836" w:rsidP="00084018">
      <w:pPr>
        <w:pStyle w:val="Piedepgina"/>
        <w:rPr>
          <w:lang w:val="es-CL"/>
        </w:rPr>
      </w:pPr>
      <w:r w:rsidRPr="00381349">
        <w:rPr>
          <w:sz w:val="18"/>
          <w:szCs w:val="18"/>
        </w:rPr>
        <w:footnoteRef/>
      </w:r>
      <w:r>
        <w:rPr>
          <w:sz w:val="20"/>
          <w:szCs w:val="20"/>
          <w:lang w:val="es-CL"/>
        </w:rPr>
        <w:t xml:space="preserve"> </w:t>
      </w:r>
      <w:hyperlink r:id="rId3" w:history="1">
        <w:r w:rsidRPr="00D6444F">
          <w:rPr>
            <w:rStyle w:val="Hipervnculo"/>
            <w:sz w:val="20"/>
            <w:szCs w:val="20"/>
            <w:lang w:val="es-CL"/>
          </w:rPr>
          <w:t>https://si3.bcentral.cl/Siete/secure/cuadros/arboles.aspx</w:t>
        </w:r>
      </w:hyperlink>
    </w:p>
  </w:footnote>
  <w:footnote w:id="45">
    <w:p w14:paraId="6A72255B" w14:textId="77777777" w:rsidR="00904836" w:rsidRPr="00566D6A" w:rsidRDefault="00904836" w:rsidP="00566D6A">
      <w:pPr>
        <w:pStyle w:val="Textonotapie"/>
        <w:rPr>
          <w:lang w:val="es-CL"/>
        </w:rPr>
      </w:pPr>
      <w:r>
        <w:rPr>
          <w:rStyle w:val="Refdenotaalpie"/>
        </w:rPr>
        <w:footnoteRef/>
      </w:r>
      <w:r>
        <w:t xml:space="preserve"> </w:t>
      </w:r>
      <w:r>
        <w:rPr>
          <w:lang w:val="es-CL"/>
        </w:rPr>
        <w:t xml:space="preserve">Valor IPCo corresponde al valor de este índice según serie empalmada con base en 2018. </w:t>
      </w:r>
    </w:p>
  </w:footnote>
  <w:footnote w:id="46">
    <w:p w14:paraId="38100AE5" w14:textId="77777777" w:rsidR="00904836" w:rsidRPr="00381349" w:rsidRDefault="00904836" w:rsidP="00084018">
      <w:pPr>
        <w:pStyle w:val="Textonotapie"/>
        <w:rPr>
          <w:lang w:val="es-CL"/>
        </w:rPr>
      </w:pPr>
      <w:r>
        <w:rPr>
          <w:rStyle w:val="Refdenotaalpie"/>
        </w:rPr>
        <w:footnoteRef/>
      </w:r>
      <w:r w:rsidRPr="00381349">
        <w:t xml:space="preserve">A la fecha, el Consultor no ha recibido de parte del Comité ninguna observación </w:t>
      </w:r>
      <w:r>
        <w:t xml:space="preserve">que objete </w:t>
      </w:r>
      <w:r w:rsidRPr="00381349">
        <w:t>el tratamiento propuesto, por lo que se mantiene en esta línea</w:t>
      </w:r>
      <w:r>
        <w:t>.</w:t>
      </w:r>
    </w:p>
  </w:footnote>
  <w:footnote w:id="47">
    <w:p w14:paraId="5A7ED02D" w14:textId="77777777" w:rsidR="00904836" w:rsidRPr="00280FBA" w:rsidRDefault="00904836" w:rsidP="007E5B28">
      <w:pPr>
        <w:pStyle w:val="Textonotapie"/>
      </w:pPr>
      <w:r w:rsidRPr="00280FBA">
        <w:rPr>
          <w:rStyle w:val="Refdenotaalpie"/>
        </w:rPr>
        <w:footnoteRef/>
      </w:r>
      <w:r w:rsidRPr="00280FBA">
        <w:t xml:space="preserve"> En el caso del nivel de precios dado por el IPC</w:t>
      </w:r>
      <w:r>
        <w:t>,</w:t>
      </w:r>
      <w:r w:rsidRPr="00280FBA">
        <w:t xml:space="preserve"> la fórmula de indexación </w:t>
      </w:r>
      <w:r>
        <w:t xml:space="preserve">de las Bases </w:t>
      </w:r>
      <w:r w:rsidRPr="00280FBA">
        <w:t>lo expresa consistentemente en dólares afectándolo por la tasa de cambio</w:t>
      </w:r>
      <w:r>
        <w:t xml:space="preserve"> correspondiente</w:t>
      </w:r>
      <w:r w:rsidRPr="00280FBA">
        <w:t>.</w:t>
      </w:r>
    </w:p>
  </w:footnote>
  <w:footnote w:id="48">
    <w:p w14:paraId="4E053825" w14:textId="77777777" w:rsidR="00904836" w:rsidRDefault="00904836" w:rsidP="007E5B28">
      <w:pPr>
        <w:pStyle w:val="Textonotapie"/>
      </w:pPr>
      <w:r>
        <w:rPr>
          <w:rStyle w:val="Refdenotaalpie"/>
        </w:rPr>
        <w:footnoteRef/>
      </w:r>
      <w:r>
        <w:t xml:space="preserve"> Lo anterior permitirá que las fórmulas de indexación recompongan aproximadamente los valores directamente cotizados cuando éstas se apliquen a la obtención de dichos valores en las fechas en que fueron cotizados, y no exactamente, como sería el caso si los valores base de los deflactores se establecieran a octubre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F191B" w14:textId="77777777" w:rsidR="00904836" w:rsidRDefault="00904836" w:rsidP="00AB5F50">
    <w:pPr>
      <w:spacing w:after="120"/>
    </w:pPr>
    <w:r>
      <w:rPr>
        <w:noProof/>
        <w:lang w:val="es-AR" w:eastAsia="es-AR"/>
      </w:rPr>
      <w:drawing>
        <wp:anchor distT="0" distB="0" distL="114300" distR="114300" simplePos="0" relativeHeight="251657728" behindDoc="0" locked="0" layoutInCell="1" allowOverlap="1" wp14:anchorId="4BE9B728" wp14:editId="60245B9C">
          <wp:simplePos x="0" y="0"/>
          <wp:positionH relativeFrom="margin">
            <wp:align>center</wp:align>
          </wp:positionH>
          <wp:positionV relativeFrom="page">
            <wp:posOffset>361950</wp:posOffset>
          </wp:positionV>
          <wp:extent cx="6120130" cy="720090"/>
          <wp:effectExtent l="0" t="0" r="0" b="0"/>
          <wp:wrapNone/>
          <wp:docPr id="7" name="Imagen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2FD58" w14:textId="77777777" w:rsidR="00904836" w:rsidRDefault="00904836" w:rsidP="000951EC">
    <w:pPr>
      <w:spacing w:after="0"/>
    </w:pPr>
  </w:p>
  <w:p w14:paraId="719DFF51" w14:textId="77777777" w:rsidR="00904836" w:rsidRPr="00542BFA" w:rsidRDefault="00904836" w:rsidP="001C50A8">
    <w:pPr>
      <w:spacing w:after="0" w:line="240" w:lineRule="auto"/>
      <w:jc w:val="center"/>
      <w:rPr>
        <w:sz w:val="16"/>
        <w:szCs w:val="16"/>
        <w:vertAlign w:val="superscri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FFD58" w14:textId="77777777" w:rsidR="00904836" w:rsidRDefault="00904836" w:rsidP="00AB5F50">
    <w:pPr>
      <w:spacing w:after="120"/>
    </w:pPr>
    <w:r>
      <w:rPr>
        <w:noProof/>
        <w:lang w:val="es-AR" w:eastAsia="es-AR"/>
      </w:rPr>
      <w:drawing>
        <wp:anchor distT="0" distB="0" distL="114300" distR="114300" simplePos="0" relativeHeight="251659776" behindDoc="0" locked="0" layoutInCell="1" allowOverlap="1" wp14:anchorId="665963DA" wp14:editId="0E589D9B">
          <wp:simplePos x="0" y="0"/>
          <wp:positionH relativeFrom="margin">
            <wp:align>center</wp:align>
          </wp:positionH>
          <wp:positionV relativeFrom="page">
            <wp:posOffset>361950</wp:posOffset>
          </wp:positionV>
          <wp:extent cx="6120130" cy="720090"/>
          <wp:effectExtent l="0" t="0" r="0" b="0"/>
          <wp:wrapNone/>
          <wp:docPr id="8" name="Imagen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6EDB6" w14:textId="77777777" w:rsidR="00904836" w:rsidRDefault="00904836" w:rsidP="000951EC">
    <w:pPr>
      <w:spacing w:after="0"/>
    </w:pPr>
  </w:p>
  <w:p w14:paraId="62DA49AA" w14:textId="77777777" w:rsidR="00904836" w:rsidRPr="00542BFA" w:rsidRDefault="00904836" w:rsidP="001C50A8">
    <w:pPr>
      <w:spacing w:after="0" w:line="240" w:lineRule="auto"/>
      <w:jc w:val="center"/>
      <w:rPr>
        <w:sz w:val="16"/>
        <w:szCs w:val="16"/>
        <w:vertAlign w:val="super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B007FA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C50801"/>
    <w:multiLevelType w:val="hybridMultilevel"/>
    <w:tmpl w:val="7D5CC7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52914CA"/>
    <w:multiLevelType w:val="hybridMultilevel"/>
    <w:tmpl w:val="4F920DDE"/>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5D31107"/>
    <w:multiLevelType w:val="hybridMultilevel"/>
    <w:tmpl w:val="67BE41E8"/>
    <w:lvl w:ilvl="0" w:tplc="20E438DA">
      <w:start w:val="11"/>
      <w:numFmt w:val="bullet"/>
      <w:lvlText w:val="-"/>
      <w:lvlJc w:val="left"/>
      <w:pPr>
        <w:ind w:left="720" w:hanging="360"/>
      </w:pPr>
      <w:rPr>
        <w:rFonts w:ascii="Calibri" w:eastAsia="Calibr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79933D1"/>
    <w:multiLevelType w:val="hybridMultilevel"/>
    <w:tmpl w:val="327E6E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8BC3919"/>
    <w:multiLevelType w:val="hybridMultilevel"/>
    <w:tmpl w:val="B8225E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9175C28"/>
    <w:multiLevelType w:val="multilevel"/>
    <w:tmpl w:val="91EC85FE"/>
    <w:lvl w:ilvl="0">
      <w:start w:val="1"/>
      <w:numFmt w:val="decimal"/>
      <w:pStyle w:val="Ttulo1"/>
      <w:lvlText w:val="%1."/>
      <w:lvlJc w:val="left"/>
      <w:pPr>
        <w:ind w:left="851" w:hanging="851"/>
      </w:pPr>
      <w:rPr>
        <w:rFonts w:ascii="Calibri" w:hAnsi="Calibri" w:hint="default"/>
        <w:b/>
        <w:i w:val="0"/>
        <w:caps/>
        <w:strike w:val="0"/>
        <w:dstrike w:val="0"/>
        <w:vanish w:val="0"/>
        <w:color w:val="4472C4"/>
        <w:spacing w:val="0"/>
        <w:w w:val="100"/>
        <w:kern w:val="0"/>
        <w:position w:val="0"/>
        <w:sz w:val="28"/>
        <w:u w:val="none"/>
        <w:vertAlign w:val="baseline"/>
      </w:rPr>
    </w:lvl>
    <w:lvl w:ilvl="1">
      <w:start w:val="1"/>
      <w:numFmt w:val="decimal"/>
      <w:pStyle w:val="Ttulo2"/>
      <w:lvlText w:val="%1.%2"/>
      <w:lvlJc w:val="left"/>
      <w:pPr>
        <w:ind w:left="851" w:hanging="851"/>
      </w:pPr>
      <w:rPr>
        <w:rFonts w:ascii="Calibri" w:hAnsi="Calibri" w:hint="default"/>
        <w:b/>
        <w:i w:val="0"/>
        <w:caps w:val="0"/>
        <w:strike w:val="0"/>
        <w:dstrike w:val="0"/>
        <w:vanish w:val="0"/>
        <w:color w:val="4472C4"/>
        <w:spacing w:val="0"/>
        <w:w w:val="100"/>
        <w:kern w:val="0"/>
        <w:position w:val="0"/>
        <w:sz w:val="24"/>
        <w:szCs w:val="24"/>
        <w:u w:val="none"/>
        <w:vertAlign w:val="baseline"/>
      </w:rPr>
    </w:lvl>
    <w:lvl w:ilvl="2">
      <w:start w:val="1"/>
      <w:numFmt w:val="decimal"/>
      <w:pStyle w:val="Ttulo3"/>
      <w:lvlText w:val="%1.%2.%3"/>
      <w:lvlJc w:val="left"/>
      <w:pPr>
        <w:ind w:left="851" w:hanging="851"/>
      </w:pPr>
      <w:rPr>
        <w:rFonts w:hint="default"/>
      </w:rPr>
    </w:lvl>
    <w:lvl w:ilvl="3">
      <w:start w:val="1"/>
      <w:numFmt w:val="decimal"/>
      <w:pStyle w:val="Ttulo4"/>
      <w:lvlText w:val="%1.%2.%3.%4"/>
      <w:lvlJc w:val="left"/>
      <w:pPr>
        <w:ind w:left="864" w:hanging="864"/>
      </w:pPr>
      <w:rPr>
        <w:rFonts w:ascii="Calibri" w:hAnsi="Calibri" w:hint="default"/>
        <w:caps w:val="0"/>
        <w:strike w:val="0"/>
        <w:dstrike w:val="0"/>
        <w:vanish w:val="0"/>
        <w:color w:val="4472C4"/>
        <w:spacing w:val="0"/>
        <w:w w:val="100"/>
        <w:kern w:val="0"/>
        <w:position w:val="0"/>
        <w:sz w:val="24"/>
        <w:vertAlign w:val="baseline"/>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09535DA6"/>
    <w:multiLevelType w:val="hybridMultilevel"/>
    <w:tmpl w:val="E65AAAB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0A756B9C"/>
    <w:multiLevelType w:val="hybridMultilevel"/>
    <w:tmpl w:val="16FAB6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0AC96FA0"/>
    <w:multiLevelType w:val="hybridMultilevel"/>
    <w:tmpl w:val="4E1634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0D023679"/>
    <w:multiLevelType w:val="hybridMultilevel"/>
    <w:tmpl w:val="02828EEE"/>
    <w:lvl w:ilvl="0" w:tplc="57A27AD0">
      <w:start w:val="1"/>
      <w:numFmt w:val="bullet"/>
      <w:lvlText w:val="-"/>
      <w:lvlJc w:val="left"/>
      <w:pPr>
        <w:ind w:left="720" w:hanging="360"/>
      </w:pPr>
      <w:rPr>
        <w:rFonts w:ascii="Calibri" w:hAnsi="Calibri" w:hint="default"/>
        <w:b w:val="0"/>
        <w:i w:val="0"/>
        <w:caps w:val="0"/>
        <w:strike w:val="0"/>
        <w:dstrike w:val="0"/>
        <w:vanish w:val="0"/>
        <w:color w:val="auto"/>
        <w:spacing w:val="0"/>
        <w:w w:val="100"/>
        <w:kern w:val="0"/>
        <w:position w:val="0"/>
        <w:sz w:val="24"/>
        <w:u w:val="none"/>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26C77C2"/>
    <w:multiLevelType w:val="hybridMultilevel"/>
    <w:tmpl w:val="4CCE02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1351369C"/>
    <w:multiLevelType w:val="hybridMultilevel"/>
    <w:tmpl w:val="6310B5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13B66E5A"/>
    <w:multiLevelType w:val="hybridMultilevel"/>
    <w:tmpl w:val="8EB086A0"/>
    <w:lvl w:ilvl="0" w:tplc="7758D160">
      <w:start w:val="1"/>
      <w:numFmt w:val="upperRoman"/>
      <w:lvlText w:val="%1."/>
      <w:lvlJc w:val="left"/>
      <w:pPr>
        <w:ind w:left="720" w:hanging="360"/>
      </w:pPr>
      <w:rPr>
        <w:rFonts w:ascii="Calibri" w:hAnsi="Calibri" w:hint="default"/>
        <w:caps w:val="0"/>
        <w:strike w:val="0"/>
        <w:dstrike w:val="0"/>
        <w:vanish w:val="0"/>
        <w:color w:val="auto"/>
        <w:spacing w:val="0"/>
        <w:w w:val="100"/>
        <w:kern w:val="0"/>
        <w:position w:val="0"/>
        <w:sz w:val="24"/>
        <w:u w:val="none"/>
        <w:vertAlign w:val="baseline"/>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14041F4C"/>
    <w:multiLevelType w:val="hybridMultilevel"/>
    <w:tmpl w:val="BB7E49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16045EE2"/>
    <w:multiLevelType w:val="hybridMultilevel"/>
    <w:tmpl w:val="846456A4"/>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17E42A39"/>
    <w:multiLevelType w:val="multilevel"/>
    <w:tmpl w:val="2D440A64"/>
    <w:styleLink w:val="xxxxx"/>
    <w:lvl w:ilvl="0">
      <w:start w:val="1"/>
      <w:numFmt w:val="upperLetter"/>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1A6122C0"/>
    <w:multiLevelType w:val="hybridMultilevel"/>
    <w:tmpl w:val="C29690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1B0135FF"/>
    <w:multiLevelType w:val="hybridMultilevel"/>
    <w:tmpl w:val="8B1C5C2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1CE36D7B"/>
    <w:multiLevelType w:val="hybridMultilevel"/>
    <w:tmpl w:val="CD502A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1DD80CF5"/>
    <w:multiLevelType w:val="hybridMultilevel"/>
    <w:tmpl w:val="9D9E5842"/>
    <w:lvl w:ilvl="0" w:tplc="54D612A0">
      <w:start w:val="1"/>
      <w:numFmt w:val="lowerLetter"/>
      <w:lvlText w:val="%1)"/>
      <w:lvlJc w:val="left"/>
      <w:pPr>
        <w:ind w:left="720" w:hanging="360"/>
      </w:pPr>
      <w:rPr>
        <w:rFonts w:ascii="Calibri" w:hAnsi="Calibri" w:hint="default"/>
        <w:b/>
        <w:i w:val="0"/>
        <w:caps w:val="0"/>
        <w:strike w:val="0"/>
        <w:dstrike w:val="0"/>
        <w:vanish w:val="0"/>
        <w:color w:val="auto"/>
        <w:spacing w:val="0"/>
        <w:w w:val="100"/>
        <w:kern w:val="0"/>
        <w:position w:val="0"/>
        <w:sz w:val="24"/>
        <w:u w:val="none"/>
        <w:vertAlign w:val="baseline"/>
      </w:r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21" w15:restartNumberingAfterBreak="0">
    <w:nsid w:val="1DE5232A"/>
    <w:multiLevelType w:val="hybridMultilevel"/>
    <w:tmpl w:val="7F9E6722"/>
    <w:lvl w:ilvl="0" w:tplc="57A27AD0">
      <w:start w:val="1"/>
      <w:numFmt w:val="bullet"/>
      <w:lvlText w:val="-"/>
      <w:lvlJc w:val="left"/>
      <w:pPr>
        <w:ind w:left="720" w:hanging="360"/>
      </w:pPr>
      <w:rPr>
        <w:rFonts w:ascii="Calibri" w:hAnsi="Calibri" w:hint="default"/>
        <w:b w:val="0"/>
        <w:i w:val="0"/>
        <w:caps w:val="0"/>
        <w:strike w:val="0"/>
        <w:dstrike w:val="0"/>
        <w:vanish w:val="0"/>
        <w:color w:val="auto"/>
        <w:spacing w:val="0"/>
        <w:w w:val="100"/>
        <w:kern w:val="0"/>
        <w:position w:val="0"/>
        <w:sz w:val="24"/>
        <w:u w:val="none"/>
        <w:vertAlign w:val="baseline"/>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203D00DC"/>
    <w:multiLevelType w:val="hybridMultilevel"/>
    <w:tmpl w:val="5DF4C99A"/>
    <w:lvl w:ilvl="0" w:tplc="63A41B0E">
      <w:start w:val="1"/>
      <w:numFmt w:val="bullet"/>
      <w:lvlText w:val="−"/>
      <w:lvlJc w:val="left"/>
      <w:pPr>
        <w:ind w:left="720" w:hanging="360"/>
      </w:pPr>
      <w:rPr>
        <w:rFonts w:ascii="Times New Roman"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215D2DB3"/>
    <w:multiLevelType w:val="hybridMultilevel"/>
    <w:tmpl w:val="C63C70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2286377C"/>
    <w:multiLevelType w:val="hybridMultilevel"/>
    <w:tmpl w:val="ADE00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233618BD"/>
    <w:multiLevelType w:val="hybridMultilevel"/>
    <w:tmpl w:val="6226EA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244A5AEB"/>
    <w:multiLevelType w:val="hybridMultilevel"/>
    <w:tmpl w:val="EB3CDAA8"/>
    <w:lvl w:ilvl="0" w:tplc="2C0A0017">
      <w:start w:val="1"/>
      <w:numFmt w:val="lowerLetter"/>
      <w:lvlText w:val="%1)"/>
      <w:lvlJc w:val="left"/>
      <w:pPr>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26332C56"/>
    <w:multiLevelType w:val="hybridMultilevel"/>
    <w:tmpl w:val="FA60F93C"/>
    <w:lvl w:ilvl="0" w:tplc="6E0ADC96">
      <w:start w:val="5"/>
      <w:numFmt w:val="upperLetter"/>
      <w:lvlText w:val="%1."/>
      <w:lvlJc w:val="left"/>
      <w:pPr>
        <w:ind w:left="1080" w:hanging="360"/>
      </w:pPr>
      <w:rPr>
        <w:rFonts w:ascii="Calibri" w:hAnsi="Calibri" w:cs="Calibri" w:hint="default"/>
        <w:color w:val="000000"/>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8" w15:restartNumberingAfterBreak="0">
    <w:nsid w:val="26C21F5B"/>
    <w:multiLevelType w:val="multilevel"/>
    <w:tmpl w:val="C5D2B7E0"/>
    <w:lvl w:ilvl="0">
      <w:start w:val="1"/>
      <w:numFmt w:val="none"/>
      <w:suff w:val="nothing"/>
      <w:lvlText w:val="%1"/>
      <w:lvlJc w:val="left"/>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737"/>
        </w:tabs>
        <w:ind w:left="737" w:hanging="737"/>
      </w:pPr>
      <w:rPr>
        <w:rFonts w:cs="Times New Roman" w:hint="default"/>
        <w:b/>
        <w:i w:val="0"/>
        <w:color w:val="auto"/>
      </w:rPr>
    </w:lvl>
    <w:lvl w:ilvl="3">
      <w:start w:val="1"/>
      <w:numFmt w:val="decimal"/>
      <w:lvlText w:val="%1%2.%3.%4."/>
      <w:lvlJc w:val="left"/>
      <w:pPr>
        <w:tabs>
          <w:tab w:val="num" w:pos="1647"/>
        </w:tabs>
        <w:ind w:firstLine="567"/>
      </w:pPr>
      <w:rPr>
        <w:rFonts w:cs="Times New Roman" w:hint="default"/>
        <w:b/>
        <w:color w:val="auto"/>
      </w:rPr>
    </w:lvl>
    <w:lvl w:ilvl="4">
      <w:start w:val="1"/>
      <w:numFmt w:val="lowerLetter"/>
      <w:lvlText w:val="%1%5)"/>
      <w:lvlJc w:val="left"/>
      <w:pPr>
        <w:tabs>
          <w:tab w:val="num" w:pos="1701"/>
        </w:tabs>
        <w:ind w:left="1701" w:hanging="1021"/>
      </w:pPr>
      <w:rPr>
        <w:rFonts w:cs="Times New Roman" w:hint="default"/>
      </w:rPr>
    </w:lvl>
    <w:lvl w:ilvl="5">
      <w:start w:val="1"/>
      <w:numFmt w:val="decimal"/>
      <w:lvlText w:val="%5.%6)"/>
      <w:lvlJc w:val="left"/>
      <w:pPr>
        <w:tabs>
          <w:tab w:val="num" w:pos="1701"/>
        </w:tabs>
        <w:ind w:left="1701" w:hanging="624"/>
      </w:pPr>
      <w:rPr>
        <w:rFonts w:cs="Times New Roman" w:hint="default"/>
      </w:rPr>
    </w:lvl>
    <w:lvl w:ilvl="6">
      <w:start w:val="1"/>
      <w:numFmt w:val="decimal"/>
      <w:lvlText w:val="%5.%6.%7)"/>
      <w:lvlJc w:val="left"/>
      <w:pPr>
        <w:tabs>
          <w:tab w:val="num" w:pos="2268"/>
        </w:tabs>
        <w:ind w:left="2268" w:hanging="850"/>
      </w:pPr>
      <w:rPr>
        <w:rFonts w:cs="Times New Roman" w:hint="default"/>
      </w:rPr>
    </w:lvl>
    <w:lvl w:ilvl="7">
      <w:start w:val="1"/>
      <w:numFmt w:val="lowerRoman"/>
      <w:lvlText w:val="(%8)"/>
      <w:lvlJc w:val="left"/>
      <w:pPr>
        <w:tabs>
          <w:tab w:val="num" w:pos="2421"/>
        </w:tabs>
        <w:ind w:left="2126" w:hanging="425"/>
      </w:pPr>
      <w:rPr>
        <w:rFonts w:cs="Times New Roman" w:hint="default"/>
      </w:rPr>
    </w:lvl>
    <w:lvl w:ilvl="8">
      <w:start w:val="1"/>
      <w:numFmt w:val="lowerRoman"/>
      <w:lvlText w:val="(%9)"/>
      <w:lvlJc w:val="left"/>
      <w:pPr>
        <w:tabs>
          <w:tab w:val="num" w:pos="2591"/>
        </w:tabs>
        <w:ind w:left="2495" w:hanging="624"/>
      </w:pPr>
      <w:rPr>
        <w:rFonts w:cs="Times New Roman" w:hint="default"/>
      </w:rPr>
    </w:lvl>
  </w:abstractNum>
  <w:abstractNum w:abstractNumId="29" w15:restartNumberingAfterBreak="0">
    <w:nsid w:val="29BC4094"/>
    <w:multiLevelType w:val="hybridMultilevel"/>
    <w:tmpl w:val="0390E8AA"/>
    <w:lvl w:ilvl="0" w:tplc="54D612A0">
      <w:start w:val="1"/>
      <w:numFmt w:val="lowerLetter"/>
      <w:lvlText w:val="%1)"/>
      <w:lvlJc w:val="left"/>
      <w:pPr>
        <w:ind w:left="720" w:hanging="360"/>
      </w:pPr>
      <w:rPr>
        <w:rFonts w:ascii="Calibri" w:hAnsi="Calibri" w:hint="default"/>
        <w:b/>
        <w:i w:val="0"/>
        <w:caps w:val="0"/>
        <w:strike w:val="0"/>
        <w:dstrike w:val="0"/>
        <w:vanish w:val="0"/>
        <w:color w:val="auto"/>
        <w:spacing w:val="0"/>
        <w:w w:val="100"/>
        <w:kern w:val="0"/>
        <w:position w:val="0"/>
        <w:sz w:val="24"/>
        <w:u w:val="none"/>
        <w:vertAlign w:val="baseline"/>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0" w15:restartNumberingAfterBreak="0">
    <w:nsid w:val="2B5F11DF"/>
    <w:multiLevelType w:val="hybridMultilevel"/>
    <w:tmpl w:val="A154943E"/>
    <w:lvl w:ilvl="0" w:tplc="FFFFFFFF">
      <w:start w:val="1"/>
      <w:numFmt w:val="bullet"/>
      <w:lvlText w:val=""/>
      <w:lvlJc w:val="left"/>
      <w:pPr>
        <w:tabs>
          <w:tab w:val="num" w:pos="357"/>
        </w:tabs>
        <w:ind w:left="357" w:hanging="35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EFA56E0"/>
    <w:multiLevelType w:val="hybridMultilevel"/>
    <w:tmpl w:val="2E54D350"/>
    <w:lvl w:ilvl="0" w:tplc="46FED386">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32" w15:restartNumberingAfterBreak="0">
    <w:nsid w:val="2FDF4760"/>
    <w:multiLevelType w:val="hybridMultilevel"/>
    <w:tmpl w:val="DFEC06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30BD105D"/>
    <w:multiLevelType w:val="hybridMultilevel"/>
    <w:tmpl w:val="06AC38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324E24F3"/>
    <w:multiLevelType w:val="hybridMultilevel"/>
    <w:tmpl w:val="8D54380E"/>
    <w:lvl w:ilvl="0" w:tplc="F0160F20">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32577D5B"/>
    <w:multiLevelType w:val="hybridMultilevel"/>
    <w:tmpl w:val="74CACF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32FB1203"/>
    <w:multiLevelType w:val="hybridMultilevel"/>
    <w:tmpl w:val="536840DA"/>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15:restartNumberingAfterBreak="0">
    <w:nsid w:val="35106388"/>
    <w:multiLevelType w:val="hybridMultilevel"/>
    <w:tmpl w:val="D21E3FF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15:restartNumberingAfterBreak="0">
    <w:nsid w:val="35327398"/>
    <w:multiLevelType w:val="hybridMultilevel"/>
    <w:tmpl w:val="DB68D6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3BAC78B4"/>
    <w:multiLevelType w:val="hybridMultilevel"/>
    <w:tmpl w:val="4644ED2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3EF21740"/>
    <w:multiLevelType w:val="hybridMultilevel"/>
    <w:tmpl w:val="40A0A1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3F891BC3"/>
    <w:multiLevelType w:val="hybridMultilevel"/>
    <w:tmpl w:val="74E04C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15:restartNumberingAfterBreak="0">
    <w:nsid w:val="3FB07CE3"/>
    <w:multiLevelType w:val="hybridMultilevel"/>
    <w:tmpl w:val="0C429F8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15:restartNumberingAfterBreak="0">
    <w:nsid w:val="3FE62E39"/>
    <w:multiLevelType w:val="hybridMultilevel"/>
    <w:tmpl w:val="BEE041C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15:restartNumberingAfterBreak="0">
    <w:nsid w:val="3FED2D35"/>
    <w:multiLevelType w:val="hybridMultilevel"/>
    <w:tmpl w:val="FC18D3EE"/>
    <w:lvl w:ilvl="0" w:tplc="D4AC6068">
      <w:start w:val="1"/>
      <w:numFmt w:val="upperRoman"/>
      <w:pStyle w:val="Parrafodelistanumeral"/>
      <w:lvlText w:val="%1."/>
      <w:lvlJc w:val="right"/>
      <w:pPr>
        <w:ind w:left="360" w:hanging="360"/>
      </w:p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5" w15:restartNumberingAfterBreak="0">
    <w:nsid w:val="4074528D"/>
    <w:multiLevelType w:val="hybridMultilevel"/>
    <w:tmpl w:val="4B7C5C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43BF45CF"/>
    <w:multiLevelType w:val="hybridMultilevel"/>
    <w:tmpl w:val="A0E600A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15:restartNumberingAfterBreak="0">
    <w:nsid w:val="480520F6"/>
    <w:multiLevelType w:val="hybridMultilevel"/>
    <w:tmpl w:val="45703024"/>
    <w:lvl w:ilvl="0" w:tplc="340A0005">
      <w:start w:val="1"/>
      <w:numFmt w:val="bullet"/>
      <w:lvlText w:val=""/>
      <w:lvlJc w:val="left"/>
      <w:pPr>
        <w:tabs>
          <w:tab w:val="num" w:pos="720"/>
        </w:tabs>
        <w:ind w:left="720" w:hanging="360"/>
      </w:pPr>
      <w:rPr>
        <w:rFonts w:ascii="Wingdings" w:hAnsi="Wingdings" w:hint="default"/>
      </w:rPr>
    </w:lvl>
    <w:lvl w:ilvl="1" w:tplc="340A0003" w:tentative="1">
      <w:start w:val="1"/>
      <w:numFmt w:val="bullet"/>
      <w:lvlText w:val="o"/>
      <w:lvlJc w:val="left"/>
      <w:pPr>
        <w:tabs>
          <w:tab w:val="num" w:pos="1440"/>
        </w:tabs>
        <w:ind w:left="1440" w:hanging="360"/>
      </w:pPr>
      <w:rPr>
        <w:rFonts w:ascii="Courier New" w:hAnsi="Courier New" w:cs="Courier New"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cs="Courier New"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cs="Courier New" w:hint="default"/>
      </w:rPr>
    </w:lvl>
    <w:lvl w:ilvl="8" w:tplc="340A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92E381D"/>
    <w:multiLevelType w:val="hybridMultilevel"/>
    <w:tmpl w:val="D45EBD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9" w15:restartNumberingAfterBreak="0">
    <w:nsid w:val="4983759D"/>
    <w:multiLevelType w:val="hybridMultilevel"/>
    <w:tmpl w:val="9104BA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0" w15:restartNumberingAfterBreak="0">
    <w:nsid w:val="4A0D2A02"/>
    <w:multiLevelType w:val="hybridMultilevel"/>
    <w:tmpl w:val="B96C1B74"/>
    <w:lvl w:ilvl="0" w:tplc="2C0A0015">
      <w:start w:val="1"/>
      <w:numFmt w:val="upperLetter"/>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1" w15:restartNumberingAfterBreak="0">
    <w:nsid w:val="4B91461E"/>
    <w:multiLevelType w:val="hybridMultilevel"/>
    <w:tmpl w:val="44BC2E8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2" w15:restartNumberingAfterBreak="0">
    <w:nsid w:val="4F7A43A8"/>
    <w:multiLevelType w:val="hybridMultilevel"/>
    <w:tmpl w:val="78F837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3" w15:restartNumberingAfterBreak="0">
    <w:nsid w:val="52444452"/>
    <w:multiLevelType w:val="hybridMultilevel"/>
    <w:tmpl w:val="74C0640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4" w15:restartNumberingAfterBreak="0">
    <w:nsid w:val="53E305AA"/>
    <w:multiLevelType w:val="hybridMultilevel"/>
    <w:tmpl w:val="3A066B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5" w15:restartNumberingAfterBreak="0">
    <w:nsid w:val="53EA1228"/>
    <w:multiLevelType w:val="hybridMultilevel"/>
    <w:tmpl w:val="55949DF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6" w15:restartNumberingAfterBreak="0">
    <w:nsid w:val="55950A74"/>
    <w:multiLevelType w:val="hybridMultilevel"/>
    <w:tmpl w:val="4E0C7D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7" w15:restartNumberingAfterBreak="0">
    <w:nsid w:val="5A8C013D"/>
    <w:multiLevelType w:val="hybridMultilevel"/>
    <w:tmpl w:val="8110BDA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8" w15:restartNumberingAfterBreak="0">
    <w:nsid w:val="5B517F96"/>
    <w:multiLevelType w:val="hybridMultilevel"/>
    <w:tmpl w:val="E1D89EE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9" w15:restartNumberingAfterBreak="0">
    <w:nsid w:val="5CDA5D4F"/>
    <w:multiLevelType w:val="hybridMultilevel"/>
    <w:tmpl w:val="0AC0AB5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0" w15:restartNumberingAfterBreak="0">
    <w:nsid w:val="5E332296"/>
    <w:multiLevelType w:val="hybridMultilevel"/>
    <w:tmpl w:val="2670F60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1" w15:restartNumberingAfterBreak="0">
    <w:nsid w:val="5EF3691A"/>
    <w:multiLevelType w:val="hybridMultilevel"/>
    <w:tmpl w:val="349A6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61A24AE4"/>
    <w:multiLevelType w:val="hybridMultilevel"/>
    <w:tmpl w:val="895032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3" w15:restartNumberingAfterBreak="0">
    <w:nsid w:val="62F35668"/>
    <w:multiLevelType w:val="hybridMultilevel"/>
    <w:tmpl w:val="4BC42EC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4" w15:restartNumberingAfterBreak="0">
    <w:nsid w:val="638B262B"/>
    <w:multiLevelType w:val="hybridMultilevel"/>
    <w:tmpl w:val="D28CD4BA"/>
    <w:lvl w:ilvl="0" w:tplc="46FED386">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65" w15:restartNumberingAfterBreak="0">
    <w:nsid w:val="68B06B68"/>
    <w:multiLevelType w:val="hybridMultilevel"/>
    <w:tmpl w:val="AAFABA2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6" w15:restartNumberingAfterBreak="0">
    <w:nsid w:val="68D87F5E"/>
    <w:multiLevelType w:val="hybridMultilevel"/>
    <w:tmpl w:val="33A827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7" w15:restartNumberingAfterBreak="0">
    <w:nsid w:val="69FF3674"/>
    <w:multiLevelType w:val="hybridMultilevel"/>
    <w:tmpl w:val="4644ED2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8" w15:restartNumberingAfterBreak="0">
    <w:nsid w:val="6B057D7A"/>
    <w:multiLevelType w:val="hybridMultilevel"/>
    <w:tmpl w:val="8A9E3604"/>
    <w:lvl w:ilvl="0" w:tplc="F6E8A86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9" w15:restartNumberingAfterBreak="0">
    <w:nsid w:val="6B283ADF"/>
    <w:multiLevelType w:val="hybridMultilevel"/>
    <w:tmpl w:val="8300222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0" w15:restartNumberingAfterBreak="0">
    <w:nsid w:val="6FF71851"/>
    <w:multiLevelType w:val="hybridMultilevel"/>
    <w:tmpl w:val="008AF5C6"/>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1" w15:restartNumberingAfterBreak="0">
    <w:nsid w:val="71895CC6"/>
    <w:multiLevelType w:val="hybridMultilevel"/>
    <w:tmpl w:val="A9189B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2" w15:restartNumberingAfterBreak="0">
    <w:nsid w:val="739D2E6C"/>
    <w:multiLevelType w:val="hybridMultilevel"/>
    <w:tmpl w:val="35042E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3" w15:restartNumberingAfterBreak="0">
    <w:nsid w:val="768C2D36"/>
    <w:multiLevelType w:val="hybridMultilevel"/>
    <w:tmpl w:val="0AC0AB5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4" w15:restartNumberingAfterBreak="0">
    <w:nsid w:val="77350FF1"/>
    <w:multiLevelType w:val="hybridMultilevel"/>
    <w:tmpl w:val="6166EC24"/>
    <w:lvl w:ilvl="0" w:tplc="63A41B0E">
      <w:start w:val="1"/>
      <w:numFmt w:val="bullet"/>
      <w:lvlText w:val="−"/>
      <w:lvlJc w:val="left"/>
      <w:pPr>
        <w:ind w:left="720" w:hanging="360"/>
      </w:pPr>
      <w:rPr>
        <w:rFonts w:ascii="Times New Roman"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5" w15:restartNumberingAfterBreak="0">
    <w:nsid w:val="77DB583F"/>
    <w:multiLevelType w:val="hybridMultilevel"/>
    <w:tmpl w:val="67D83FC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6" w15:restartNumberingAfterBreak="0">
    <w:nsid w:val="77FE24F6"/>
    <w:multiLevelType w:val="hybridMultilevel"/>
    <w:tmpl w:val="68D2D4AA"/>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77" w15:restartNumberingAfterBreak="0">
    <w:nsid w:val="78F0680D"/>
    <w:multiLevelType w:val="hybridMultilevel"/>
    <w:tmpl w:val="B392996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8" w15:restartNumberingAfterBreak="0">
    <w:nsid w:val="79213A7D"/>
    <w:multiLevelType w:val="singleLevel"/>
    <w:tmpl w:val="A6DCD7E4"/>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7D224568"/>
    <w:multiLevelType w:val="hybridMultilevel"/>
    <w:tmpl w:val="E7065C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0"/>
  </w:num>
  <w:num w:numId="4">
    <w:abstractNumId w:val="6"/>
  </w:num>
  <w:num w:numId="5">
    <w:abstractNumId w:val="7"/>
  </w:num>
  <w:num w:numId="6">
    <w:abstractNumId w:val="2"/>
  </w:num>
  <w:num w:numId="7">
    <w:abstractNumId w:val="44"/>
  </w:num>
  <w:num w:numId="8">
    <w:abstractNumId w:val="53"/>
  </w:num>
  <w:num w:numId="9">
    <w:abstractNumId w:val="57"/>
  </w:num>
  <w:num w:numId="10">
    <w:abstractNumId w:val="27"/>
  </w:num>
  <w:num w:numId="11">
    <w:abstractNumId w:val="13"/>
  </w:num>
  <w:num w:numId="12">
    <w:abstractNumId w:val="29"/>
    <w:lvlOverride w:ilvl="0">
      <w:startOverride w:val="1"/>
    </w:lvlOverride>
  </w:num>
  <w:num w:numId="13">
    <w:abstractNumId w:val="10"/>
  </w:num>
  <w:num w:numId="14">
    <w:abstractNumId w:val="65"/>
  </w:num>
  <w:num w:numId="15">
    <w:abstractNumId w:val="47"/>
  </w:num>
  <w:num w:numId="16">
    <w:abstractNumId w:val="20"/>
  </w:num>
  <w:num w:numId="17">
    <w:abstractNumId w:val="21"/>
  </w:num>
  <w:num w:numId="18">
    <w:abstractNumId w:val="77"/>
  </w:num>
  <w:num w:numId="19">
    <w:abstractNumId w:val="5"/>
  </w:num>
  <w:num w:numId="20">
    <w:abstractNumId w:val="71"/>
  </w:num>
  <w:num w:numId="21">
    <w:abstractNumId w:val="30"/>
  </w:num>
  <w:num w:numId="22">
    <w:abstractNumId w:val="78"/>
  </w:num>
  <w:num w:numId="23">
    <w:abstractNumId w:val="4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5"/>
  </w:num>
  <w:num w:numId="27">
    <w:abstractNumId w:val="19"/>
  </w:num>
  <w:num w:numId="28">
    <w:abstractNumId w:val="54"/>
  </w:num>
  <w:num w:numId="29">
    <w:abstractNumId w:val="66"/>
  </w:num>
  <w:num w:numId="30">
    <w:abstractNumId w:val="41"/>
  </w:num>
  <w:num w:numId="31">
    <w:abstractNumId w:val="11"/>
  </w:num>
  <w:num w:numId="32">
    <w:abstractNumId w:val="42"/>
  </w:num>
  <w:num w:numId="33">
    <w:abstractNumId w:val="43"/>
  </w:num>
  <w:num w:numId="34">
    <w:abstractNumId w:val="79"/>
  </w:num>
  <w:num w:numId="35">
    <w:abstractNumId w:val="8"/>
  </w:num>
  <w:num w:numId="36">
    <w:abstractNumId w:val="49"/>
  </w:num>
  <w:num w:numId="37">
    <w:abstractNumId w:val="63"/>
  </w:num>
  <w:num w:numId="38">
    <w:abstractNumId w:val="51"/>
  </w:num>
  <w:num w:numId="39">
    <w:abstractNumId w:val="64"/>
  </w:num>
  <w:num w:numId="4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6"/>
  </w:num>
  <w:num w:numId="42">
    <w:abstractNumId w:val="61"/>
  </w:num>
  <w:num w:numId="43">
    <w:abstractNumId w:val="31"/>
  </w:num>
  <w:num w:numId="44">
    <w:abstractNumId w:val="34"/>
  </w:num>
  <w:num w:numId="45">
    <w:abstractNumId w:val="26"/>
  </w:num>
  <w:num w:numId="46">
    <w:abstractNumId w:val="32"/>
  </w:num>
  <w:num w:numId="47">
    <w:abstractNumId w:val="36"/>
  </w:num>
  <w:num w:numId="48">
    <w:abstractNumId w:val="1"/>
  </w:num>
  <w:num w:numId="49">
    <w:abstractNumId w:val="52"/>
  </w:num>
  <w:num w:numId="50">
    <w:abstractNumId w:val="46"/>
  </w:num>
  <w:num w:numId="51">
    <w:abstractNumId w:val="62"/>
  </w:num>
  <w:num w:numId="52">
    <w:abstractNumId w:val="25"/>
  </w:num>
  <w:num w:numId="53">
    <w:abstractNumId w:val="38"/>
  </w:num>
  <w:num w:numId="54">
    <w:abstractNumId w:val="12"/>
  </w:num>
  <w:num w:numId="55">
    <w:abstractNumId w:val="33"/>
  </w:num>
  <w:num w:numId="56">
    <w:abstractNumId w:val="56"/>
  </w:num>
  <w:num w:numId="57">
    <w:abstractNumId w:val="60"/>
  </w:num>
  <w:num w:numId="58">
    <w:abstractNumId w:val="72"/>
  </w:num>
  <w:num w:numId="59">
    <w:abstractNumId w:val="24"/>
  </w:num>
  <w:num w:numId="60">
    <w:abstractNumId w:val="48"/>
  </w:num>
  <w:num w:numId="61">
    <w:abstractNumId w:val="17"/>
  </w:num>
  <w:num w:numId="62">
    <w:abstractNumId w:val="40"/>
  </w:num>
  <w:num w:numId="63">
    <w:abstractNumId w:val="37"/>
  </w:num>
  <w:num w:numId="64">
    <w:abstractNumId w:val="23"/>
  </w:num>
  <w:num w:numId="65">
    <w:abstractNumId w:val="75"/>
  </w:num>
  <w:num w:numId="66">
    <w:abstractNumId w:val="70"/>
  </w:num>
  <w:num w:numId="67">
    <w:abstractNumId w:val="22"/>
  </w:num>
  <w:num w:numId="68">
    <w:abstractNumId w:val="74"/>
  </w:num>
  <w:num w:numId="69">
    <w:abstractNumId w:val="68"/>
  </w:num>
  <w:num w:numId="70">
    <w:abstractNumId w:val="50"/>
  </w:num>
  <w:num w:numId="71">
    <w:abstractNumId w:val="35"/>
  </w:num>
  <w:num w:numId="72">
    <w:abstractNumId w:val="9"/>
  </w:num>
  <w:num w:numId="73">
    <w:abstractNumId w:val="18"/>
  </w:num>
  <w:num w:numId="74">
    <w:abstractNumId w:val="58"/>
  </w:num>
  <w:num w:numId="75">
    <w:abstractNumId w:val="55"/>
  </w:num>
  <w:num w:numId="76">
    <w:abstractNumId w:val="69"/>
  </w:num>
  <w:num w:numId="77">
    <w:abstractNumId w:val="67"/>
  </w:num>
  <w:num w:numId="78">
    <w:abstractNumId w:val="59"/>
  </w:num>
  <w:num w:numId="79">
    <w:abstractNumId w:val="39"/>
  </w:num>
  <w:num w:numId="80">
    <w:abstractNumId w:val="73"/>
  </w:num>
  <w:num w:numId="81">
    <w:abstractNumId w:val="6"/>
  </w:num>
  <w:num w:numId="82">
    <w:abstractNumId w:val="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hideSpellingErrors/>
  <w:hideGrammaticalErrors/>
  <w:activeWritingStyle w:appName="MSWord" w:lang="es-CL" w:vendorID="64" w:dllVersion="4096" w:nlCheck="1" w:checkStyle="0"/>
  <w:activeWritingStyle w:appName="MSWord" w:lang="es-419"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s-ES_tradnl" w:vendorID="64" w:dllVersion="6" w:nlCheck="1" w:checkStyle="1"/>
  <w:activeWritingStyle w:appName="MSWord" w:lang="es-419" w:vendorID="64" w:dllVersion="6" w:nlCheck="1" w:checkStyle="1"/>
  <w:activeWritingStyle w:appName="MSWord" w:lang="es-CL" w:vendorID="64" w:dllVersion="6" w:nlCheck="1" w:checkStyle="1"/>
  <w:activeWritingStyle w:appName="MSWord" w:lang="es-AR" w:vendorID="64" w:dllVersion="6" w:nlCheck="1" w:checkStyle="1"/>
  <w:activeWritingStyle w:appName="MSWord" w:lang="es-ES" w:vendorID="64" w:dllVersion="6" w:nlCheck="1" w:checkStyle="1"/>
  <w:activeWritingStyle w:appName="MSWord" w:lang="en-US" w:vendorID="64" w:dllVersion="6" w:nlCheck="1" w:checkStyle="1"/>
  <w:activeWritingStyle w:appName="MSWord" w:lang="es-CL" w:vendorID="64" w:dllVersion="0" w:nlCheck="1" w:checkStyle="0"/>
  <w:activeWritingStyle w:appName="MSWord" w:lang="es-419" w:vendorID="64" w:dllVersion="0" w:nlCheck="1" w:checkStyle="0"/>
  <w:activeWritingStyle w:appName="MSWord" w:lang="es-ES_tradnl" w:vendorID="64" w:dllVersion="0" w:nlCheck="1" w:checkStyle="0"/>
  <w:activeWritingStyle w:appName="MSWord" w:lang="es-AR"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4096" w:nlCheck="1" w:checkStyle="0"/>
  <w:activeWritingStyle w:appName="MSWord" w:lang="pt-BR" w:vendorID="64" w:dllVersion="0" w:nlCheck="1" w:checkStyle="0"/>
  <w:activeWritingStyle w:appName="MSWord" w:lang="es-AR" w:vendorID="64" w:dllVersion="4096" w:nlCheck="1" w:checkStyle="0"/>
  <w:activeWritingStyle w:appName="MSWord" w:lang="es-MX" w:vendorID="64" w:dllVersion="4096" w:nlCheck="1" w:checkStyle="0"/>
  <w:activeWritingStyle w:appName="MSWord" w:lang="es-MX" w:vendorID="64" w:dllVersion="6" w:nlCheck="1" w:checkStyle="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577"/>
    <w:rsid w:val="00000D7E"/>
    <w:rsid w:val="00002B95"/>
    <w:rsid w:val="00003B1B"/>
    <w:rsid w:val="00003F6D"/>
    <w:rsid w:val="00006183"/>
    <w:rsid w:val="00007E56"/>
    <w:rsid w:val="00014B3E"/>
    <w:rsid w:val="00015464"/>
    <w:rsid w:val="00017794"/>
    <w:rsid w:val="000214CD"/>
    <w:rsid w:val="00021CEF"/>
    <w:rsid w:val="00022381"/>
    <w:rsid w:val="00022A44"/>
    <w:rsid w:val="00024FA9"/>
    <w:rsid w:val="00025233"/>
    <w:rsid w:val="00027E17"/>
    <w:rsid w:val="00027F60"/>
    <w:rsid w:val="00030520"/>
    <w:rsid w:val="00033904"/>
    <w:rsid w:val="00033B4C"/>
    <w:rsid w:val="00041186"/>
    <w:rsid w:val="00043842"/>
    <w:rsid w:val="00047802"/>
    <w:rsid w:val="00053B4B"/>
    <w:rsid w:val="00053EB2"/>
    <w:rsid w:val="0005773E"/>
    <w:rsid w:val="0006067B"/>
    <w:rsid w:val="00070907"/>
    <w:rsid w:val="000714A5"/>
    <w:rsid w:val="00071AA5"/>
    <w:rsid w:val="00073508"/>
    <w:rsid w:val="00074BF3"/>
    <w:rsid w:val="000759A7"/>
    <w:rsid w:val="00081F41"/>
    <w:rsid w:val="00084018"/>
    <w:rsid w:val="00084642"/>
    <w:rsid w:val="00085A19"/>
    <w:rsid w:val="00085A7D"/>
    <w:rsid w:val="00087E20"/>
    <w:rsid w:val="0009238C"/>
    <w:rsid w:val="000951EC"/>
    <w:rsid w:val="000975D2"/>
    <w:rsid w:val="000A0ACA"/>
    <w:rsid w:val="000A0E6A"/>
    <w:rsid w:val="000A4CEF"/>
    <w:rsid w:val="000A5D88"/>
    <w:rsid w:val="000A7091"/>
    <w:rsid w:val="000B0F02"/>
    <w:rsid w:val="000B1AE2"/>
    <w:rsid w:val="000B3B8D"/>
    <w:rsid w:val="000D3EEE"/>
    <w:rsid w:val="000D43CC"/>
    <w:rsid w:val="000E2BDA"/>
    <w:rsid w:val="000E2E85"/>
    <w:rsid w:val="000E4038"/>
    <w:rsid w:val="000F1119"/>
    <w:rsid w:val="000F2820"/>
    <w:rsid w:val="00101270"/>
    <w:rsid w:val="00106B2F"/>
    <w:rsid w:val="00106CD7"/>
    <w:rsid w:val="0010766D"/>
    <w:rsid w:val="00110699"/>
    <w:rsid w:val="00111D8C"/>
    <w:rsid w:val="00114C81"/>
    <w:rsid w:val="00116AD9"/>
    <w:rsid w:val="00120CC9"/>
    <w:rsid w:val="00123F76"/>
    <w:rsid w:val="00130B22"/>
    <w:rsid w:val="00130E0C"/>
    <w:rsid w:val="001339DD"/>
    <w:rsid w:val="001376C6"/>
    <w:rsid w:val="001406A7"/>
    <w:rsid w:val="00141B4E"/>
    <w:rsid w:val="00145881"/>
    <w:rsid w:val="00147034"/>
    <w:rsid w:val="0014723F"/>
    <w:rsid w:val="00163736"/>
    <w:rsid w:val="00170165"/>
    <w:rsid w:val="001718AD"/>
    <w:rsid w:val="00175E8F"/>
    <w:rsid w:val="00176533"/>
    <w:rsid w:val="00176585"/>
    <w:rsid w:val="00177B54"/>
    <w:rsid w:val="001857A6"/>
    <w:rsid w:val="00186319"/>
    <w:rsid w:val="00186FDE"/>
    <w:rsid w:val="001907FF"/>
    <w:rsid w:val="0019135B"/>
    <w:rsid w:val="001A42EA"/>
    <w:rsid w:val="001A4783"/>
    <w:rsid w:val="001A4F4D"/>
    <w:rsid w:val="001A677F"/>
    <w:rsid w:val="001B35D2"/>
    <w:rsid w:val="001B4185"/>
    <w:rsid w:val="001B7076"/>
    <w:rsid w:val="001B789C"/>
    <w:rsid w:val="001B7958"/>
    <w:rsid w:val="001B7BC5"/>
    <w:rsid w:val="001C02A9"/>
    <w:rsid w:val="001C37A4"/>
    <w:rsid w:val="001C50A8"/>
    <w:rsid w:val="001C5645"/>
    <w:rsid w:val="001D2046"/>
    <w:rsid w:val="001D23DB"/>
    <w:rsid w:val="001D3F7C"/>
    <w:rsid w:val="001E13FF"/>
    <w:rsid w:val="001E6DDE"/>
    <w:rsid w:val="001E76D6"/>
    <w:rsid w:val="001F1928"/>
    <w:rsid w:val="001F2BE8"/>
    <w:rsid w:val="0020168B"/>
    <w:rsid w:val="00203219"/>
    <w:rsid w:val="0020645F"/>
    <w:rsid w:val="00216EF8"/>
    <w:rsid w:val="002176F0"/>
    <w:rsid w:val="00223637"/>
    <w:rsid w:val="002237F2"/>
    <w:rsid w:val="002238EE"/>
    <w:rsid w:val="00230F1D"/>
    <w:rsid w:val="002327DF"/>
    <w:rsid w:val="002464CB"/>
    <w:rsid w:val="00254DBB"/>
    <w:rsid w:val="002568FF"/>
    <w:rsid w:val="0026164C"/>
    <w:rsid w:val="00263F88"/>
    <w:rsid w:val="002656FA"/>
    <w:rsid w:val="00266954"/>
    <w:rsid w:val="0026714C"/>
    <w:rsid w:val="00267AB1"/>
    <w:rsid w:val="002709D0"/>
    <w:rsid w:val="002712C6"/>
    <w:rsid w:val="00272A46"/>
    <w:rsid w:val="002753B1"/>
    <w:rsid w:val="002767C9"/>
    <w:rsid w:val="002854A7"/>
    <w:rsid w:val="00287C8A"/>
    <w:rsid w:val="002A125F"/>
    <w:rsid w:val="002A1735"/>
    <w:rsid w:val="002A274B"/>
    <w:rsid w:val="002A34CE"/>
    <w:rsid w:val="002B3F62"/>
    <w:rsid w:val="002B591D"/>
    <w:rsid w:val="002B60EC"/>
    <w:rsid w:val="002C2818"/>
    <w:rsid w:val="002C47DB"/>
    <w:rsid w:val="002C5E44"/>
    <w:rsid w:val="002D03BC"/>
    <w:rsid w:val="002D27DF"/>
    <w:rsid w:val="002D394B"/>
    <w:rsid w:val="002D4568"/>
    <w:rsid w:val="002E04B6"/>
    <w:rsid w:val="002E20CA"/>
    <w:rsid w:val="002F0906"/>
    <w:rsid w:val="002F2C75"/>
    <w:rsid w:val="002F4978"/>
    <w:rsid w:val="002F519B"/>
    <w:rsid w:val="002F5681"/>
    <w:rsid w:val="002F599A"/>
    <w:rsid w:val="00300980"/>
    <w:rsid w:val="00310E95"/>
    <w:rsid w:val="00311B58"/>
    <w:rsid w:val="003129F9"/>
    <w:rsid w:val="00314088"/>
    <w:rsid w:val="00314F26"/>
    <w:rsid w:val="003155CB"/>
    <w:rsid w:val="00326F4D"/>
    <w:rsid w:val="00330850"/>
    <w:rsid w:val="00333227"/>
    <w:rsid w:val="003350E4"/>
    <w:rsid w:val="00335954"/>
    <w:rsid w:val="003400E0"/>
    <w:rsid w:val="003416F1"/>
    <w:rsid w:val="00342C7B"/>
    <w:rsid w:val="00343ACD"/>
    <w:rsid w:val="00344EA5"/>
    <w:rsid w:val="00353FD2"/>
    <w:rsid w:val="00354000"/>
    <w:rsid w:val="0035440A"/>
    <w:rsid w:val="00354C2E"/>
    <w:rsid w:val="00360993"/>
    <w:rsid w:val="00362A85"/>
    <w:rsid w:val="00365A19"/>
    <w:rsid w:val="00371984"/>
    <w:rsid w:val="003763EB"/>
    <w:rsid w:val="00376725"/>
    <w:rsid w:val="00380FD1"/>
    <w:rsid w:val="00381349"/>
    <w:rsid w:val="00386D8D"/>
    <w:rsid w:val="00392BCA"/>
    <w:rsid w:val="00392F25"/>
    <w:rsid w:val="00397C1F"/>
    <w:rsid w:val="003A5B99"/>
    <w:rsid w:val="003B00B2"/>
    <w:rsid w:val="003B05AA"/>
    <w:rsid w:val="003B2780"/>
    <w:rsid w:val="003B6602"/>
    <w:rsid w:val="003C0294"/>
    <w:rsid w:val="003C5C69"/>
    <w:rsid w:val="003C5C76"/>
    <w:rsid w:val="003C7297"/>
    <w:rsid w:val="003D027C"/>
    <w:rsid w:val="003D2A82"/>
    <w:rsid w:val="003D398A"/>
    <w:rsid w:val="003D4D76"/>
    <w:rsid w:val="003E08AB"/>
    <w:rsid w:val="003E19A2"/>
    <w:rsid w:val="003E1E35"/>
    <w:rsid w:val="003E6B3A"/>
    <w:rsid w:val="003E7CBF"/>
    <w:rsid w:val="003F56C2"/>
    <w:rsid w:val="003F7C49"/>
    <w:rsid w:val="003F7E9E"/>
    <w:rsid w:val="00404361"/>
    <w:rsid w:val="00411CA6"/>
    <w:rsid w:val="00412963"/>
    <w:rsid w:val="00412E6E"/>
    <w:rsid w:val="00413F51"/>
    <w:rsid w:val="00414276"/>
    <w:rsid w:val="004144C3"/>
    <w:rsid w:val="00415AE0"/>
    <w:rsid w:val="0041630C"/>
    <w:rsid w:val="0041753A"/>
    <w:rsid w:val="00425350"/>
    <w:rsid w:val="00430038"/>
    <w:rsid w:val="00431484"/>
    <w:rsid w:val="00432E2E"/>
    <w:rsid w:val="0043602A"/>
    <w:rsid w:val="00436DD1"/>
    <w:rsid w:val="00441B7D"/>
    <w:rsid w:val="0045136B"/>
    <w:rsid w:val="00452849"/>
    <w:rsid w:val="004571A5"/>
    <w:rsid w:val="00461027"/>
    <w:rsid w:val="00461905"/>
    <w:rsid w:val="00463600"/>
    <w:rsid w:val="00464A14"/>
    <w:rsid w:val="004670D5"/>
    <w:rsid w:val="004716C6"/>
    <w:rsid w:val="00472D56"/>
    <w:rsid w:val="004777E5"/>
    <w:rsid w:val="004A50B1"/>
    <w:rsid w:val="004B3AB3"/>
    <w:rsid w:val="004B515B"/>
    <w:rsid w:val="004C0AC0"/>
    <w:rsid w:val="004C0F90"/>
    <w:rsid w:val="004C2EFB"/>
    <w:rsid w:val="004C3EB9"/>
    <w:rsid w:val="004C69DD"/>
    <w:rsid w:val="004C7036"/>
    <w:rsid w:val="004D1FC5"/>
    <w:rsid w:val="004D2EAC"/>
    <w:rsid w:val="004D30C8"/>
    <w:rsid w:val="004D7544"/>
    <w:rsid w:val="004E08A5"/>
    <w:rsid w:val="004E19BB"/>
    <w:rsid w:val="004E3D11"/>
    <w:rsid w:val="004E7B2B"/>
    <w:rsid w:val="004F1623"/>
    <w:rsid w:val="004F1A7F"/>
    <w:rsid w:val="004F3150"/>
    <w:rsid w:val="004F35CB"/>
    <w:rsid w:val="00500297"/>
    <w:rsid w:val="005004D1"/>
    <w:rsid w:val="00501414"/>
    <w:rsid w:val="005017DC"/>
    <w:rsid w:val="005019B1"/>
    <w:rsid w:val="00504AF6"/>
    <w:rsid w:val="00505D3C"/>
    <w:rsid w:val="00507569"/>
    <w:rsid w:val="00510E91"/>
    <w:rsid w:val="00511500"/>
    <w:rsid w:val="00513282"/>
    <w:rsid w:val="00513A3B"/>
    <w:rsid w:val="00513E8A"/>
    <w:rsid w:val="00516C26"/>
    <w:rsid w:val="005255B6"/>
    <w:rsid w:val="00527A4C"/>
    <w:rsid w:val="00530585"/>
    <w:rsid w:val="00530E57"/>
    <w:rsid w:val="00531260"/>
    <w:rsid w:val="00532572"/>
    <w:rsid w:val="00532593"/>
    <w:rsid w:val="00532B44"/>
    <w:rsid w:val="00535FE1"/>
    <w:rsid w:val="005376BC"/>
    <w:rsid w:val="00537CA4"/>
    <w:rsid w:val="00540E9B"/>
    <w:rsid w:val="0054243B"/>
    <w:rsid w:val="00542BFA"/>
    <w:rsid w:val="00543D5C"/>
    <w:rsid w:val="005443D2"/>
    <w:rsid w:val="00546CF9"/>
    <w:rsid w:val="00554DD4"/>
    <w:rsid w:val="0056039F"/>
    <w:rsid w:val="00563615"/>
    <w:rsid w:val="00566882"/>
    <w:rsid w:val="00566D6A"/>
    <w:rsid w:val="00567A98"/>
    <w:rsid w:val="005711DB"/>
    <w:rsid w:val="00575B62"/>
    <w:rsid w:val="0058096E"/>
    <w:rsid w:val="00580B4B"/>
    <w:rsid w:val="00581908"/>
    <w:rsid w:val="00581A78"/>
    <w:rsid w:val="0058209B"/>
    <w:rsid w:val="0058219B"/>
    <w:rsid w:val="005821AA"/>
    <w:rsid w:val="005845CC"/>
    <w:rsid w:val="0059056D"/>
    <w:rsid w:val="005912A6"/>
    <w:rsid w:val="00593C88"/>
    <w:rsid w:val="005947B6"/>
    <w:rsid w:val="005A1E5C"/>
    <w:rsid w:val="005A4154"/>
    <w:rsid w:val="005B1350"/>
    <w:rsid w:val="005B2D48"/>
    <w:rsid w:val="005B747E"/>
    <w:rsid w:val="005C0DFC"/>
    <w:rsid w:val="005C317D"/>
    <w:rsid w:val="005C7BF3"/>
    <w:rsid w:val="005D18B9"/>
    <w:rsid w:val="005D2023"/>
    <w:rsid w:val="005D40DC"/>
    <w:rsid w:val="005D5AFB"/>
    <w:rsid w:val="005D6BF5"/>
    <w:rsid w:val="005D6C5B"/>
    <w:rsid w:val="005E16F1"/>
    <w:rsid w:val="005E36B5"/>
    <w:rsid w:val="005E36B7"/>
    <w:rsid w:val="005E6A78"/>
    <w:rsid w:val="005E6C2B"/>
    <w:rsid w:val="005E7DDD"/>
    <w:rsid w:val="005F1465"/>
    <w:rsid w:val="005F2B80"/>
    <w:rsid w:val="005F38A2"/>
    <w:rsid w:val="005F51D7"/>
    <w:rsid w:val="005F592C"/>
    <w:rsid w:val="005F61B3"/>
    <w:rsid w:val="005F6991"/>
    <w:rsid w:val="005F6A34"/>
    <w:rsid w:val="005F7DB4"/>
    <w:rsid w:val="0060133B"/>
    <w:rsid w:val="00602330"/>
    <w:rsid w:val="006065D5"/>
    <w:rsid w:val="006102FE"/>
    <w:rsid w:val="006116ED"/>
    <w:rsid w:val="00612AE4"/>
    <w:rsid w:val="00614917"/>
    <w:rsid w:val="00614EED"/>
    <w:rsid w:val="006179B6"/>
    <w:rsid w:val="006206BC"/>
    <w:rsid w:val="006206E0"/>
    <w:rsid w:val="00622AF5"/>
    <w:rsid w:val="00622B54"/>
    <w:rsid w:val="00625A26"/>
    <w:rsid w:val="00625E55"/>
    <w:rsid w:val="00631DAB"/>
    <w:rsid w:val="00633E57"/>
    <w:rsid w:val="00635F7D"/>
    <w:rsid w:val="00640DE8"/>
    <w:rsid w:val="006444E7"/>
    <w:rsid w:val="00644763"/>
    <w:rsid w:val="0064491B"/>
    <w:rsid w:val="00645F0A"/>
    <w:rsid w:val="00650979"/>
    <w:rsid w:val="00653635"/>
    <w:rsid w:val="006537B8"/>
    <w:rsid w:val="0066388E"/>
    <w:rsid w:val="00663C33"/>
    <w:rsid w:val="006666A1"/>
    <w:rsid w:val="00666ACE"/>
    <w:rsid w:val="00667377"/>
    <w:rsid w:val="00671BB7"/>
    <w:rsid w:val="006728D1"/>
    <w:rsid w:val="00673A87"/>
    <w:rsid w:val="006742DD"/>
    <w:rsid w:val="006764E9"/>
    <w:rsid w:val="00677E72"/>
    <w:rsid w:val="00680717"/>
    <w:rsid w:val="00680C9D"/>
    <w:rsid w:val="00684254"/>
    <w:rsid w:val="00684304"/>
    <w:rsid w:val="0069031B"/>
    <w:rsid w:val="00690F81"/>
    <w:rsid w:val="00694C46"/>
    <w:rsid w:val="00697FF4"/>
    <w:rsid w:val="006A24FA"/>
    <w:rsid w:val="006A403C"/>
    <w:rsid w:val="006A454A"/>
    <w:rsid w:val="006A6DEE"/>
    <w:rsid w:val="006B23A9"/>
    <w:rsid w:val="006B2448"/>
    <w:rsid w:val="006B4AFA"/>
    <w:rsid w:val="006B5F45"/>
    <w:rsid w:val="006C37DC"/>
    <w:rsid w:val="006C73DC"/>
    <w:rsid w:val="006D02CF"/>
    <w:rsid w:val="006D22AE"/>
    <w:rsid w:val="006D28CC"/>
    <w:rsid w:val="006D3102"/>
    <w:rsid w:val="006D56B5"/>
    <w:rsid w:val="006D67EC"/>
    <w:rsid w:val="006D6E6E"/>
    <w:rsid w:val="006D750B"/>
    <w:rsid w:val="006E0750"/>
    <w:rsid w:val="006E0781"/>
    <w:rsid w:val="006E42B3"/>
    <w:rsid w:val="006E4ED1"/>
    <w:rsid w:val="006F2FA2"/>
    <w:rsid w:val="006F5B6D"/>
    <w:rsid w:val="006F5D3C"/>
    <w:rsid w:val="006F6EED"/>
    <w:rsid w:val="006F731F"/>
    <w:rsid w:val="006F7B25"/>
    <w:rsid w:val="006F7E7A"/>
    <w:rsid w:val="007028E6"/>
    <w:rsid w:val="007052C0"/>
    <w:rsid w:val="007075D1"/>
    <w:rsid w:val="007102A8"/>
    <w:rsid w:val="00710DA9"/>
    <w:rsid w:val="007124EF"/>
    <w:rsid w:val="007137E6"/>
    <w:rsid w:val="00713943"/>
    <w:rsid w:val="00714A4A"/>
    <w:rsid w:val="0071621B"/>
    <w:rsid w:val="00717AA0"/>
    <w:rsid w:val="0072383A"/>
    <w:rsid w:val="00723B4B"/>
    <w:rsid w:val="00724344"/>
    <w:rsid w:val="00725238"/>
    <w:rsid w:val="00725CE1"/>
    <w:rsid w:val="00730894"/>
    <w:rsid w:val="007357AE"/>
    <w:rsid w:val="00735C00"/>
    <w:rsid w:val="00735C05"/>
    <w:rsid w:val="00736430"/>
    <w:rsid w:val="00741353"/>
    <w:rsid w:val="00745B43"/>
    <w:rsid w:val="00750A0D"/>
    <w:rsid w:val="00754788"/>
    <w:rsid w:val="0075611D"/>
    <w:rsid w:val="0076342E"/>
    <w:rsid w:val="00763AE2"/>
    <w:rsid w:val="00765631"/>
    <w:rsid w:val="00766204"/>
    <w:rsid w:val="00766532"/>
    <w:rsid w:val="00773553"/>
    <w:rsid w:val="007742D9"/>
    <w:rsid w:val="0077496F"/>
    <w:rsid w:val="00775CA4"/>
    <w:rsid w:val="007821FE"/>
    <w:rsid w:val="00783811"/>
    <w:rsid w:val="00783A29"/>
    <w:rsid w:val="00786576"/>
    <w:rsid w:val="00786B25"/>
    <w:rsid w:val="00787145"/>
    <w:rsid w:val="0078762F"/>
    <w:rsid w:val="0079135A"/>
    <w:rsid w:val="00791F78"/>
    <w:rsid w:val="007929C6"/>
    <w:rsid w:val="0079428C"/>
    <w:rsid w:val="00795610"/>
    <w:rsid w:val="007964D5"/>
    <w:rsid w:val="007A2344"/>
    <w:rsid w:val="007A2CCB"/>
    <w:rsid w:val="007A4C49"/>
    <w:rsid w:val="007A50E9"/>
    <w:rsid w:val="007A7455"/>
    <w:rsid w:val="007B1893"/>
    <w:rsid w:val="007C19D6"/>
    <w:rsid w:val="007C4A83"/>
    <w:rsid w:val="007C5CCA"/>
    <w:rsid w:val="007C6E05"/>
    <w:rsid w:val="007E10FA"/>
    <w:rsid w:val="007E27A1"/>
    <w:rsid w:val="007E29D3"/>
    <w:rsid w:val="007E5B28"/>
    <w:rsid w:val="007E6DA0"/>
    <w:rsid w:val="007F2DC2"/>
    <w:rsid w:val="00805DE2"/>
    <w:rsid w:val="00805E7A"/>
    <w:rsid w:val="008102E8"/>
    <w:rsid w:val="00811926"/>
    <w:rsid w:val="0081401C"/>
    <w:rsid w:val="008321F8"/>
    <w:rsid w:val="00833634"/>
    <w:rsid w:val="00841F88"/>
    <w:rsid w:val="00842030"/>
    <w:rsid w:val="00842E24"/>
    <w:rsid w:val="008440BF"/>
    <w:rsid w:val="008476E1"/>
    <w:rsid w:val="00847B5F"/>
    <w:rsid w:val="00847C84"/>
    <w:rsid w:val="00850C20"/>
    <w:rsid w:val="00852E94"/>
    <w:rsid w:val="00853220"/>
    <w:rsid w:val="008551D4"/>
    <w:rsid w:val="008560CE"/>
    <w:rsid w:val="0085763C"/>
    <w:rsid w:val="00860C2F"/>
    <w:rsid w:val="00861931"/>
    <w:rsid w:val="00871C7A"/>
    <w:rsid w:val="00872C3A"/>
    <w:rsid w:val="008845E8"/>
    <w:rsid w:val="0088776A"/>
    <w:rsid w:val="00887D2D"/>
    <w:rsid w:val="00891F98"/>
    <w:rsid w:val="008A12BE"/>
    <w:rsid w:val="008A1C38"/>
    <w:rsid w:val="008A2286"/>
    <w:rsid w:val="008A5FF6"/>
    <w:rsid w:val="008B57FF"/>
    <w:rsid w:val="008B5C5A"/>
    <w:rsid w:val="008C1078"/>
    <w:rsid w:val="008C70E8"/>
    <w:rsid w:val="008D3DAC"/>
    <w:rsid w:val="008D68A8"/>
    <w:rsid w:val="008E0655"/>
    <w:rsid w:val="008E340C"/>
    <w:rsid w:val="008E5A93"/>
    <w:rsid w:val="008F013C"/>
    <w:rsid w:val="008F2388"/>
    <w:rsid w:val="008F4C4C"/>
    <w:rsid w:val="00900381"/>
    <w:rsid w:val="0090098B"/>
    <w:rsid w:val="00904836"/>
    <w:rsid w:val="009049DB"/>
    <w:rsid w:val="00907156"/>
    <w:rsid w:val="009072B2"/>
    <w:rsid w:val="0090792C"/>
    <w:rsid w:val="00912E24"/>
    <w:rsid w:val="00913F90"/>
    <w:rsid w:val="009159FF"/>
    <w:rsid w:val="00924B8C"/>
    <w:rsid w:val="00926A9B"/>
    <w:rsid w:val="00927209"/>
    <w:rsid w:val="00930F4D"/>
    <w:rsid w:val="00932467"/>
    <w:rsid w:val="00936C96"/>
    <w:rsid w:val="00941C6D"/>
    <w:rsid w:val="0094637A"/>
    <w:rsid w:val="00946684"/>
    <w:rsid w:val="00947487"/>
    <w:rsid w:val="00950634"/>
    <w:rsid w:val="009506A9"/>
    <w:rsid w:val="00951D15"/>
    <w:rsid w:val="00960C03"/>
    <w:rsid w:val="00961FBA"/>
    <w:rsid w:val="00963711"/>
    <w:rsid w:val="00967481"/>
    <w:rsid w:val="009677F1"/>
    <w:rsid w:val="009835B1"/>
    <w:rsid w:val="00983D48"/>
    <w:rsid w:val="009845FD"/>
    <w:rsid w:val="0098490B"/>
    <w:rsid w:val="00990CDB"/>
    <w:rsid w:val="0099217A"/>
    <w:rsid w:val="009933B7"/>
    <w:rsid w:val="009966CF"/>
    <w:rsid w:val="00997297"/>
    <w:rsid w:val="009A2C20"/>
    <w:rsid w:val="009A5668"/>
    <w:rsid w:val="009B2F4E"/>
    <w:rsid w:val="009B33CC"/>
    <w:rsid w:val="009B7693"/>
    <w:rsid w:val="009D12B8"/>
    <w:rsid w:val="009D423E"/>
    <w:rsid w:val="009D59B1"/>
    <w:rsid w:val="009E2753"/>
    <w:rsid w:val="009E32FD"/>
    <w:rsid w:val="009E3E63"/>
    <w:rsid w:val="009F2788"/>
    <w:rsid w:val="009F3AA0"/>
    <w:rsid w:val="009F4B9D"/>
    <w:rsid w:val="009F50EF"/>
    <w:rsid w:val="009F5751"/>
    <w:rsid w:val="00A00C82"/>
    <w:rsid w:val="00A00D9E"/>
    <w:rsid w:val="00A07E08"/>
    <w:rsid w:val="00A216B0"/>
    <w:rsid w:val="00A25607"/>
    <w:rsid w:val="00A30029"/>
    <w:rsid w:val="00A32E1F"/>
    <w:rsid w:val="00A33AA3"/>
    <w:rsid w:val="00A33F18"/>
    <w:rsid w:val="00A34D3B"/>
    <w:rsid w:val="00A40108"/>
    <w:rsid w:val="00A40A31"/>
    <w:rsid w:val="00A43C8E"/>
    <w:rsid w:val="00A45B86"/>
    <w:rsid w:val="00A46893"/>
    <w:rsid w:val="00A46CE1"/>
    <w:rsid w:val="00A47BB3"/>
    <w:rsid w:val="00A5139F"/>
    <w:rsid w:val="00A549C7"/>
    <w:rsid w:val="00A54F83"/>
    <w:rsid w:val="00A60AB4"/>
    <w:rsid w:val="00A620DF"/>
    <w:rsid w:val="00A65CF4"/>
    <w:rsid w:val="00A72A95"/>
    <w:rsid w:val="00A732B0"/>
    <w:rsid w:val="00A759A6"/>
    <w:rsid w:val="00A83B8B"/>
    <w:rsid w:val="00A851CF"/>
    <w:rsid w:val="00A870C5"/>
    <w:rsid w:val="00A904A6"/>
    <w:rsid w:val="00A9758F"/>
    <w:rsid w:val="00AA0B94"/>
    <w:rsid w:val="00AA5242"/>
    <w:rsid w:val="00AA5569"/>
    <w:rsid w:val="00AA5898"/>
    <w:rsid w:val="00AA671D"/>
    <w:rsid w:val="00AB0DE2"/>
    <w:rsid w:val="00AB5F50"/>
    <w:rsid w:val="00AB7128"/>
    <w:rsid w:val="00AC4051"/>
    <w:rsid w:val="00AC4A34"/>
    <w:rsid w:val="00AC5990"/>
    <w:rsid w:val="00AD1271"/>
    <w:rsid w:val="00AD13B1"/>
    <w:rsid w:val="00AD2C12"/>
    <w:rsid w:val="00AD3A71"/>
    <w:rsid w:val="00AD698F"/>
    <w:rsid w:val="00AE2B1B"/>
    <w:rsid w:val="00AE51E8"/>
    <w:rsid w:val="00AE7C3C"/>
    <w:rsid w:val="00AF16D8"/>
    <w:rsid w:val="00AF3EAD"/>
    <w:rsid w:val="00AF42DA"/>
    <w:rsid w:val="00AF6DB6"/>
    <w:rsid w:val="00B11BEE"/>
    <w:rsid w:val="00B11C3C"/>
    <w:rsid w:val="00B1285F"/>
    <w:rsid w:val="00B24238"/>
    <w:rsid w:val="00B25FD9"/>
    <w:rsid w:val="00B2633F"/>
    <w:rsid w:val="00B30516"/>
    <w:rsid w:val="00B34194"/>
    <w:rsid w:val="00B3647A"/>
    <w:rsid w:val="00B37932"/>
    <w:rsid w:val="00B40FF5"/>
    <w:rsid w:val="00B41E97"/>
    <w:rsid w:val="00B44AB1"/>
    <w:rsid w:val="00B46484"/>
    <w:rsid w:val="00B47076"/>
    <w:rsid w:val="00B47E02"/>
    <w:rsid w:val="00B503EE"/>
    <w:rsid w:val="00B51BAA"/>
    <w:rsid w:val="00B567D0"/>
    <w:rsid w:val="00B66B7D"/>
    <w:rsid w:val="00B73ED9"/>
    <w:rsid w:val="00B82C3E"/>
    <w:rsid w:val="00B83449"/>
    <w:rsid w:val="00B8575D"/>
    <w:rsid w:val="00B87896"/>
    <w:rsid w:val="00B919A9"/>
    <w:rsid w:val="00BA3AB2"/>
    <w:rsid w:val="00BA6AD1"/>
    <w:rsid w:val="00BA7086"/>
    <w:rsid w:val="00BB7061"/>
    <w:rsid w:val="00BC416F"/>
    <w:rsid w:val="00BC4D63"/>
    <w:rsid w:val="00BD3452"/>
    <w:rsid w:val="00BD6591"/>
    <w:rsid w:val="00BE61C2"/>
    <w:rsid w:val="00BE6DDF"/>
    <w:rsid w:val="00C00C2C"/>
    <w:rsid w:val="00C02887"/>
    <w:rsid w:val="00C028CD"/>
    <w:rsid w:val="00C21326"/>
    <w:rsid w:val="00C220DE"/>
    <w:rsid w:val="00C22267"/>
    <w:rsid w:val="00C276D3"/>
    <w:rsid w:val="00C3099C"/>
    <w:rsid w:val="00C4683D"/>
    <w:rsid w:val="00C5074A"/>
    <w:rsid w:val="00C51EF5"/>
    <w:rsid w:val="00C54886"/>
    <w:rsid w:val="00C562E8"/>
    <w:rsid w:val="00C56A9C"/>
    <w:rsid w:val="00C56B41"/>
    <w:rsid w:val="00C610AF"/>
    <w:rsid w:val="00C636E3"/>
    <w:rsid w:val="00C66B0F"/>
    <w:rsid w:val="00C72D1F"/>
    <w:rsid w:val="00C74232"/>
    <w:rsid w:val="00C82269"/>
    <w:rsid w:val="00C83B06"/>
    <w:rsid w:val="00C84AB8"/>
    <w:rsid w:val="00C9295F"/>
    <w:rsid w:val="00C94F99"/>
    <w:rsid w:val="00C961C4"/>
    <w:rsid w:val="00C97F3E"/>
    <w:rsid w:val="00CA31B0"/>
    <w:rsid w:val="00CA35E6"/>
    <w:rsid w:val="00CA3FA0"/>
    <w:rsid w:val="00CA6CA0"/>
    <w:rsid w:val="00CB0BC0"/>
    <w:rsid w:val="00CC30E9"/>
    <w:rsid w:val="00CC4FE5"/>
    <w:rsid w:val="00CD29F6"/>
    <w:rsid w:val="00CD36BA"/>
    <w:rsid w:val="00CD6359"/>
    <w:rsid w:val="00CE2753"/>
    <w:rsid w:val="00CE3033"/>
    <w:rsid w:val="00CE77DA"/>
    <w:rsid w:val="00CF0562"/>
    <w:rsid w:val="00CF0B91"/>
    <w:rsid w:val="00CF1AEA"/>
    <w:rsid w:val="00CF3FD4"/>
    <w:rsid w:val="00CF4416"/>
    <w:rsid w:val="00CF547B"/>
    <w:rsid w:val="00D01B12"/>
    <w:rsid w:val="00D01FF4"/>
    <w:rsid w:val="00D03F9E"/>
    <w:rsid w:val="00D04021"/>
    <w:rsid w:val="00D05636"/>
    <w:rsid w:val="00D058C9"/>
    <w:rsid w:val="00D05BCC"/>
    <w:rsid w:val="00D1280B"/>
    <w:rsid w:val="00D13B17"/>
    <w:rsid w:val="00D21F2A"/>
    <w:rsid w:val="00D22202"/>
    <w:rsid w:val="00D22973"/>
    <w:rsid w:val="00D247B8"/>
    <w:rsid w:val="00D3525F"/>
    <w:rsid w:val="00D35F1E"/>
    <w:rsid w:val="00D41A06"/>
    <w:rsid w:val="00D46075"/>
    <w:rsid w:val="00D475CC"/>
    <w:rsid w:val="00D54A2D"/>
    <w:rsid w:val="00D57B80"/>
    <w:rsid w:val="00D60F1C"/>
    <w:rsid w:val="00D657EA"/>
    <w:rsid w:val="00D6589E"/>
    <w:rsid w:val="00D67B9F"/>
    <w:rsid w:val="00D704B5"/>
    <w:rsid w:val="00D71779"/>
    <w:rsid w:val="00D73D5B"/>
    <w:rsid w:val="00D7535D"/>
    <w:rsid w:val="00D76184"/>
    <w:rsid w:val="00D77A5D"/>
    <w:rsid w:val="00D80441"/>
    <w:rsid w:val="00D84C43"/>
    <w:rsid w:val="00D94180"/>
    <w:rsid w:val="00D95E97"/>
    <w:rsid w:val="00D97484"/>
    <w:rsid w:val="00DA1826"/>
    <w:rsid w:val="00DA40D7"/>
    <w:rsid w:val="00DA4604"/>
    <w:rsid w:val="00DB4C97"/>
    <w:rsid w:val="00DC37FE"/>
    <w:rsid w:val="00DD02C3"/>
    <w:rsid w:val="00DD2359"/>
    <w:rsid w:val="00DD79F8"/>
    <w:rsid w:val="00DE1503"/>
    <w:rsid w:val="00DE4AFA"/>
    <w:rsid w:val="00DE5D0B"/>
    <w:rsid w:val="00DE678B"/>
    <w:rsid w:val="00DF1877"/>
    <w:rsid w:val="00DF2B5E"/>
    <w:rsid w:val="00DF73A2"/>
    <w:rsid w:val="00E010DD"/>
    <w:rsid w:val="00E0188E"/>
    <w:rsid w:val="00E03628"/>
    <w:rsid w:val="00E05708"/>
    <w:rsid w:val="00E06F39"/>
    <w:rsid w:val="00E07BE6"/>
    <w:rsid w:val="00E12D12"/>
    <w:rsid w:val="00E17FD8"/>
    <w:rsid w:val="00E200DF"/>
    <w:rsid w:val="00E2294D"/>
    <w:rsid w:val="00E2508E"/>
    <w:rsid w:val="00E27D80"/>
    <w:rsid w:val="00E31176"/>
    <w:rsid w:val="00E31D08"/>
    <w:rsid w:val="00E32691"/>
    <w:rsid w:val="00E3403E"/>
    <w:rsid w:val="00E34835"/>
    <w:rsid w:val="00E35ABD"/>
    <w:rsid w:val="00E35D00"/>
    <w:rsid w:val="00E41AFF"/>
    <w:rsid w:val="00E44486"/>
    <w:rsid w:val="00E5109E"/>
    <w:rsid w:val="00E55B40"/>
    <w:rsid w:val="00E57344"/>
    <w:rsid w:val="00E57D55"/>
    <w:rsid w:val="00E715D6"/>
    <w:rsid w:val="00E7253A"/>
    <w:rsid w:val="00E72C20"/>
    <w:rsid w:val="00E73355"/>
    <w:rsid w:val="00E82044"/>
    <w:rsid w:val="00E84164"/>
    <w:rsid w:val="00E903B2"/>
    <w:rsid w:val="00EA1674"/>
    <w:rsid w:val="00EA2E7C"/>
    <w:rsid w:val="00EA337B"/>
    <w:rsid w:val="00EA49D0"/>
    <w:rsid w:val="00EB2761"/>
    <w:rsid w:val="00EB4D41"/>
    <w:rsid w:val="00EB65E3"/>
    <w:rsid w:val="00EC01B4"/>
    <w:rsid w:val="00EC2800"/>
    <w:rsid w:val="00EC6F33"/>
    <w:rsid w:val="00EE1E49"/>
    <w:rsid w:val="00EE2C2A"/>
    <w:rsid w:val="00EE2F47"/>
    <w:rsid w:val="00EE3279"/>
    <w:rsid w:val="00EE3567"/>
    <w:rsid w:val="00EE505B"/>
    <w:rsid w:val="00EE67F5"/>
    <w:rsid w:val="00EF315C"/>
    <w:rsid w:val="00EF72E6"/>
    <w:rsid w:val="00F01563"/>
    <w:rsid w:val="00F038F7"/>
    <w:rsid w:val="00F04B20"/>
    <w:rsid w:val="00F05605"/>
    <w:rsid w:val="00F077E5"/>
    <w:rsid w:val="00F14BED"/>
    <w:rsid w:val="00F15E9C"/>
    <w:rsid w:val="00F15FCA"/>
    <w:rsid w:val="00F20732"/>
    <w:rsid w:val="00F2135D"/>
    <w:rsid w:val="00F22761"/>
    <w:rsid w:val="00F25CF2"/>
    <w:rsid w:val="00F26EA8"/>
    <w:rsid w:val="00F27D06"/>
    <w:rsid w:val="00F33714"/>
    <w:rsid w:val="00F34BB1"/>
    <w:rsid w:val="00F35B84"/>
    <w:rsid w:val="00F3667E"/>
    <w:rsid w:val="00F36B5B"/>
    <w:rsid w:val="00F42593"/>
    <w:rsid w:val="00F43502"/>
    <w:rsid w:val="00F43AC2"/>
    <w:rsid w:val="00F44B99"/>
    <w:rsid w:val="00F45B0B"/>
    <w:rsid w:val="00F465C5"/>
    <w:rsid w:val="00F46F3B"/>
    <w:rsid w:val="00F47F9D"/>
    <w:rsid w:val="00F5162A"/>
    <w:rsid w:val="00F5226B"/>
    <w:rsid w:val="00F5287D"/>
    <w:rsid w:val="00F53886"/>
    <w:rsid w:val="00F53B09"/>
    <w:rsid w:val="00F55404"/>
    <w:rsid w:val="00F55E75"/>
    <w:rsid w:val="00F6077A"/>
    <w:rsid w:val="00F64D04"/>
    <w:rsid w:val="00F662B7"/>
    <w:rsid w:val="00F72C28"/>
    <w:rsid w:val="00F738F6"/>
    <w:rsid w:val="00F75EC2"/>
    <w:rsid w:val="00F77796"/>
    <w:rsid w:val="00F80570"/>
    <w:rsid w:val="00F80681"/>
    <w:rsid w:val="00F813A8"/>
    <w:rsid w:val="00F82416"/>
    <w:rsid w:val="00F82755"/>
    <w:rsid w:val="00F82DB5"/>
    <w:rsid w:val="00F85966"/>
    <w:rsid w:val="00F86A41"/>
    <w:rsid w:val="00F8770F"/>
    <w:rsid w:val="00F926C7"/>
    <w:rsid w:val="00F94266"/>
    <w:rsid w:val="00F968F3"/>
    <w:rsid w:val="00F97B51"/>
    <w:rsid w:val="00FA7789"/>
    <w:rsid w:val="00FB129C"/>
    <w:rsid w:val="00FB22E9"/>
    <w:rsid w:val="00FB38EB"/>
    <w:rsid w:val="00FB4C5D"/>
    <w:rsid w:val="00FB56A2"/>
    <w:rsid w:val="00FB6AA6"/>
    <w:rsid w:val="00FB7392"/>
    <w:rsid w:val="00FD055F"/>
    <w:rsid w:val="00FD35BE"/>
    <w:rsid w:val="00FD459C"/>
    <w:rsid w:val="00FD6270"/>
    <w:rsid w:val="00FD6483"/>
    <w:rsid w:val="00FD6857"/>
    <w:rsid w:val="00FE09F4"/>
    <w:rsid w:val="00FE12C9"/>
    <w:rsid w:val="00FE22EE"/>
    <w:rsid w:val="00FE3577"/>
    <w:rsid w:val="00FE7C15"/>
    <w:rsid w:val="00FF0547"/>
    <w:rsid w:val="00FF567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B3FBB"/>
  <w15:docId w15:val="{95A84615-82B4-4BC9-A124-37AB180F4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D"/>
    <w:pPr>
      <w:spacing w:after="200" w:line="276" w:lineRule="auto"/>
      <w:jc w:val="both"/>
    </w:pPr>
    <w:rPr>
      <w:sz w:val="24"/>
      <w:szCs w:val="24"/>
      <w:lang w:val="es-419" w:eastAsia="en-US"/>
    </w:rPr>
  </w:style>
  <w:style w:type="paragraph" w:styleId="Ttulo1">
    <w:name w:val="heading 1"/>
    <w:basedOn w:val="Normal"/>
    <w:next w:val="Normal"/>
    <w:link w:val="Ttulo1Car"/>
    <w:uiPriority w:val="9"/>
    <w:qFormat/>
    <w:rsid w:val="00644763"/>
    <w:pPr>
      <w:numPr>
        <w:numId w:val="4"/>
      </w:numPr>
      <w:spacing w:before="240" w:after="240"/>
      <w:outlineLvl w:val="0"/>
    </w:pPr>
    <w:rPr>
      <w:rFonts w:eastAsia="Times New Roman"/>
      <w:b/>
      <w:caps/>
      <w:color w:val="4472C4"/>
      <w:spacing w:val="-10"/>
      <w:sz w:val="28"/>
      <w:szCs w:val="32"/>
    </w:rPr>
  </w:style>
  <w:style w:type="paragraph" w:styleId="Ttulo2">
    <w:name w:val="heading 2"/>
    <w:basedOn w:val="Normal"/>
    <w:next w:val="Normal"/>
    <w:link w:val="Ttulo2Car"/>
    <w:uiPriority w:val="9"/>
    <w:qFormat/>
    <w:rsid w:val="00644763"/>
    <w:pPr>
      <w:numPr>
        <w:ilvl w:val="1"/>
        <w:numId w:val="4"/>
      </w:numPr>
      <w:spacing w:after="240"/>
      <w:outlineLvl w:val="1"/>
    </w:pPr>
    <w:rPr>
      <w:rFonts w:eastAsia="Times New Roman"/>
      <w:b/>
      <w:color w:val="4472C4"/>
      <w:sz w:val="28"/>
      <w:szCs w:val="26"/>
    </w:rPr>
  </w:style>
  <w:style w:type="paragraph" w:styleId="Ttulo3">
    <w:name w:val="heading 3"/>
    <w:basedOn w:val="Normal"/>
    <w:next w:val="Normal"/>
    <w:link w:val="Ttulo3Car"/>
    <w:uiPriority w:val="9"/>
    <w:qFormat/>
    <w:rsid w:val="00644763"/>
    <w:pPr>
      <w:numPr>
        <w:ilvl w:val="2"/>
        <w:numId w:val="4"/>
      </w:numPr>
      <w:outlineLvl w:val="2"/>
    </w:pPr>
    <w:rPr>
      <w:rFonts w:eastAsia="Times New Roman"/>
      <w:b/>
      <w:color w:val="4472C4"/>
    </w:rPr>
  </w:style>
  <w:style w:type="paragraph" w:styleId="Ttulo4">
    <w:name w:val="heading 4"/>
    <w:basedOn w:val="Normal"/>
    <w:next w:val="Normal"/>
    <w:link w:val="Ttulo4Car"/>
    <w:uiPriority w:val="9"/>
    <w:qFormat/>
    <w:rsid w:val="00644763"/>
    <w:pPr>
      <w:numPr>
        <w:ilvl w:val="3"/>
        <w:numId w:val="4"/>
      </w:numPr>
      <w:outlineLvl w:val="3"/>
    </w:pPr>
    <w:rPr>
      <w:rFonts w:eastAsia="Times New Roman" w:cs="Calibri"/>
      <w:iCs/>
      <w:color w:val="4472C4"/>
      <w:u w:val="single"/>
    </w:rPr>
  </w:style>
  <w:style w:type="paragraph" w:styleId="Ttulo5">
    <w:name w:val="heading 5"/>
    <w:aliases w:val="Título de Tablas"/>
    <w:basedOn w:val="Normal"/>
    <w:next w:val="Normal"/>
    <w:link w:val="Ttulo5Car"/>
    <w:uiPriority w:val="9"/>
    <w:qFormat/>
    <w:rsid w:val="00FE3577"/>
    <w:pPr>
      <w:keepNext/>
      <w:keepLines/>
      <w:numPr>
        <w:ilvl w:val="4"/>
        <w:numId w:val="4"/>
      </w:numPr>
      <w:spacing w:before="40" w:after="0"/>
      <w:outlineLvl w:val="4"/>
    </w:pPr>
    <w:rPr>
      <w:rFonts w:ascii="Calibri Light" w:eastAsia="Times New Roman" w:hAnsi="Calibri Light"/>
      <w:color w:val="2F5496"/>
    </w:rPr>
  </w:style>
  <w:style w:type="paragraph" w:styleId="Ttulo6">
    <w:name w:val="heading 6"/>
    <w:aliases w:val="Anexo 1"/>
    <w:basedOn w:val="Normal"/>
    <w:next w:val="Normal"/>
    <w:link w:val="Ttulo6Car"/>
    <w:uiPriority w:val="9"/>
    <w:qFormat/>
    <w:rsid w:val="00FE3577"/>
    <w:pPr>
      <w:keepNext/>
      <w:keepLines/>
      <w:numPr>
        <w:ilvl w:val="5"/>
        <w:numId w:val="4"/>
      </w:numPr>
      <w:spacing w:before="40" w:after="0"/>
      <w:outlineLvl w:val="5"/>
    </w:pPr>
    <w:rPr>
      <w:rFonts w:ascii="Calibri Light" w:eastAsia="Times New Roman" w:hAnsi="Calibri Light"/>
      <w:color w:val="1F3763"/>
    </w:rPr>
  </w:style>
  <w:style w:type="paragraph" w:styleId="Ttulo7">
    <w:name w:val="heading 7"/>
    <w:aliases w:val="Anexo 2"/>
    <w:basedOn w:val="Normal"/>
    <w:next w:val="Normal"/>
    <w:link w:val="Ttulo7Car"/>
    <w:uiPriority w:val="9"/>
    <w:qFormat/>
    <w:rsid w:val="00FE3577"/>
    <w:pPr>
      <w:keepNext/>
      <w:keepLines/>
      <w:numPr>
        <w:ilvl w:val="6"/>
        <w:numId w:val="4"/>
      </w:numPr>
      <w:spacing w:before="40" w:after="0"/>
      <w:outlineLvl w:val="6"/>
    </w:pPr>
    <w:rPr>
      <w:rFonts w:ascii="Calibri Light" w:eastAsia="Times New Roman" w:hAnsi="Calibri Light"/>
      <w:i/>
      <w:iCs/>
      <w:color w:val="1F3763"/>
    </w:rPr>
  </w:style>
  <w:style w:type="paragraph" w:styleId="Ttulo8">
    <w:name w:val="heading 8"/>
    <w:aliases w:val="Anexo 3"/>
    <w:basedOn w:val="Normal"/>
    <w:next w:val="Normal"/>
    <w:link w:val="Ttulo8Car"/>
    <w:uiPriority w:val="9"/>
    <w:qFormat/>
    <w:rsid w:val="00FE3577"/>
    <w:pPr>
      <w:keepNext/>
      <w:keepLines/>
      <w:numPr>
        <w:ilvl w:val="7"/>
        <w:numId w:val="4"/>
      </w:numPr>
      <w:spacing w:before="40" w:after="0"/>
      <w:outlineLvl w:val="7"/>
    </w:pPr>
    <w:rPr>
      <w:rFonts w:ascii="Calibri Light" w:eastAsia="Times New Roman" w:hAnsi="Calibri Light"/>
      <w:color w:val="272727"/>
      <w:sz w:val="21"/>
      <w:szCs w:val="21"/>
    </w:rPr>
  </w:style>
  <w:style w:type="paragraph" w:styleId="Ttulo9">
    <w:name w:val="heading 9"/>
    <w:basedOn w:val="Normal"/>
    <w:next w:val="Normal"/>
    <w:link w:val="Ttulo9Car"/>
    <w:uiPriority w:val="9"/>
    <w:qFormat/>
    <w:rsid w:val="00FE3577"/>
    <w:pPr>
      <w:keepNext/>
      <w:keepLines/>
      <w:numPr>
        <w:ilvl w:val="8"/>
        <w:numId w:val="4"/>
      </w:numPr>
      <w:spacing w:before="40" w:after="0"/>
      <w:outlineLvl w:val="8"/>
    </w:pPr>
    <w:rPr>
      <w:rFonts w:ascii="Calibri Light" w:eastAsia="Times New Roman"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5F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5F50"/>
  </w:style>
  <w:style w:type="paragraph" w:styleId="Piedepgina">
    <w:name w:val="footer"/>
    <w:basedOn w:val="Normal"/>
    <w:link w:val="PiedepginaCar"/>
    <w:uiPriority w:val="99"/>
    <w:unhideWhenUsed/>
    <w:rsid w:val="0035440A"/>
    <w:pPr>
      <w:tabs>
        <w:tab w:val="center" w:pos="4252"/>
        <w:tab w:val="right" w:pos="8504"/>
      </w:tabs>
      <w:spacing w:after="0" w:line="240" w:lineRule="auto"/>
      <w:ind w:left="567" w:hanging="567"/>
    </w:pPr>
    <w:rPr>
      <w:sz w:val="22"/>
    </w:rPr>
  </w:style>
  <w:style w:type="character" w:customStyle="1" w:styleId="Ttulo1Car">
    <w:name w:val="Título 1 Car"/>
    <w:link w:val="Ttulo1"/>
    <w:uiPriority w:val="9"/>
    <w:rsid w:val="00644763"/>
    <w:rPr>
      <w:rFonts w:eastAsia="Times New Roman"/>
      <w:b/>
      <w:caps/>
      <w:color w:val="4472C4"/>
      <w:spacing w:val="-10"/>
      <w:sz w:val="28"/>
      <w:szCs w:val="32"/>
      <w:lang w:val="es-419" w:eastAsia="en-US"/>
    </w:rPr>
  </w:style>
  <w:style w:type="character" w:customStyle="1" w:styleId="Ttulo2Car">
    <w:name w:val="Título 2 Car"/>
    <w:link w:val="Ttulo2"/>
    <w:uiPriority w:val="9"/>
    <w:rsid w:val="00644763"/>
    <w:rPr>
      <w:rFonts w:eastAsia="Times New Roman"/>
      <w:b/>
      <w:color w:val="4472C4"/>
      <w:sz w:val="28"/>
      <w:szCs w:val="26"/>
      <w:lang w:val="es-419" w:eastAsia="en-US"/>
    </w:rPr>
  </w:style>
  <w:style w:type="character" w:customStyle="1" w:styleId="Ttulo3Car">
    <w:name w:val="Título 3 Car"/>
    <w:link w:val="Ttulo3"/>
    <w:uiPriority w:val="9"/>
    <w:rsid w:val="00644763"/>
    <w:rPr>
      <w:rFonts w:eastAsia="Times New Roman"/>
      <w:b/>
      <w:color w:val="4472C4"/>
      <w:sz w:val="24"/>
      <w:szCs w:val="24"/>
      <w:lang w:val="es-419" w:eastAsia="en-US"/>
    </w:rPr>
  </w:style>
  <w:style w:type="character" w:customStyle="1" w:styleId="Ttulo4Car">
    <w:name w:val="Título 4 Car"/>
    <w:link w:val="Ttulo4"/>
    <w:uiPriority w:val="9"/>
    <w:rsid w:val="00644763"/>
    <w:rPr>
      <w:rFonts w:eastAsia="Times New Roman" w:cs="Calibri"/>
      <w:iCs/>
      <w:color w:val="4472C4"/>
      <w:sz w:val="24"/>
      <w:szCs w:val="24"/>
      <w:u w:val="single"/>
      <w:lang w:val="es-419" w:eastAsia="en-US"/>
    </w:rPr>
  </w:style>
  <w:style w:type="character" w:customStyle="1" w:styleId="Ttulo5Car">
    <w:name w:val="Título 5 Car"/>
    <w:aliases w:val="Título de Tablas Car"/>
    <w:link w:val="Ttulo5"/>
    <w:uiPriority w:val="9"/>
    <w:rsid w:val="00FE3577"/>
    <w:rPr>
      <w:rFonts w:ascii="Calibri Light" w:eastAsia="Times New Roman" w:hAnsi="Calibri Light"/>
      <w:color w:val="2F5496"/>
      <w:sz w:val="24"/>
      <w:szCs w:val="24"/>
      <w:lang w:val="es-419" w:eastAsia="en-US"/>
    </w:rPr>
  </w:style>
  <w:style w:type="character" w:customStyle="1" w:styleId="Ttulo6Car">
    <w:name w:val="Título 6 Car"/>
    <w:aliases w:val="Anexo 1 Car"/>
    <w:link w:val="Ttulo6"/>
    <w:uiPriority w:val="9"/>
    <w:rsid w:val="00FE3577"/>
    <w:rPr>
      <w:rFonts w:ascii="Calibri Light" w:eastAsia="Times New Roman" w:hAnsi="Calibri Light"/>
      <w:color w:val="1F3763"/>
      <w:sz w:val="24"/>
      <w:szCs w:val="24"/>
      <w:lang w:val="es-419" w:eastAsia="en-US"/>
    </w:rPr>
  </w:style>
  <w:style w:type="character" w:customStyle="1" w:styleId="Ttulo7Car">
    <w:name w:val="Título 7 Car"/>
    <w:aliases w:val="Anexo 2 Car"/>
    <w:link w:val="Ttulo7"/>
    <w:uiPriority w:val="9"/>
    <w:rsid w:val="00FE3577"/>
    <w:rPr>
      <w:rFonts w:ascii="Calibri Light" w:eastAsia="Times New Roman" w:hAnsi="Calibri Light"/>
      <w:i/>
      <w:iCs/>
      <w:color w:val="1F3763"/>
      <w:sz w:val="24"/>
      <w:szCs w:val="24"/>
      <w:lang w:val="es-419" w:eastAsia="en-US"/>
    </w:rPr>
  </w:style>
  <w:style w:type="character" w:customStyle="1" w:styleId="Ttulo8Car">
    <w:name w:val="Título 8 Car"/>
    <w:aliases w:val="Anexo 3 Car"/>
    <w:link w:val="Ttulo8"/>
    <w:uiPriority w:val="9"/>
    <w:rsid w:val="00FE3577"/>
    <w:rPr>
      <w:rFonts w:ascii="Calibri Light" w:eastAsia="Times New Roman" w:hAnsi="Calibri Light"/>
      <w:color w:val="272727"/>
      <w:sz w:val="21"/>
      <w:szCs w:val="21"/>
      <w:lang w:val="es-419" w:eastAsia="en-US"/>
    </w:rPr>
  </w:style>
  <w:style w:type="character" w:customStyle="1" w:styleId="Ttulo9Car">
    <w:name w:val="Título 9 Car"/>
    <w:link w:val="Ttulo9"/>
    <w:uiPriority w:val="9"/>
    <w:rsid w:val="00FE3577"/>
    <w:rPr>
      <w:rFonts w:ascii="Calibri Light" w:eastAsia="Times New Roman" w:hAnsi="Calibri Light"/>
      <w:i/>
      <w:iCs/>
      <w:color w:val="272727"/>
      <w:sz w:val="21"/>
      <w:szCs w:val="21"/>
      <w:lang w:val="es-419" w:eastAsia="en-US"/>
    </w:rPr>
  </w:style>
  <w:style w:type="character" w:customStyle="1" w:styleId="PiedepginaCar">
    <w:name w:val="Pie de página Car"/>
    <w:link w:val="Piedepgina"/>
    <w:uiPriority w:val="99"/>
    <w:rsid w:val="0035440A"/>
    <w:rPr>
      <w:sz w:val="22"/>
    </w:rPr>
  </w:style>
  <w:style w:type="character" w:styleId="Hipervnculo">
    <w:name w:val="Hyperlink"/>
    <w:uiPriority w:val="99"/>
    <w:unhideWhenUsed/>
    <w:rsid w:val="00CF0B91"/>
    <w:rPr>
      <w:color w:val="0563C1"/>
      <w:u w:val="single"/>
    </w:rPr>
  </w:style>
  <w:style w:type="paragraph" w:customStyle="1" w:styleId="Prrafodelista1">
    <w:name w:val="Párrafo de lista1"/>
    <w:aliases w:val="Párrafo de lista numerado,List1,List Paragraph1,Numbered Indented Text,List Paragraph Char Char Char,List Paragraph Char Char,Bullet 1,lp1,List Paragraph11,Bullet Styles para,List Paragraph (numbered (a)),Bullet,Numbered Para 1,Dot pt"/>
    <w:basedOn w:val="Normal"/>
    <w:link w:val="PrrafodelistaCar"/>
    <w:qFormat/>
    <w:rsid w:val="00C84AB8"/>
    <w:pPr>
      <w:ind w:left="720"/>
      <w:contextualSpacing/>
    </w:pPr>
  </w:style>
  <w:style w:type="character" w:styleId="Refdenotaalpie">
    <w:name w:val="footnote reference"/>
    <w:uiPriority w:val="99"/>
    <w:unhideWhenUsed/>
    <w:rsid w:val="0035440A"/>
    <w:rPr>
      <w:rFonts w:ascii="Calibri" w:hAnsi="Calibri"/>
      <w:caps w:val="0"/>
      <w:smallCaps w:val="0"/>
      <w:strike w:val="0"/>
      <w:dstrike w:val="0"/>
      <w:vanish w:val="0"/>
      <w:color w:val="auto"/>
      <w:spacing w:val="0"/>
      <w:w w:val="100"/>
      <w:kern w:val="0"/>
      <w:position w:val="0"/>
      <w:sz w:val="24"/>
      <w:u w:val="none"/>
      <w:vertAlign w:val="superscript"/>
    </w:rPr>
  </w:style>
  <w:style w:type="table" w:styleId="Tablaconcuadrcula">
    <w:name w:val="Table Grid"/>
    <w:basedOn w:val="Tablanormal"/>
    <w:uiPriority w:val="39"/>
    <w:rsid w:val="00705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uiPriority w:val="99"/>
    <w:semiHidden/>
    <w:unhideWhenUsed/>
    <w:rsid w:val="006B2448"/>
    <w:rPr>
      <w:color w:val="605E5C"/>
      <w:shd w:val="clear" w:color="auto" w:fill="E1DFDD"/>
    </w:rPr>
  </w:style>
  <w:style w:type="paragraph" w:styleId="TDC1">
    <w:name w:val="toc 1"/>
    <w:basedOn w:val="Normal"/>
    <w:next w:val="Normal"/>
    <w:autoRedefine/>
    <w:uiPriority w:val="39"/>
    <w:unhideWhenUsed/>
    <w:rsid w:val="00F33714"/>
    <w:pPr>
      <w:tabs>
        <w:tab w:val="left" w:pos="284"/>
        <w:tab w:val="right" w:pos="9639"/>
      </w:tabs>
      <w:spacing w:before="200" w:line="240" w:lineRule="auto"/>
      <w:ind w:left="567" w:hanging="567"/>
    </w:pPr>
    <w:rPr>
      <w:b/>
      <w:caps/>
      <w:spacing w:val="-8"/>
      <w:sz w:val="22"/>
    </w:rPr>
  </w:style>
  <w:style w:type="paragraph" w:styleId="TDC2">
    <w:name w:val="toc 2"/>
    <w:basedOn w:val="Normal"/>
    <w:next w:val="Normal"/>
    <w:autoRedefine/>
    <w:uiPriority w:val="39"/>
    <w:unhideWhenUsed/>
    <w:rsid w:val="00BD3452"/>
    <w:pPr>
      <w:tabs>
        <w:tab w:val="right" w:pos="9639"/>
      </w:tabs>
      <w:spacing w:after="0" w:line="240" w:lineRule="auto"/>
      <w:ind w:left="851" w:hanging="567"/>
    </w:pPr>
    <w:rPr>
      <w:b/>
      <w:smallCaps/>
      <w:sz w:val="22"/>
    </w:rPr>
  </w:style>
  <w:style w:type="paragraph" w:styleId="TDC3">
    <w:name w:val="toc 3"/>
    <w:basedOn w:val="Normal"/>
    <w:next w:val="Normal"/>
    <w:autoRedefine/>
    <w:uiPriority w:val="39"/>
    <w:unhideWhenUsed/>
    <w:rsid w:val="00BD3452"/>
    <w:pPr>
      <w:tabs>
        <w:tab w:val="right" w:pos="9639"/>
      </w:tabs>
      <w:spacing w:after="0" w:line="240" w:lineRule="auto"/>
      <w:ind w:left="1560" w:hanging="709"/>
    </w:pPr>
    <w:rPr>
      <w:noProof/>
      <w:sz w:val="20"/>
    </w:rPr>
  </w:style>
  <w:style w:type="paragraph" w:styleId="TDC4">
    <w:name w:val="toc 4"/>
    <w:basedOn w:val="Normal"/>
    <w:next w:val="Normal"/>
    <w:autoRedefine/>
    <w:uiPriority w:val="39"/>
    <w:unhideWhenUsed/>
    <w:rsid w:val="00F33714"/>
    <w:pPr>
      <w:tabs>
        <w:tab w:val="left" w:pos="2268"/>
        <w:tab w:val="right" w:pos="9639"/>
      </w:tabs>
      <w:spacing w:after="0" w:line="240" w:lineRule="auto"/>
      <w:ind w:left="2268" w:hanging="709"/>
    </w:pPr>
    <w:rPr>
      <w:noProof/>
      <w:spacing w:val="-10"/>
      <w:sz w:val="20"/>
      <w:lang w:val="es-ES_tradnl"/>
    </w:rPr>
  </w:style>
  <w:style w:type="character" w:styleId="Textodelmarcadordeposicin">
    <w:name w:val="Placeholder Text"/>
    <w:uiPriority w:val="99"/>
    <w:semiHidden/>
    <w:rsid w:val="00833634"/>
    <w:rPr>
      <w:color w:val="808080"/>
    </w:rPr>
  </w:style>
  <w:style w:type="paragraph" w:styleId="Textodeglobo">
    <w:name w:val="Balloon Text"/>
    <w:basedOn w:val="Normal"/>
    <w:link w:val="TextodegloboCar"/>
    <w:uiPriority w:val="99"/>
    <w:semiHidden/>
    <w:unhideWhenUsed/>
    <w:rsid w:val="00811926"/>
    <w:pPr>
      <w:spacing w:after="0" w:line="240" w:lineRule="auto"/>
    </w:pPr>
    <w:rPr>
      <w:rFonts w:ascii="Tahoma" w:hAnsi="Tahoma" w:cs="Tahoma"/>
      <w:sz w:val="16"/>
      <w:szCs w:val="16"/>
      <w:lang w:val="en-US"/>
    </w:rPr>
  </w:style>
  <w:style w:type="character" w:customStyle="1" w:styleId="TextodegloboCar">
    <w:name w:val="Texto de globo Car"/>
    <w:link w:val="Textodeglobo"/>
    <w:uiPriority w:val="99"/>
    <w:semiHidden/>
    <w:rsid w:val="00811926"/>
    <w:rPr>
      <w:rFonts w:ascii="Tahoma" w:eastAsia="Calibri" w:hAnsi="Tahoma" w:cs="Tahoma"/>
      <w:sz w:val="16"/>
      <w:szCs w:val="16"/>
      <w:lang w:val="en-US"/>
    </w:rPr>
  </w:style>
  <w:style w:type="paragraph" w:styleId="TDC5">
    <w:name w:val="toc 5"/>
    <w:basedOn w:val="Normal"/>
    <w:next w:val="Normal"/>
    <w:autoRedefine/>
    <w:uiPriority w:val="39"/>
    <w:unhideWhenUsed/>
    <w:rsid w:val="00811926"/>
    <w:pPr>
      <w:spacing w:after="0"/>
      <w:ind w:left="800"/>
      <w:jc w:val="left"/>
    </w:pPr>
    <w:rPr>
      <w:rFonts w:cs="Calibri"/>
      <w:sz w:val="18"/>
      <w:szCs w:val="18"/>
      <w:lang w:val="en-US"/>
    </w:rPr>
  </w:style>
  <w:style w:type="paragraph" w:styleId="TDC6">
    <w:name w:val="toc 6"/>
    <w:basedOn w:val="Normal"/>
    <w:next w:val="Normal"/>
    <w:autoRedefine/>
    <w:uiPriority w:val="39"/>
    <w:unhideWhenUsed/>
    <w:rsid w:val="00811926"/>
    <w:pPr>
      <w:spacing w:after="0"/>
      <w:ind w:left="1000"/>
      <w:jc w:val="left"/>
    </w:pPr>
    <w:rPr>
      <w:rFonts w:cs="Calibri"/>
      <w:sz w:val="18"/>
      <w:szCs w:val="18"/>
      <w:lang w:val="en-US"/>
    </w:rPr>
  </w:style>
  <w:style w:type="paragraph" w:styleId="TDC7">
    <w:name w:val="toc 7"/>
    <w:basedOn w:val="Normal"/>
    <w:next w:val="Normal"/>
    <w:autoRedefine/>
    <w:uiPriority w:val="39"/>
    <w:unhideWhenUsed/>
    <w:rsid w:val="00811926"/>
    <w:pPr>
      <w:spacing w:after="0"/>
      <w:ind w:left="1200"/>
      <w:jc w:val="left"/>
    </w:pPr>
    <w:rPr>
      <w:rFonts w:cs="Calibri"/>
      <w:sz w:val="18"/>
      <w:szCs w:val="18"/>
      <w:lang w:val="en-US"/>
    </w:rPr>
  </w:style>
  <w:style w:type="paragraph" w:styleId="TDC8">
    <w:name w:val="toc 8"/>
    <w:basedOn w:val="Normal"/>
    <w:next w:val="Normal"/>
    <w:autoRedefine/>
    <w:uiPriority w:val="39"/>
    <w:unhideWhenUsed/>
    <w:rsid w:val="00811926"/>
    <w:pPr>
      <w:spacing w:after="0"/>
      <w:ind w:left="1400"/>
      <w:jc w:val="left"/>
    </w:pPr>
    <w:rPr>
      <w:rFonts w:cs="Calibri"/>
      <w:sz w:val="18"/>
      <w:szCs w:val="18"/>
      <w:lang w:val="en-US"/>
    </w:rPr>
  </w:style>
  <w:style w:type="paragraph" w:styleId="TDC9">
    <w:name w:val="toc 9"/>
    <w:basedOn w:val="Normal"/>
    <w:next w:val="Normal"/>
    <w:autoRedefine/>
    <w:uiPriority w:val="39"/>
    <w:unhideWhenUsed/>
    <w:rsid w:val="00811926"/>
    <w:pPr>
      <w:spacing w:after="0"/>
      <w:ind w:left="1600"/>
      <w:jc w:val="left"/>
    </w:pPr>
    <w:rPr>
      <w:rFonts w:cs="Calibri"/>
      <w:sz w:val="18"/>
      <w:szCs w:val="18"/>
      <w:lang w:val="en-US"/>
    </w:rPr>
  </w:style>
  <w:style w:type="character" w:customStyle="1" w:styleId="Ttulo2Car1">
    <w:name w:val="Título 2 Car1"/>
    <w:aliases w:val="Subchapter 1.1 Car1,Subchapter 2.1 Car1"/>
    <w:uiPriority w:val="9"/>
    <w:semiHidden/>
    <w:rsid w:val="00811926"/>
    <w:rPr>
      <w:rFonts w:ascii="Cambria" w:eastAsia="MS Gothic" w:hAnsi="Cambria" w:cs="Times New Roman" w:hint="default"/>
      <w:b/>
      <w:bCs/>
      <w:color w:val="4F81BD"/>
      <w:sz w:val="26"/>
      <w:szCs w:val="26"/>
      <w:lang w:val="en-US" w:eastAsia="es-ES"/>
    </w:rPr>
  </w:style>
  <w:style w:type="character" w:customStyle="1" w:styleId="Ttulo4Car1">
    <w:name w:val="Título 4 Car1"/>
    <w:aliases w:val="( i ) Car1,o Car1"/>
    <w:uiPriority w:val="9"/>
    <w:semiHidden/>
    <w:rsid w:val="00811926"/>
    <w:rPr>
      <w:rFonts w:ascii="Cambria" w:eastAsia="MS Gothic" w:hAnsi="Cambria" w:cs="Times New Roman" w:hint="default"/>
      <w:b/>
      <w:bCs/>
      <w:i/>
      <w:iCs/>
      <w:color w:val="4F81BD"/>
      <w:sz w:val="22"/>
      <w:lang w:val="en-US" w:eastAsia="es-ES"/>
    </w:rPr>
  </w:style>
  <w:style w:type="character" w:customStyle="1" w:styleId="Ttulo5Car1">
    <w:name w:val="Título 5 Car1"/>
    <w:aliases w:val="Título de Tablas Car1"/>
    <w:uiPriority w:val="9"/>
    <w:semiHidden/>
    <w:rsid w:val="00811926"/>
    <w:rPr>
      <w:rFonts w:ascii="Cambria" w:eastAsia="MS Gothic" w:hAnsi="Cambria" w:cs="Times New Roman" w:hint="default"/>
      <w:color w:val="243F60"/>
      <w:sz w:val="22"/>
      <w:lang w:val="en-US" w:eastAsia="es-ES"/>
    </w:rPr>
  </w:style>
  <w:style w:type="character" w:customStyle="1" w:styleId="Ttulo6Car1">
    <w:name w:val="Título 6 Car1"/>
    <w:aliases w:val="Anexo 1 Car1"/>
    <w:uiPriority w:val="9"/>
    <w:semiHidden/>
    <w:rsid w:val="00811926"/>
    <w:rPr>
      <w:rFonts w:ascii="Cambria" w:eastAsia="MS Gothic" w:hAnsi="Cambria" w:cs="Times New Roman" w:hint="default"/>
      <w:i/>
      <w:iCs/>
      <w:color w:val="243F60"/>
      <w:sz w:val="22"/>
      <w:lang w:val="en-US" w:eastAsia="es-ES"/>
    </w:rPr>
  </w:style>
  <w:style w:type="character" w:customStyle="1" w:styleId="Ttulo7Car1">
    <w:name w:val="Título 7 Car1"/>
    <w:aliases w:val="Anexo 2 Car1"/>
    <w:uiPriority w:val="99"/>
    <w:semiHidden/>
    <w:rsid w:val="00811926"/>
    <w:rPr>
      <w:rFonts w:ascii="Cambria" w:eastAsia="MS Gothic" w:hAnsi="Cambria" w:cs="Times New Roman" w:hint="default"/>
      <w:i/>
      <w:iCs/>
      <w:color w:val="404040"/>
      <w:sz w:val="22"/>
      <w:lang w:val="en-US" w:eastAsia="es-ES"/>
    </w:rPr>
  </w:style>
  <w:style w:type="character" w:customStyle="1" w:styleId="Ttulo8Car1">
    <w:name w:val="Título 8 Car1"/>
    <w:aliases w:val="Anexo 3 Car1"/>
    <w:uiPriority w:val="99"/>
    <w:semiHidden/>
    <w:rsid w:val="00811926"/>
    <w:rPr>
      <w:rFonts w:ascii="Cambria" w:eastAsia="MS Gothic" w:hAnsi="Cambria" w:cs="Times New Roman" w:hint="default"/>
      <w:color w:val="404040"/>
      <w:lang w:val="en-US" w:eastAsia="es-ES"/>
    </w:rPr>
  </w:style>
  <w:style w:type="paragraph" w:styleId="Mapadeldocumento">
    <w:name w:val="Document Map"/>
    <w:basedOn w:val="Normal"/>
    <w:link w:val="MapadeldocumentoCar"/>
    <w:uiPriority w:val="99"/>
    <w:semiHidden/>
    <w:unhideWhenUsed/>
    <w:rsid w:val="00811926"/>
    <w:pPr>
      <w:shd w:val="clear" w:color="auto" w:fill="000080"/>
      <w:spacing w:after="0" w:line="240" w:lineRule="auto"/>
    </w:pPr>
    <w:rPr>
      <w:rFonts w:ascii="Tahoma" w:eastAsia="Times New Roman" w:hAnsi="Tahoma" w:cs="Tahoma"/>
      <w:sz w:val="20"/>
      <w:lang w:val="es-CL" w:eastAsia="es-CL"/>
    </w:rPr>
  </w:style>
  <w:style w:type="character" w:customStyle="1" w:styleId="MapadeldocumentoCar">
    <w:name w:val="Mapa del documento Car"/>
    <w:link w:val="Mapadeldocumento"/>
    <w:uiPriority w:val="99"/>
    <w:semiHidden/>
    <w:rsid w:val="00811926"/>
    <w:rPr>
      <w:rFonts w:ascii="Tahoma" w:eastAsia="Times New Roman" w:hAnsi="Tahoma" w:cs="Tahoma"/>
      <w:sz w:val="20"/>
      <w:shd w:val="clear" w:color="auto" w:fill="000080"/>
      <w:lang w:val="es-CL" w:eastAsia="es-CL"/>
    </w:rPr>
  </w:style>
  <w:style w:type="paragraph" w:styleId="Asuntodelcomentario">
    <w:name w:val="annotation subject"/>
    <w:basedOn w:val="Normal"/>
    <w:next w:val="Normal"/>
    <w:link w:val="AsuntodelcomentarioCar"/>
    <w:uiPriority w:val="99"/>
    <w:semiHidden/>
    <w:unhideWhenUsed/>
    <w:rsid w:val="00EE2F47"/>
    <w:pPr>
      <w:spacing w:after="0" w:line="240" w:lineRule="auto"/>
    </w:pPr>
    <w:rPr>
      <w:rFonts w:ascii="Times New Roman" w:eastAsia="Times New Roman" w:hAnsi="Times New Roman"/>
      <w:b/>
      <w:bCs/>
      <w:sz w:val="20"/>
      <w:lang w:val="es-CL" w:eastAsia="es-CL"/>
    </w:rPr>
  </w:style>
  <w:style w:type="character" w:customStyle="1" w:styleId="AsuntodelcomentarioCar">
    <w:name w:val="Asunto del comentario Car"/>
    <w:link w:val="Asuntodelcomentario"/>
    <w:uiPriority w:val="99"/>
    <w:semiHidden/>
    <w:rsid w:val="00EE2F47"/>
    <w:rPr>
      <w:rFonts w:ascii="Times New Roman" w:eastAsia="Times New Roman" w:hAnsi="Times New Roman" w:cs="Times New Roman"/>
      <w:b/>
      <w:bCs/>
      <w:sz w:val="20"/>
      <w:lang w:val="es-CL" w:eastAsia="es-CL"/>
    </w:rPr>
  </w:style>
  <w:style w:type="paragraph" w:styleId="Revisin">
    <w:name w:val="Revision"/>
    <w:uiPriority w:val="99"/>
    <w:semiHidden/>
    <w:rsid w:val="00811926"/>
    <w:rPr>
      <w:rFonts w:ascii="Times New Roman" w:eastAsia="Times New Roman" w:hAnsi="Times New Roman"/>
      <w:sz w:val="24"/>
      <w:szCs w:val="24"/>
      <w:lang w:val="en-US" w:eastAsia="es-ES"/>
    </w:rPr>
  </w:style>
  <w:style w:type="character" w:styleId="Refdecomentario">
    <w:name w:val="annotation reference"/>
    <w:uiPriority w:val="99"/>
    <w:semiHidden/>
    <w:unhideWhenUsed/>
    <w:rsid w:val="00811926"/>
    <w:rPr>
      <w:sz w:val="16"/>
      <w:szCs w:val="16"/>
    </w:rPr>
  </w:style>
  <w:style w:type="numbering" w:customStyle="1" w:styleId="xxxxx">
    <w:name w:val="xxxxx"/>
    <w:uiPriority w:val="99"/>
    <w:locked/>
    <w:rsid w:val="00811926"/>
    <w:pPr>
      <w:numPr>
        <w:numId w:val="2"/>
      </w:numPr>
    </w:pPr>
  </w:style>
  <w:style w:type="paragraph" w:styleId="Listaconvietas">
    <w:name w:val="List Bullet"/>
    <w:basedOn w:val="Normal"/>
    <w:uiPriority w:val="99"/>
    <w:semiHidden/>
    <w:unhideWhenUsed/>
    <w:rsid w:val="00811926"/>
    <w:pPr>
      <w:numPr>
        <w:numId w:val="3"/>
      </w:numPr>
      <w:contextualSpacing/>
    </w:pPr>
    <w:rPr>
      <w:rFonts w:ascii="Arial Narrow" w:hAnsi="Arial Narrow"/>
      <w:sz w:val="22"/>
      <w:lang w:val="en-US"/>
    </w:rPr>
  </w:style>
  <w:style w:type="character" w:customStyle="1" w:styleId="TextonotapieCar1">
    <w:name w:val="Texto nota pie Car1"/>
    <w:aliases w:val="Footnote Text Char Car1"/>
    <w:uiPriority w:val="99"/>
    <w:semiHidden/>
    <w:rsid w:val="00186FDE"/>
    <w:rPr>
      <w:rFonts w:ascii="Arial Narrow" w:eastAsia="Calibri" w:hAnsi="Arial Narrow" w:cs="Times New Roman"/>
      <w:sz w:val="20"/>
      <w:szCs w:val="20"/>
      <w:lang w:val="en-US"/>
    </w:rPr>
  </w:style>
  <w:style w:type="paragraph" w:styleId="Textonotapie">
    <w:name w:val="footnote text"/>
    <w:basedOn w:val="Normal"/>
    <w:link w:val="TextonotapieCar"/>
    <w:uiPriority w:val="99"/>
    <w:unhideWhenUsed/>
    <w:qFormat/>
    <w:rsid w:val="00861931"/>
    <w:pPr>
      <w:spacing w:after="0" w:line="240" w:lineRule="auto"/>
    </w:pPr>
    <w:rPr>
      <w:sz w:val="20"/>
      <w:szCs w:val="20"/>
    </w:rPr>
  </w:style>
  <w:style w:type="character" w:customStyle="1" w:styleId="TextonotapieCar">
    <w:name w:val="Texto nota pie Car"/>
    <w:link w:val="Textonotapie"/>
    <w:uiPriority w:val="99"/>
    <w:rsid w:val="00861931"/>
    <w:rPr>
      <w:sz w:val="20"/>
      <w:szCs w:val="20"/>
    </w:rPr>
  </w:style>
  <w:style w:type="character" w:styleId="Hipervnculovisitado">
    <w:name w:val="FollowedHyperlink"/>
    <w:uiPriority w:val="99"/>
    <w:semiHidden/>
    <w:unhideWhenUsed/>
    <w:rsid w:val="00D97484"/>
    <w:rPr>
      <w:color w:val="954F72"/>
      <w:u w:val="single"/>
    </w:rPr>
  </w:style>
  <w:style w:type="character" w:customStyle="1" w:styleId="Mencinsinresolver2">
    <w:name w:val="Mención sin resolver2"/>
    <w:uiPriority w:val="99"/>
    <w:semiHidden/>
    <w:unhideWhenUsed/>
    <w:rsid w:val="002A274B"/>
    <w:rPr>
      <w:color w:val="605E5C"/>
      <w:shd w:val="clear" w:color="auto" w:fill="E1DFDD"/>
    </w:rPr>
  </w:style>
  <w:style w:type="paragraph" w:styleId="Textocomentario">
    <w:name w:val="annotation text"/>
    <w:basedOn w:val="Normal"/>
    <w:link w:val="TextocomentarioCar"/>
    <w:uiPriority w:val="99"/>
    <w:semiHidden/>
    <w:unhideWhenUsed/>
    <w:rsid w:val="00D97484"/>
    <w:pPr>
      <w:spacing w:line="240" w:lineRule="auto"/>
    </w:pPr>
    <w:rPr>
      <w:sz w:val="20"/>
      <w:szCs w:val="20"/>
    </w:rPr>
  </w:style>
  <w:style w:type="character" w:customStyle="1" w:styleId="TextocomentarioCar">
    <w:name w:val="Texto comentario Car"/>
    <w:link w:val="Textocomentario"/>
    <w:uiPriority w:val="99"/>
    <w:semiHidden/>
    <w:rsid w:val="00D97484"/>
    <w:rPr>
      <w:sz w:val="20"/>
      <w:szCs w:val="20"/>
    </w:rPr>
  </w:style>
  <w:style w:type="paragraph" w:customStyle="1" w:styleId="xl66">
    <w:name w:val="xl66"/>
    <w:basedOn w:val="Normal"/>
    <w:rsid w:val="00D97484"/>
    <w:pPr>
      <w:spacing w:before="100" w:beforeAutospacing="1" w:after="100" w:afterAutospacing="1" w:line="240" w:lineRule="auto"/>
      <w:jc w:val="left"/>
    </w:pPr>
    <w:rPr>
      <w:rFonts w:ascii="Arial" w:eastAsia="Times New Roman" w:hAnsi="Arial" w:cs="Arial"/>
      <w:sz w:val="18"/>
      <w:szCs w:val="18"/>
      <w:lang w:val="es-CL" w:eastAsia="es-CL"/>
    </w:rPr>
  </w:style>
  <w:style w:type="paragraph" w:customStyle="1" w:styleId="xl67">
    <w:name w:val="xl67"/>
    <w:basedOn w:val="Normal"/>
    <w:rsid w:val="00D97484"/>
    <w:pPr>
      <w:spacing w:before="100" w:beforeAutospacing="1" w:after="100" w:afterAutospacing="1" w:line="240" w:lineRule="auto"/>
      <w:jc w:val="left"/>
    </w:pPr>
    <w:rPr>
      <w:rFonts w:ascii="Arial" w:eastAsia="Times New Roman" w:hAnsi="Arial" w:cs="Arial"/>
      <w:sz w:val="18"/>
      <w:szCs w:val="18"/>
      <w:lang w:val="es-CL" w:eastAsia="es-CL"/>
    </w:rPr>
  </w:style>
  <w:style w:type="paragraph" w:customStyle="1" w:styleId="xl68">
    <w:name w:val="xl68"/>
    <w:basedOn w:val="Normal"/>
    <w:rsid w:val="00D97484"/>
    <w:pPr>
      <w:spacing w:before="100" w:beforeAutospacing="1" w:after="100" w:afterAutospacing="1" w:line="240" w:lineRule="auto"/>
      <w:jc w:val="left"/>
    </w:pPr>
    <w:rPr>
      <w:rFonts w:ascii="Arial" w:eastAsia="Times New Roman" w:hAnsi="Arial" w:cs="Arial"/>
      <w:lang w:val="es-CL" w:eastAsia="es-CL"/>
    </w:rPr>
  </w:style>
  <w:style w:type="paragraph" w:customStyle="1" w:styleId="xl69">
    <w:name w:val="xl69"/>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eastAsia="Times New Roman" w:hAnsi="Arial" w:cs="Arial"/>
      <w:b/>
      <w:bCs/>
      <w:lang w:val="es-CL" w:eastAsia="es-CL"/>
    </w:rPr>
  </w:style>
  <w:style w:type="paragraph" w:customStyle="1" w:styleId="xl70">
    <w:name w:val="xl70"/>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left"/>
    </w:pPr>
    <w:rPr>
      <w:rFonts w:ascii="Arial" w:eastAsia="Times New Roman" w:hAnsi="Arial" w:cs="Arial"/>
      <w:lang w:val="es-CL" w:eastAsia="es-CL"/>
    </w:rPr>
  </w:style>
  <w:style w:type="paragraph" w:customStyle="1" w:styleId="xl71">
    <w:name w:val="xl71"/>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Arial" w:eastAsia="Times New Roman" w:hAnsi="Arial" w:cs="Arial"/>
      <w:b/>
      <w:bCs/>
      <w:lang w:val="es-CL" w:eastAsia="es-CL"/>
    </w:rPr>
  </w:style>
  <w:style w:type="paragraph" w:customStyle="1" w:styleId="xl72">
    <w:name w:val="xl72"/>
    <w:basedOn w:val="Normal"/>
    <w:rsid w:val="00D97484"/>
    <w:pPr>
      <w:pBdr>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val="es-CL" w:eastAsia="es-CL"/>
    </w:rPr>
  </w:style>
  <w:style w:type="paragraph" w:customStyle="1" w:styleId="xl73">
    <w:name w:val="xl73"/>
    <w:basedOn w:val="Normal"/>
    <w:rsid w:val="00D97484"/>
    <w:pPr>
      <w:pBdr>
        <w:left w:val="single" w:sz="4" w:space="0" w:color="auto"/>
        <w:bottom w:val="single" w:sz="4" w:space="0" w:color="auto"/>
        <w:right w:val="single" w:sz="4" w:space="0" w:color="auto"/>
      </w:pBdr>
      <w:shd w:val="clear" w:color="auto" w:fill="FFD966"/>
      <w:spacing w:before="100" w:beforeAutospacing="1" w:after="100" w:afterAutospacing="1" w:line="240" w:lineRule="auto"/>
      <w:jc w:val="left"/>
    </w:pPr>
    <w:rPr>
      <w:rFonts w:ascii="Arial" w:eastAsia="Times New Roman" w:hAnsi="Arial" w:cs="Arial"/>
      <w:lang w:val="es-CL" w:eastAsia="es-CL"/>
    </w:rPr>
  </w:style>
  <w:style w:type="paragraph" w:customStyle="1" w:styleId="xl74">
    <w:name w:val="xl74"/>
    <w:basedOn w:val="Normal"/>
    <w:rsid w:val="00D97484"/>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val="es-CL" w:eastAsia="es-CL"/>
    </w:rPr>
  </w:style>
  <w:style w:type="paragraph" w:customStyle="1" w:styleId="xl75">
    <w:name w:val="xl75"/>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val="es-CL" w:eastAsia="es-CL"/>
    </w:rPr>
  </w:style>
  <w:style w:type="paragraph" w:customStyle="1" w:styleId="xl76">
    <w:name w:val="xl76"/>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val="es-CL" w:eastAsia="es-CL"/>
    </w:rPr>
  </w:style>
  <w:style w:type="paragraph" w:customStyle="1" w:styleId="xl77">
    <w:name w:val="xl77"/>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val="es-CL" w:eastAsia="es-CL"/>
    </w:rPr>
  </w:style>
  <w:style w:type="paragraph" w:customStyle="1" w:styleId="xl78">
    <w:name w:val="xl78"/>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center"/>
    </w:pPr>
    <w:rPr>
      <w:rFonts w:ascii="Arial" w:eastAsia="Times New Roman" w:hAnsi="Arial" w:cs="Arial"/>
      <w:lang w:val="es-CL" w:eastAsia="es-CL"/>
    </w:rPr>
  </w:style>
  <w:style w:type="paragraph" w:customStyle="1" w:styleId="xl79">
    <w:name w:val="xl79"/>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left"/>
    </w:pPr>
    <w:rPr>
      <w:rFonts w:ascii="Arial" w:eastAsia="Times New Roman" w:hAnsi="Arial" w:cs="Arial"/>
      <w:lang w:val="es-CL" w:eastAsia="es-CL"/>
    </w:rPr>
  </w:style>
  <w:style w:type="paragraph" w:customStyle="1" w:styleId="xl80">
    <w:name w:val="xl80"/>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val="es-CL" w:eastAsia="es-CL"/>
    </w:rPr>
  </w:style>
  <w:style w:type="paragraph" w:customStyle="1" w:styleId="xl81">
    <w:name w:val="xl81"/>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left"/>
    </w:pPr>
    <w:rPr>
      <w:rFonts w:ascii="Arial" w:eastAsia="Times New Roman" w:hAnsi="Arial" w:cs="Arial"/>
      <w:lang w:val="es-CL" w:eastAsia="es-CL"/>
    </w:rPr>
  </w:style>
  <w:style w:type="paragraph" w:customStyle="1" w:styleId="xl82">
    <w:name w:val="xl82"/>
    <w:basedOn w:val="Normal"/>
    <w:rsid w:val="00D97484"/>
    <w:pPr>
      <w:pBdr>
        <w:top w:val="single" w:sz="4" w:space="0" w:color="0070C0"/>
        <w:left w:val="single" w:sz="4" w:space="0" w:color="0070C0"/>
        <w:bottom w:val="single" w:sz="4" w:space="0" w:color="0070C0"/>
        <w:right w:val="single" w:sz="4" w:space="0" w:color="0070C0"/>
      </w:pBdr>
      <w:shd w:val="clear" w:color="auto" w:fill="00B050"/>
      <w:spacing w:before="100" w:beforeAutospacing="1" w:after="100" w:afterAutospacing="1" w:line="240" w:lineRule="auto"/>
      <w:jc w:val="center"/>
    </w:pPr>
    <w:rPr>
      <w:rFonts w:ascii="Arial" w:eastAsia="Times New Roman" w:hAnsi="Arial" w:cs="Arial"/>
      <w:lang w:val="es-CL" w:eastAsia="es-CL"/>
    </w:rPr>
  </w:style>
  <w:style w:type="paragraph" w:customStyle="1" w:styleId="xl83">
    <w:name w:val="xl83"/>
    <w:basedOn w:val="Normal"/>
    <w:rsid w:val="00D97484"/>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line="240" w:lineRule="auto"/>
      <w:jc w:val="center"/>
    </w:pPr>
    <w:rPr>
      <w:rFonts w:ascii="Arial" w:eastAsia="Times New Roman" w:hAnsi="Arial" w:cs="Arial"/>
      <w:lang w:val="es-CL" w:eastAsia="es-CL"/>
    </w:rPr>
  </w:style>
  <w:style w:type="paragraph" w:customStyle="1" w:styleId="xl84">
    <w:name w:val="xl84"/>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val="es-CL" w:eastAsia="es-CL"/>
    </w:rPr>
  </w:style>
  <w:style w:type="paragraph" w:customStyle="1" w:styleId="xl85">
    <w:name w:val="xl85"/>
    <w:basedOn w:val="Normal"/>
    <w:rsid w:val="00D97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lang w:val="es-CL" w:eastAsia="es-CL"/>
    </w:rPr>
  </w:style>
  <w:style w:type="paragraph" w:customStyle="1" w:styleId="xl86">
    <w:name w:val="xl86"/>
    <w:basedOn w:val="Normal"/>
    <w:rsid w:val="00D9748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Arial" w:eastAsia="Times New Roman" w:hAnsi="Arial" w:cs="Arial"/>
      <w:b/>
      <w:bCs/>
      <w:lang w:val="es-CL" w:eastAsia="es-CL"/>
    </w:rPr>
  </w:style>
  <w:style w:type="character" w:customStyle="1" w:styleId="Mencinsinresolver10">
    <w:name w:val="Mención sin resolver1"/>
    <w:uiPriority w:val="99"/>
    <w:semiHidden/>
    <w:rsid w:val="00D97484"/>
    <w:rPr>
      <w:color w:val="605E5C"/>
      <w:shd w:val="clear" w:color="auto" w:fill="E1DFDD"/>
    </w:rPr>
  </w:style>
  <w:style w:type="character" w:customStyle="1" w:styleId="Mencinsinresolver20">
    <w:name w:val="Mención sin resolver2"/>
    <w:uiPriority w:val="99"/>
    <w:semiHidden/>
    <w:unhideWhenUsed/>
    <w:rsid w:val="00B46484"/>
    <w:rPr>
      <w:color w:val="605E5C"/>
      <w:shd w:val="clear" w:color="auto" w:fill="E1DFDD"/>
    </w:rPr>
  </w:style>
  <w:style w:type="paragraph" w:styleId="Tabladeilustraciones">
    <w:name w:val="table of figures"/>
    <w:basedOn w:val="Normal"/>
    <w:next w:val="Normal"/>
    <w:uiPriority w:val="99"/>
    <w:unhideWhenUsed/>
    <w:rsid w:val="003B05AA"/>
    <w:pPr>
      <w:spacing w:after="0"/>
    </w:pPr>
    <w:rPr>
      <w:sz w:val="20"/>
    </w:rPr>
  </w:style>
  <w:style w:type="paragraph" w:styleId="ndice1">
    <w:name w:val="index 1"/>
    <w:basedOn w:val="Normal"/>
    <w:next w:val="Normal"/>
    <w:autoRedefine/>
    <w:uiPriority w:val="99"/>
    <w:semiHidden/>
    <w:unhideWhenUsed/>
    <w:rsid w:val="00D1280B"/>
    <w:pPr>
      <w:spacing w:after="0" w:line="240" w:lineRule="auto"/>
      <w:ind w:left="240" w:hanging="240"/>
    </w:pPr>
    <w:rPr>
      <w:sz w:val="22"/>
    </w:rPr>
  </w:style>
  <w:style w:type="paragraph" w:styleId="Sinespaciado">
    <w:name w:val="No Spacing"/>
    <w:uiPriority w:val="1"/>
    <w:qFormat/>
    <w:rsid w:val="00A00C82"/>
    <w:pPr>
      <w:jc w:val="both"/>
    </w:pPr>
    <w:rPr>
      <w:sz w:val="24"/>
      <w:szCs w:val="24"/>
      <w:lang w:val="es-419" w:eastAsia="en-US"/>
    </w:rPr>
  </w:style>
  <w:style w:type="numbering" w:customStyle="1" w:styleId="Sinlista1">
    <w:name w:val="Sin lista1"/>
    <w:next w:val="Sinlista"/>
    <w:uiPriority w:val="99"/>
    <w:semiHidden/>
    <w:unhideWhenUsed/>
    <w:rsid w:val="00B37932"/>
  </w:style>
  <w:style w:type="table" w:customStyle="1" w:styleId="Tablaconcuadrcula1">
    <w:name w:val="Tabla con cuadrícula1"/>
    <w:basedOn w:val="Tablanormal"/>
    <w:next w:val="Tablaconcuadrcula"/>
    <w:uiPriority w:val="59"/>
    <w:rsid w:val="00B37932"/>
    <w:rPr>
      <w:sz w:val="24"/>
      <w:szCs w:val="24"/>
      <w:lang w:val="es-419"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37932"/>
    <w:pPr>
      <w:spacing w:before="100" w:beforeAutospacing="1" w:after="100" w:afterAutospacing="1" w:line="240" w:lineRule="auto"/>
      <w:jc w:val="left"/>
    </w:pPr>
    <w:rPr>
      <w:rFonts w:ascii="Times New Roman" w:eastAsia="Times New Roman" w:hAnsi="Times New Roman"/>
      <w:lang w:val="es-CL" w:eastAsia="es-CL"/>
    </w:rPr>
  </w:style>
  <w:style w:type="paragraph" w:customStyle="1" w:styleId="xl65">
    <w:name w:val="xl65"/>
    <w:basedOn w:val="Normal"/>
    <w:rsid w:val="00B37932"/>
    <w:pPr>
      <w:spacing w:before="100" w:beforeAutospacing="1" w:after="100" w:afterAutospacing="1" w:line="240" w:lineRule="auto"/>
      <w:jc w:val="center"/>
    </w:pPr>
    <w:rPr>
      <w:rFonts w:ascii="Arial" w:eastAsia="Times New Roman" w:hAnsi="Arial" w:cs="Arial"/>
      <w:sz w:val="18"/>
      <w:szCs w:val="18"/>
      <w:lang w:val="es-CL" w:eastAsia="es-CL"/>
    </w:rPr>
  </w:style>
  <w:style w:type="character" w:customStyle="1" w:styleId="PrrafodelistaCar">
    <w:name w:val="Párrafo de lista Car"/>
    <w:aliases w:val="Párrafo de lista numerado Car,List1 Car,List Paragraph1 Car,Numbered Indented Text Car,List Paragraph Char Char Char Car,List Paragraph Char Char Car,Bullet 1 Car,lp1 Car,List Paragraph11 Car,Bullet Styles para Car,Bullet Car"/>
    <w:link w:val="Prrafodelista1"/>
    <w:uiPriority w:val="34"/>
    <w:qFormat/>
    <w:locked/>
    <w:rsid w:val="00176585"/>
    <w:rPr>
      <w:sz w:val="24"/>
      <w:szCs w:val="24"/>
      <w:lang w:val="es-419" w:eastAsia="en-US"/>
    </w:rPr>
  </w:style>
  <w:style w:type="character" w:customStyle="1" w:styleId="Mencinsinresolver3">
    <w:name w:val="Mención sin resolver3"/>
    <w:uiPriority w:val="99"/>
    <w:semiHidden/>
    <w:unhideWhenUsed/>
    <w:rsid w:val="00F53886"/>
    <w:rPr>
      <w:color w:val="605E5C"/>
      <w:shd w:val="clear" w:color="auto" w:fill="E1DFDD"/>
    </w:rPr>
  </w:style>
  <w:style w:type="paragraph" w:customStyle="1" w:styleId="Parrafodelistanumeral">
    <w:name w:val="Parrafo de lista numeral"/>
    <w:basedOn w:val="Prrafodelista1"/>
    <w:qFormat/>
    <w:rsid w:val="00D475CC"/>
    <w:pPr>
      <w:numPr>
        <w:numId w:val="7"/>
      </w:numPr>
      <w:spacing w:before="240" w:after="240"/>
      <w:ind w:left="357" w:hanging="357"/>
      <w:contextualSpacing w:val="0"/>
    </w:pPr>
    <w:rPr>
      <w:rFonts w:ascii="Arial Narrow" w:hAnsi="Arial Narrow"/>
      <w:sz w:val="22"/>
      <w:szCs w:val="22"/>
      <w:lang w:val="en-US"/>
    </w:rPr>
  </w:style>
  <w:style w:type="paragraph" w:styleId="Prrafodelista">
    <w:name w:val="List Paragraph"/>
    <w:basedOn w:val="Normal"/>
    <w:uiPriority w:val="34"/>
    <w:qFormat/>
    <w:rsid w:val="003400E0"/>
    <w:pPr>
      <w:ind w:left="720"/>
      <w:contextualSpacing/>
    </w:pPr>
  </w:style>
  <w:style w:type="paragraph" w:customStyle="1" w:styleId="xl63">
    <w:name w:val="xl63"/>
    <w:basedOn w:val="Normal"/>
    <w:rsid w:val="00E820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lang w:val="es-CL" w:eastAsia="es-CL"/>
    </w:rPr>
  </w:style>
  <w:style w:type="paragraph" w:customStyle="1" w:styleId="xl64">
    <w:name w:val="xl64"/>
    <w:basedOn w:val="Normal"/>
    <w:rsid w:val="00E820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lang w:val="es-CL" w:eastAsia="es-CL"/>
    </w:rPr>
  </w:style>
  <w:style w:type="paragraph" w:customStyle="1" w:styleId="Default">
    <w:name w:val="Default"/>
    <w:rsid w:val="0079428C"/>
    <w:pPr>
      <w:autoSpaceDE w:val="0"/>
      <w:autoSpaceDN w:val="0"/>
      <w:adjustRightInd w:val="0"/>
    </w:pPr>
    <w:rPr>
      <w:rFonts w:ascii="Tahoma" w:hAnsi="Tahoma" w:cs="Tahoma"/>
      <w:color w:val="000000"/>
      <w:sz w:val="24"/>
      <w:szCs w:val="24"/>
      <w:lang w:val="es-AR"/>
    </w:rPr>
  </w:style>
  <w:style w:type="table" w:customStyle="1" w:styleId="Tablaconcuadrcula2">
    <w:name w:val="Tabla con cuadrícula2"/>
    <w:basedOn w:val="Tablanormal"/>
    <w:next w:val="Tablaconcuadrcula"/>
    <w:uiPriority w:val="39"/>
    <w:rsid w:val="001A4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1A4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E19A2"/>
    <w:rPr>
      <w:color w:val="605E5C"/>
      <w:shd w:val="clear" w:color="auto" w:fill="E1DFDD"/>
    </w:rPr>
  </w:style>
  <w:style w:type="paragraph" w:styleId="Descripcin">
    <w:name w:val="caption"/>
    <w:basedOn w:val="Normal"/>
    <w:next w:val="Normal"/>
    <w:uiPriority w:val="35"/>
    <w:unhideWhenUsed/>
    <w:qFormat/>
    <w:rsid w:val="003E19A2"/>
    <w:pPr>
      <w:spacing w:after="240" w:line="240" w:lineRule="auto"/>
    </w:pPr>
    <w:rPr>
      <w:rFonts w:asciiTheme="minorHAnsi" w:eastAsiaTheme="minorHAnsi" w:hAnsiTheme="minorHAnsi" w:cstheme="minorBidi"/>
      <w:i/>
      <w:iCs/>
      <w:color w:val="44546A" w:themeColor="text2"/>
      <w:sz w:val="18"/>
      <w:szCs w:val="18"/>
      <w:lang w:val="es-CL"/>
    </w:rPr>
  </w:style>
  <w:style w:type="paragraph" w:styleId="Ttulo">
    <w:name w:val="Title"/>
    <w:basedOn w:val="Normal"/>
    <w:next w:val="Normal"/>
    <w:link w:val="TtuloCar"/>
    <w:uiPriority w:val="10"/>
    <w:qFormat/>
    <w:rsid w:val="003E19A2"/>
    <w:pPr>
      <w:spacing w:after="0" w:line="240" w:lineRule="auto"/>
      <w:contextualSpacing/>
    </w:pPr>
    <w:rPr>
      <w:rFonts w:asciiTheme="majorHAnsi" w:eastAsiaTheme="majorEastAsia" w:hAnsiTheme="majorHAnsi" w:cstheme="majorBidi"/>
      <w:spacing w:val="-10"/>
      <w:kern w:val="28"/>
      <w:sz w:val="56"/>
      <w:szCs w:val="56"/>
      <w:lang w:val="es-CL"/>
    </w:rPr>
  </w:style>
  <w:style w:type="character" w:customStyle="1" w:styleId="TtuloCar">
    <w:name w:val="Título Car"/>
    <w:basedOn w:val="Fuentedeprrafopredeter"/>
    <w:link w:val="Ttulo"/>
    <w:uiPriority w:val="10"/>
    <w:rsid w:val="003E19A2"/>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3166">
      <w:bodyDiv w:val="1"/>
      <w:marLeft w:val="0"/>
      <w:marRight w:val="0"/>
      <w:marTop w:val="0"/>
      <w:marBottom w:val="0"/>
      <w:divBdr>
        <w:top w:val="none" w:sz="0" w:space="0" w:color="auto"/>
        <w:left w:val="none" w:sz="0" w:space="0" w:color="auto"/>
        <w:bottom w:val="none" w:sz="0" w:space="0" w:color="auto"/>
        <w:right w:val="none" w:sz="0" w:space="0" w:color="auto"/>
      </w:divBdr>
    </w:div>
    <w:div w:id="10644616">
      <w:bodyDiv w:val="1"/>
      <w:marLeft w:val="0"/>
      <w:marRight w:val="0"/>
      <w:marTop w:val="0"/>
      <w:marBottom w:val="0"/>
      <w:divBdr>
        <w:top w:val="none" w:sz="0" w:space="0" w:color="auto"/>
        <w:left w:val="none" w:sz="0" w:space="0" w:color="auto"/>
        <w:bottom w:val="none" w:sz="0" w:space="0" w:color="auto"/>
        <w:right w:val="none" w:sz="0" w:space="0" w:color="auto"/>
      </w:divBdr>
    </w:div>
    <w:div w:id="46607411">
      <w:bodyDiv w:val="1"/>
      <w:marLeft w:val="0"/>
      <w:marRight w:val="0"/>
      <w:marTop w:val="0"/>
      <w:marBottom w:val="0"/>
      <w:divBdr>
        <w:top w:val="none" w:sz="0" w:space="0" w:color="auto"/>
        <w:left w:val="none" w:sz="0" w:space="0" w:color="auto"/>
        <w:bottom w:val="none" w:sz="0" w:space="0" w:color="auto"/>
        <w:right w:val="none" w:sz="0" w:space="0" w:color="auto"/>
      </w:divBdr>
    </w:div>
    <w:div w:id="62534756">
      <w:bodyDiv w:val="1"/>
      <w:marLeft w:val="0"/>
      <w:marRight w:val="0"/>
      <w:marTop w:val="0"/>
      <w:marBottom w:val="0"/>
      <w:divBdr>
        <w:top w:val="none" w:sz="0" w:space="0" w:color="auto"/>
        <w:left w:val="none" w:sz="0" w:space="0" w:color="auto"/>
        <w:bottom w:val="none" w:sz="0" w:space="0" w:color="auto"/>
        <w:right w:val="none" w:sz="0" w:space="0" w:color="auto"/>
      </w:divBdr>
    </w:div>
    <w:div w:id="87435307">
      <w:bodyDiv w:val="1"/>
      <w:marLeft w:val="0"/>
      <w:marRight w:val="0"/>
      <w:marTop w:val="0"/>
      <w:marBottom w:val="0"/>
      <w:divBdr>
        <w:top w:val="none" w:sz="0" w:space="0" w:color="auto"/>
        <w:left w:val="none" w:sz="0" w:space="0" w:color="auto"/>
        <w:bottom w:val="none" w:sz="0" w:space="0" w:color="auto"/>
        <w:right w:val="none" w:sz="0" w:space="0" w:color="auto"/>
      </w:divBdr>
    </w:div>
    <w:div w:id="92286638">
      <w:bodyDiv w:val="1"/>
      <w:marLeft w:val="0"/>
      <w:marRight w:val="0"/>
      <w:marTop w:val="0"/>
      <w:marBottom w:val="0"/>
      <w:divBdr>
        <w:top w:val="none" w:sz="0" w:space="0" w:color="auto"/>
        <w:left w:val="none" w:sz="0" w:space="0" w:color="auto"/>
        <w:bottom w:val="none" w:sz="0" w:space="0" w:color="auto"/>
        <w:right w:val="none" w:sz="0" w:space="0" w:color="auto"/>
      </w:divBdr>
    </w:div>
    <w:div w:id="165486735">
      <w:bodyDiv w:val="1"/>
      <w:marLeft w:val="0"/>
      <w:marRight w:val="0"/>
      <w:marTop w:val="0"/>
      <w:marBottom w:val="0"/>
      <w:divBdr>
        <w:top w:val="none" w:sz="0" w:space="0" w:color="auto"/>
        <w:left w:val="none" w:sz="0" w:space="0" w:color="auto"/>
        <w:bottom w:val="none" w:sz="0" w:space="0" w:color="auto"/>
        <w:right w:val="none" w:sz="0" w:space="0" w:color="auto"/>
      </w:divBdr>
    </w:div>
    <w:div w:id="173544143">
      <w:bodyDiv w:val="1"/>
      <w:marLeft w:val="0"/>
      <w:marRight w:val="0"/>
      <w:marTop w:val="0"/>
      <w:marBottom w:val="0"/>
      <w:divBdr>
        <w:top w:val="none" w:sz="0" w:space="0" w:color="auto"/>
        <w:left w:val="none" w:sz="0" w:space="0" w:color="auto"/>
        <w:bottom w:val="none" w:sz="0" w:space="0" w:color="auto"/>
        <w:right w:val="none" w:sz="0" w:space="0" w:color="auto"/>
      </w:divBdr>
    </w:div>
    <w:div w:id="204148472">
      <w:bodyDiv w:val="1"/>
      <w:marLeft w:val="0"/>
      <w:marRight w:val="0"/>
      <w:marTop w:val="0"/>
      <w:marBottom w:val="0"/>
      <w:divBdr>
        <w:top w:val="none" w:sz="0" w:space="0" w:color="auto"/>
        <w:left w:val="none" w:sz="0" w:space="0" w:color="auto"/>
        <w:bottom w:val="none" w:sz="0" w:space="0" w:color="auto"/>
        <w:right w:val="none" w:sz="0" w:space="0" w:color="auto"/>
      </w:divBdr>
    </w:div>
    <w:div w:id="256058785">
      <w:bodyDiv w:val="1"/>
      <w:marLeft w:val="0"/>
      <w:marRight w:val="0"/>
      <w:marTop w:val="0"/>
      <w:marBottom w:val="0"/>
      <w:divBdr>
        <w:top w:val="none" w:sz="0" w:space="0" w:color="auto"/>
        <w:left w:val="none" w:sz="0" w:space="0" w:color="auto"/>
        <w:bottom w:val="none" w:sz="0" w:space="0" w:color="auto"/>
        <w:right w:val="none" w:sz="0" w:space="0" w:color="auto"/>
      </w:divBdr>
    </w:div>
    <w:div w:id="344720082">
      <w:bodyDiv w:val="1"/>
      <w:marLeft w:val="0"/>
      <w:marRight w:val="0"/>
      <w:marTop w:val="0"/>
      <w:marBottom w:val="0"/>
      <w:divBdr>
        <w:top w:val="none" w:sz="0" w:space="0" w:color="auto"/>
        <w:left w:val="none" w:sz="0" w:space="0" w:color="auto"/>
        <w:bottom w:val="none" w:sz="0" w:space="0" w:color="auto"/>
        <w:right w:val="none" w:sz="0" w:space="0" w:color="auto"/>
      </w:divBdr>
    </w:div>
    <w:div w:id="401752915">
      <w:bodyDiv w:val="1"/>
      <w:marLeft w:val="0"/>
      <w:marRight w:val="0"/>
      <w:marTop w:val="0"/>
      <w:marBottom w:val="0"/>
      <w:divBdr>
        <w:top w:val="none" w:sz="0" w:space="0" w:color="auto"/>
        <w:left w:val="none" w:sz="0" w:space="0" w:color="auto"/>
        <w:bottom w:val="none" w:sz="0" w:space="0" w:color="auto"/>
        <w:right w:val="none" w:sz="0" w:space="0" w:color="auto"/>
      </w:divBdr>
    </w:div>
    <w:div w:id="443234642">
      <w:bodyDiv w:val="1"/>
      <w:marLeft w:val="0"/>
      <w:marRight w:val="0"/>
      <w:marTop w:val="0"/>
      <w:marBottom w:val="0"/>
      <w:divBdr>
        <w:top w:val="none" w:sz="0" w:space="0" w:color="auto"/>
        <w:left w:val="none" w:sz="0" w:space="0" w:color="auto"/>
        <w:bottom w:val="none" w:sz="0" w:space="0" w:color="auto"/>
        <w:right w:val="none" w:sz="0" w:space="0" w:color="auto"/>
      </w:divBdr>
    </w:div>
    <w:div w:id="446587477">
      <w:bodyDiv w:val="1"/>
      <w:marLeft w:val="0"/>
      <w:marRight w:val="0"/>
      <w:marTop w:val="0"/>
      <w:marBottom w:val="0"/>
      <w:divBdr>
        <w:top w:val="none" w:sz="0" w:space="0" w:color="auto"/>
        <w:left w:val="none" w:sz="0" w:space="0" w:color="auto"/>
        <w:bottom w:val="none" w:sz="0" w:space="0" w:color="auto"/>
        <w:right w:val="none" w:sz="0" w:space="0" w:color="auto"/>
      </w:divBdr>
    </w:div>
    <w:div w:id="461584708">
      <w:bodyDiv w:val="1"/>
      <w:marLeft w:val="0"/>
      <w:marRight w:val="0"/>
      <w:marTop w:val="0"/>
      <w:marBottom w:val="0"/>
      <w:divBdr>
        <w:top w:val="none" w:sz="0" w:space="0" w:color="auto"/>
        <w:left w:val="none" w:sz="0" w:space="0" w:color="auto"/>
        <w:bottom w:val="none" w:sz="0" w:space="0" w:color="auto"/>
        <w:right w:val="none" w:sz="0" w:space="0" w:color="auto"/>
      </w:divBdr>
    </w:div>
    <w:div w:id="501824003">
      <w:bodyDiv w:val="1"/>
      <w:marLeft w:val="0"/>
      <w:marRight w:val="0"/>
      <w:marTop w:val="0"/>
      <w:marBottom w:val="0"/>
      <w:divBdr>
        <w:top w:val="none" w:sz="0" w:space="0" w:color="auto"/>
        <w:left w:val="none" w:sz="0" w:space="0" w:color="auto"/>
        <w:bottom w:val="none" w:sz="0" w:space="0" w:color="auto"/>
        <w:right w:val="none" w:sz="0" w:space="0" w:color="auto"/>
      </w:divBdr>
    </w:div>
    <w:div w:id="506411170">
      <w:bodyDiv w:val="1"/>
      <w:marLeft w:val="0"/>
      <w:marRight w:val="0"/>
      <w:marTop w:val="0"/>
      <w:marBottom w:val="0"/>
      <w:divBdr>
        <w:top w:val="none" w:sz="0" w:space="0" w:color="auto"/>
        <w:left w:val="none" w:sz="0" w:space="0" w:color="auto"/>
        <w:bottom w:val="none" w:sz="0" w:space="0" w:color="auto"/>
        <w:right w:val="none" w:sz="0" w:space="0" w:color="auto"/>
      </w:divBdr>
    </w:div>
    <w:div w:id="636032356">
      <w:bodyDiv w:val="1"/>
      <w:marLeft w:val="0"/>
      <w:marRight w:val="0"/>
      <w:marTop w:val="0"/>
      <w:marBottom w:val="0"/>
      <w:divBdr>
        <w:top w:val="none" w:sz="0" w:space="0" w:color="auto"/>
        <w:left w:val="none" w:sz="0" w:space="0" w:color="auto"/>
        <w:bottom w:val="none" w:sz="0" w:space="0" w:color="auto"/>
        <w:right w:val="none" w:sz="0" w:space="0" w:color="auto"/>
      </w:divBdr>
    </w:div>
    <w:div w:id="656688939">
      <w:bodyDiv w:val="1"/>
      <w:marLeft w:val="0"/>
      <w:marRight w:val="0"/>
      <w:marTop w:val="0"/>
      <w:marBottom w:val="0"/>
      <w:divBdr>
        <w:top w:val="none" w:sz="0" w:space="0" w:color="auto"/>
        <w:left w:val="none" w:sz="0" w:space="0" w:color="auto"/>
        <w:bottom w:val="none" w:sz="0" w:space="0" w:color="auto"/>
        <w:right w:val="none" w:sz="0" w:space="0" w:color="auto"/>
      </w:divBdr>
    </w:div>
    <w:div w:id="721368925">
      <w:bodyDiv w:val="1"/>
      <w:marLeft w:val="0"/>
      <w:marRight w:val="0"/>
      <w:marTop w:val="0"/>
      <w:marBottom w:val="0"/>
      <w:divBdr>
        <w:top w:val="none" w:sz="0" w:space="0" w:color="auto"/>
        <w:left w:val="none" w:sz="0" w:space="0" w:color="auto"/>
        <w:bottom w:val="none" w:sz="0" w:space="0" w:color="auto"/>
        <w:right w:val="none" w:sz="0" w:space="0" w:color="auto"/>
      </w:divBdr>
    </w:div>
    <w:div w:id="839154385">
      <w:bodyDiv w:val="1"/>
      <w:marLeft w:val="0"/>
      <w:marRight w:val="0"/>
      <w:marTop w:val="0"/>
      <w:marBottom w:val="0"/>
      <w:divBdr>
        <w:top w:val="none" w:sz="0" w:space="0" w:color="auto"/>
        <w:left w:val="none" w:sz="0" w:space="0" w:color="auto"/>
        <w:bottom w:val="none" w:sz="0" w:space="0" w:color="auto"/>
        <w:right w:val="none" w:sz="0" w:space="0" w:color="auto"/>
      </w:divBdr>
    </w:div>
    <w:div w:id="849107708">
      <w:bodyDiv w:val="1"/>
      <w:marLeft w:val="0"/>
      <w:marRight w:val="0"/>
      <w:marTop w:val="0"/>
      <w:marBottom w:val="0"/>
      <w:divBdr>
        <w:top w:val="none" w:sz="0" w:space="0" w:color="auto"/>
        <w:left w:val="none" w:sz="0" w:space="0" w:color="auto"/>
        <w:bottom w:val="none" w:sz="0" w:space="0" w:color="auto"/>
        <w:right w:val="none" w:sz="0" w:space="0" w:color="auto"/>
      </w:divBdr>
    </w:div>
    <w:div w:id="851803050">
      <w:bodyDiv w:val="1"/>
      <w:marLeft w:val="0"/>
      <w:marRight w:val="0"/>
      <w:marTop w:val="0"/>
      <w:marBottom w:val="0"/>
      <w:divBdr>
        <w:top w:val="none" w:sz="0" w:space="0" w:color="auto"/>
        <w:left w:val="none" w:sz="0" w:space="0" w:color="auto"/>
        <w:bottom w:val="none" w:sz="0" w:space="0" w:color="auto"/>
        <w:right w:val="none" w:sz="0" w:space="0" w:color="auto"/>
      </w:divBdr>
    </w:div>
    <w:div w:id="867330644">
      <w:bodyDiv w:val="1"/>
      <w:marLeft w:val="0"/>
      <w:marRight w:val="0"/>
      <w:marTop w:val="0"/>
      <w:marBottom w:val="0"/>
      <w:divBdr>
        <w:top w:val="none" w:sz="0" w:space="0" w:color="auto"/>
        <w:left w:val="none" w:sz="0" w:space="0" w:color="auto"/>
        <w:bottom w:val="none" w:sz="0" w:space="0" w:color="auto"/>
        <w:right w:val="none" w:sz="0" w:space="0" w:color="auto"/>
      </w:divBdr>
    </w:div>
    <w:div w:id="984116674">
      <w:bodyDiv w:val="1"/>
      <w:marLeft w:val="0"/>
      <w:marRight w:val="0"/>
      <w:marTop w:val="0"/>
      <w:marBottom w:val="0"/>
      <w:divBdr>
        <w:top w:val="none" w:sz="0" w:space="0" w:color="auto"/>
        <w:left w:val="none" w:sz="0" w:space="0" w:color="auto"/>
        <w:bottom w:val="none" w:sz="0" w:space="0" w:color="auto"/>
        <w:right w:val="none" w:sz="0" w:space="0" w:color="auto"/>
      </w:divBdr>
    </w:div>
    <w:div w:id="986012633">
      <w:bodyDiv w:val="1"/>
      <w:marLeft w:val="0"/>
      <w:marRight w:val="0"/>
      <w:marTop w:val="0"/>
      <w:marBottom w:val="0"/>
      <w:divBdr>
        <w:top w:val="none" w:sz="0" w:space="0" w:color="auto"/>
        <w:left w:val="none" w:sz="0" w:space="0" w:color="auto"/>
        <w:bottom w:val="none" w:sz="0" w:space="0" w:color="auto"/>
        <w:right w:val="none" w:sz="0" w:space="0" w:color="auto"/>
      </w:divBdr>
    </w:div>
    <w:div w:id="1058088025">
      <w:bodyDiv w:val="1"/>
      <w:marLeft w:val="0"/>
      <w:marRight w:val="0"/>
      <w:marTop w:val="0"/>
      <w:marBottom w:val="0"/>
      <w:divBdr>
        <w:top w:val="none" w:sz="0" w:space="0" w:color="auto"/>
        <w:left w:val="none" w:sz="0" w:space="0" w:color="auto"/>
        <w:bottom w:val="none" w:sz="0" w:space="0" w:color="auto"/>
        <w:right w:val="none" w:sz="0" w:space="0" w:color="auto"/>
      </w:divBdr>
    </w:div>
    <w:div w:id="1078018535">
      <w:bodyDiv w:val="1"/>
      <w:marLeft w:val="0"/>
      <w:marRight w:val="0"/>
      <w:marTop w:val="0"/>
      <w:marBottom w:val="0"/>
      <w:divBdr>
        <w:top w:val="none" w:sz="0" w:space="0" w:color="auto"/>
        <w:left w:val="none" w:sz="0" w:space="0" w:color="auto"/>
        <w:bottom w:val="none" w:sz="0" w:space="0" w:color="auto"/>
        <w:right w:val="none" w:sz="0" w:space="0" w:color="auto"/>
      </w:divBdr>
    </w:div>
    <w:div w:id="1102140880">
      <w:bodyDiv w:val="1"/>
      <w:marLeft w:val="0"/>
      <w:marRight w:val="0"/>
      <w:marTop w:val="0"/>
      <w:marBottom w:val="0"/>
      <w:divBdr>
        <w:top w:val="none" w:sz="0" w:space="0" w:color="auto"/>
        <w:left w:val="none" w:sz="0" w:space="0" w:color="auto"/>
        <w:bottom w:val="none" w:sz="0" w:space="0" w:color="auto"/>
        <w:right w:val="none" w:sz="0" w:space="0" w:color="auto"/>
      </w:divBdr>
    </w:div>
    <w:div w:id="1107652331">
      <w:bodyDiv w:val="1"/>
      <w:marLeft w:val="0"/>
      <w:marRight w:val="0"/>
      <w:marTop w:val="0"/>
      <w:marBottom w:val="0"/>
      <w:divBdr>
        <w:top w:val="none" w:sz="0" w:space="0" w:color="auto"/>
        <w:left w:val="none" w:sz="0" w:space="0" w:color="auto"/>
        <w:bottom w:val="none" w:sz="0" w:space="0" w:color="auto"/>
        <w:right w:val="none" w:sz="0" w:space="0" w:color="auto"/>
      </w:divBdr>
    </w:div>
    <w:div w:id="1115950067">
      <w:bodyDiv w:val="1"/>
      <w:marLeft w:val="0"/>
      <w:marRight w:val="0"/>
      <w:marTop w:val="0"/>
      <w:marBottom w:val="0"/>
      <w:divBdr>
        <w:top w:val="none" w:sz="0" w:space="0" w:color="auto"/>
        <w:left w:val="none" w:sz="0" w:space="0" w:color="auto"/>
        <w:bottom w:val="none" w:sz="0" w:space="0" w:color="auto"/>
        <w:right w:val="none" w:sz="0" w:space="0" w:color="auto"/>
      </w:divBdr>
    </w:div>
    <w:div w:id="1130123299">
      <w:bodyDiv w:val="1"/>
      <w:marLeft w:val="0"/>
      <w:marRight w:val="0"/>
      <w:marTop w:val="0"/>
      <w:marBottom w:val="0"/>
      <w:divBdr>
        <w:top w:val="none" w:sz="0" w:space="0" w:color="auto"/>
        <w:left w:val="none" w:sz="0" w:space="0" w:color="auto"/>
        <w:bottom w:val="none" w:sz="0" w:space="0" w:color="auto"/>
        <w:right w:val="none" w:sz="0" w:space="0" w:color="auto"/>
      </w:divBdr>
    </w:div>
    <w:div w:id="1140270605">
      <w:bodyDiv w:val="1"/>
      <w:marLeft w:val="0"/>
      <w:marRight w:val="0"/>
      <w:marTop w:val="0"/>
      <w:marBottom w:val="0"/>
      <w:divBdr>
        <w:top w:val="none" w:sz="0" w:space="0" w:color="auto"/>
        <w:left w:val="none" w:sz="0" w:space="0" w:color="auto"/>
        <w:bottom w:val="none" w:sz="0" w:space="0" w:color="auto"/>
        <w:right w:val="none" w:sz="0" w:space="0" w:color="auto"/>
      </w:divBdr>
    </w:div>
    <w:div w:id="1181621910">
      <w:bodyDiv w:val="1"/>
      <w:marLeft w:val="0"/>
      <w:marRight w:val="0"/>
      <w:marTop w:val="0"/>
      <w:marBottom w:val="0"/>
      <w:divBdr>
        <w:top w:val="none" w:sz="0" w:space="0" w:color="auto"/>
        <w:left w:val="none" w:sz="0" w:space="0" w:color="auto"/>
        <w:bottom w:val="none" w:sz="0" w:space="0" w:color="auto"/>
        <w:right w:val="none" w:sz="0" w:space="0" w:color="auto"/>
      </w:divBdr>
    </w:div>
    <w:div w:id="1191454658">
      <w:bodyDiv w:val="1"/>
      <w:marLeft w:val="0"/>
      <w:marRight w:val="0"/>
      <w:marTop w:val="0"/>
      <w:marBottom w:val="0"/>
      <w:divBdr>
        <w:top w:val="none" w:sz="0" w:space="0" w:color="auto"/>
        <w:left w:val="none" w:sz="0" w:space="0" w:color="auto"/>
        <w:bottom w:val="none" w:sz="0" w:space="0" w:color="auto"/>
        <w:right w:val="none" w:sz="0" w:space="0" w:color="auto"/>
      </w:divBdr>
    </w:div>
    <w:div w:id="1195004603">
      <w:bodyDiv w:val="1"/>
      <w:marLeft w:val="0"/>
      <w:marRight w:val="0"/>
      <w:marTop w:val="0"/>
      <w:marBottom w:val="0"/>
      <w:divBdr>
        <w:top w:val="none" w:sz="0" w:space="0" w:color="auto"/>
        <w:left w:val="none" w:sz="0" w:space="0" w:color="auto"/>
        <w:bottom w:val="none" w:sz="0" w:space="0" w:color="auto"/>
        <w:right w:val="none" w:sz="0" w:space="0" w:color="auto"/>
      </w:divBdr>
    </w:div>
    <w:div w:id="1197155718">
      <w:bodyDiv w:val="1"/>
      <w:marLeft w:val="0"/>
      <w:marRight w:val="0"/>
      <w:marTop w:val="0"/>
      <w:marBottom w:val="0"/>
      <w:divBdr>
        <w:top w:val="none" w:sz="0" w:space="0" w:color="auto"/>
        <w:left w:val="none" w:sz="0" w:space="0" w:color="auto"/>
        <w:bottom w:val="none" w:sz="0" w:space="0" w:color="auto"/>
        <w:right w:val="none" w:sz="0" w:space="0" w:color="auto"/>
      </w:divBdr>
    </w:div>
    <w:div w:id="1238393500">
      <w:bodyDiv w:val="1"/>
      <w:marLeft w:val="0"/>
      <w:marRight w:val="0"/>
      <w:marTop w:val="0"/>
      <w:marBottom w:val="0"/>
      <w:divBdr>
        <w:top w:val="none" w:sz="0" w:space="0" w:color="auto"/>
        <w:left w:val="none" w:sz="0" w:space="0" w:color="auto"/>
        <w:bottom w:val="none" w:sz="0" w:space="0" w:color="auto"/>
        <w:right w:val="none" w:sz="0" w:space="0" w:color="auto"/>
      </w:divBdr>
    </w:div>
    <w:div w:id="1241987715">
      <w:bodyDiv w:val="1"/>
      <w:marLeft w:val="0"/>
      <w:marRight w:val="0"/>
      <w:marTop w:val="0"/>
      <w:marBottom w:val="0"/>
      <w:divBdr>
        <w:top w:val="none" w:sz="0" w:space="0" w:color="auto"/>
        <w:left w:val="none" w:sz="0" w:space="0" w:color="auto"/>
        <w:bottom w:val="none" w:sz="0" w:space="0" w:color="auto"/>
        <w:right w:val="none" w:sz="0" w:space="0" w:color="auto"/>
      </w:divBdr>
    </w:div>
    <w:div w:id="1247377095">
      <w:bodyDiv w:val="1"/>
      <w:marLeft w:val="0"/>
      <w:marRight w:val="0"/>
      <w:marTop w:val="0"/>
      <w:marBottom w:val="0"/>
      <w:divBdr>
        <w:top w:val="none" w:sz="0" w:space="0" w:color="auto"/>
        <w:left w:val="none" w:sz="0" w:space="0" w:color="auto"/>
        <w:bottom w:val="none" w:sz="0" w:space="0" w:color="auto"/>
        <w:right w:val="none" w:sz="0" w:space="0" w:color="auto"/>
      </w:divBdr>
    </w:div>
    <w:div w:id="1268662161">
      <w:bodyDiv w:val="1"/>
      <w:marLeft w:val="0"/>
      <w:marRight w:val="0"/>
      <w:marTop w:val="0"/>
      <w:marBottom w:val="0"/>
      <w:divBdr>
        <w:top w:val="none" w:sz="0" w:space="0" w:color="auto"/>
        <w:left w:val="none" w:sz="0" w:space="0" w:color="auto"/>
        <w:bottom w:val="none" w:sz="0" w:space="0" w:color="auto"/>
        <w:right w:val="none" w:sz="0" w:space="0" w:color="auto"/>
      </w:divBdr>
    </w:div>
    <w:div w:id="1316109503">
      <w:bodyDiv w:val="1"/>
      <w:marLeft w:val="0"/>
      <w:marRight w:val="0"/>
      <w:marTop w:val="0"/>
      <w:marBottom w:val="0"/>
      <w:divBdr>
        <w:top w:val="none" w:sz="0" w:space="0" w:color="auto"/>
        <w:left w:val="none" w:sz="0" w:space="0" w:color="auto"/>
        <w:bottom w:val="none" w:sz="0" w:space="0" w:color="auto"/>
        <w:right w:val="none" w:sz="0" w:space="0" w:color="auto"/>
      </w:divBdr>
    </w:div>
    <w:div w:id="1350840065">
      <w:bodyDiv w:val="1"/>
      <w:marLeft w:val="0"/>
      <w:marRight w:val="0"/>
      <w:marTop w:val="0"/>
      <w:marBottom w:val="0"/>
      <w:divBdr>
        <w:top w:val="none" w:sz="0" w:space="0" w:color="auto"/>
        <w:left w:val="none" w:sz="0" w:space="0" w:color="auto"/>
        <w:bottom w:val="none" w:sz="0" w:space="0" w:color="auto"/>
        <w:right w:val="none" w:sz="0" w:space="0" w:color="auto"/>
      </w:divBdr>
    </w:div>
    <w:div w:id="1424642931">
      <w:bodyDiv w:val="1"/>
      <w:marLeft w:val="0"/>
      <w:marRight w:val="0"/>
      <w:marTop w:val="0"/>
      <w:marBottom w:val="0"/>
      <w:divBdr>
        <w:top w:val="none" w:sz="0" w:space="0" w:color="auto"/>
        <w:left w:val="none" w:sz="0" w:space="0" w:color="auto"/>
        <w:bottom w:val="none" w:sz="0" w:space="0" w:color="auto"/>
        <w:right w:val="none" w:sz="0" w:space="0" w:color="auto"/>
      </w:divBdr>
    </w:div>
    <w:div w:id="1445424163">
      <w:bodyDiv w:val="1"/>
      <w:marLeft w:val="0"/>
      <w:marRight w:val="0"/>
      <w:marTop w:val="0"/>
      <w:marBottom w:val="0"/>
      <w:divBdr>
        <w:top w:val="none" w:sz="0" w:space="0" w:color="auto"/>
        <w:left w:val="none" w:sz="0" w:space="0" w:color="auto"/>
        <w:bottom w:val="none" w:sz="0" w:space="0" w:color="auto"/>
        <w:right w:val="none" w:sz="0" w:space="0" w:color="auto"/>
      </w:divBdr>
    </w:div>
    <w:div w:id="1529417803">
      <w:bodyDiv w:val="1"/>
      <w:marLeft w:val="0"/>
      <w:marRight w:val="0"/>
      <w:marTop w:val="0"/>
      <w:marBottom w:val="0"/>
      <w:divBdr>
        <w:top w:val="none" w:sz="0" w:space="0" w:color="auto"/>
        <w:left w:val="none" w:sz="0" w:space="0" w:color="auto"/>
        <w:bottom w:val="none" w:sz="0" w:space="0" w:color="auto"/>
        <w:right w:val="none" w:sz="0" w:space="0" w:color="auto"/>
      </w:divBdr>
    </w:div>
    <w:div w:id="1550461443">
      <w:bodyDiv w:val="1"/>
      <w:marLeft w:val="0"/>
      <w:marRight w:val="0"/>
      <w:marTop w:val="0"/>
      <w:marBottom w:val="0"/>
      <w:divBdr>
        <w:top w:val="none" w:sz="0" w:space="0" w:color="auto"/>
        <w:left w:val="none" w:sz="0" w:space="0" w:color="auto"/>
        <w:bottom w:val="none" w:sz="0" w:space="0" w:color="auto"/>
        <w:right w:val="none" w:sz="0" w:space="0" w:color="auto"/>
      </w:divBdr>
    </w:div>
    <w:div w:id="1572429352">
      <w:bodyDiv w:val="1"/>
      <w:marLeft w:val="0"/>
      <w:marRight w:val="0"/>
      <w:marTop w:val="0"/>
      <w:marBottom w:val="0"/>
      <w:divBdr>
        <w:top w:val="none" w:sz="0" w:space="0" w:color="auto"/>
        <w:left w:val="none" w:sz="0" w:space="0" w:color="auto"/>
        <w:bottom w:val="none" w:sz="0" w:space="0" w:color="auto"/>
        <w:right w:val="none" w:sz="0" w:space="0" w:color="auto"/>
      </w:divBdr>
    </w:div>
    <w:div w:id="1582333667">
      <w:bodyDiv w:val="1"/>
      <w:marLeft w:val="0"/>
      <w:marRight w:val="0"/>
      <w:marTop w:val="0"/>
      <w:marBottom w:val="0"/>
      <w:divBdr>
        <w:top w:val="none" w:sz="0" w:space="0" w:color="auto"/>
        <w:left w:val="none" w:sz="0" w:space="0" w:color="auto"/>
        <w:bottom w:val="none" w:sz="0" w:space="0" w:color="auto"/>
        <w:right w:val="none" w:sz="0" w:space="0" w:color="auto"/>
      </w:divBdr>
    </w:div>
    <w:div w:id="1595167819">
      <w:bodyDiv w:val="1"/>
      <w:marLeft w:val="0"/>
      <w:marRight w:val="0"/>
      <w:marTop w:val="0"/>
      <w:marBottom w:val="0"/>
      <w:divBdr>
        <w:top w:val="none" w:sz="0" w:space="0" w:color="auto"/>
        <w:left w:val="none" w:sz="0" w:space="0" w:color="auto"/>
        <w:bottom w:val="none" w:sz="0" w:space="0" w:color="auto"/>
        <w:right w:val="none" w:sz="0" w:space="0" w:color="auto"/>
      </w:divBdr>
    </w:div>
    <w:div w:id="1634363800">
      <w:bodyDiv w:val="1"/>
      <w:marLeft w:val="0"/>
      <w:marRight w:val="0"/>
      <w:marTop w:val="0"/>
      <w:marBottom w:val="0"/>
      <w:divBdr>
        <w:top w:val="none" w:sz="0" w:space="0" w:color="auto"/>
        <w:left w:val="none" w:sz="0" w:space="0" w:color="auto"/>
        <w:bottom w:val="none" w:sz="0" w:space="0" w:color="auto"/>
        <w:right w:val="none" w:sz="0" w:space="0" w:color="auto"/>
      </w:divBdr>
    </w:div>
    <w:div w:id="1646542578">
      <w:bodyDiv w:val="1"/>
      <w:marLeft w:val="0"/>
      <w:marRight w:val="0"/>
      <w:marTop w:val="0"/>
      <w:marBottom w:val="0"/>
      <w:divBdr>
        <w:top w:val="none" w:sz="0" w:space="0" w:color="auto"/>
        <w:left w:val="none" w:sz="0" w:space="0" w:color="auto"/>
        <w:bottom w:val="none" w:sz="0" w:space="0" w:color="auto"/>
        <w:right w:val="none" w:sz="0" w:space="0" w:color="auto"/>
      </w:divBdr>
    </w:div>
    <w:div w:id="1681735203">
      <w:bodyDiv w:val="1"/>
      <w:marLeft w:val="0"/>
      <w:marRight w:val="0"/>
      <w:marTop w:val="0"/>
      <w:marBottom w:val="0"/>
      <w:divBdr>
        <w:top w:val="none" w:sz="0" w:space="0" w:color="auto"/>
        <w:left w:val="none" w:sz="0" w:space="0" w:color="auto"/>
        <w:bottom w:val="none" w:sz="0" w:space="0" w:color="auto"/>
        <w:right w:val="none" w:sz="0" w:space="0" w:color="auto"/>
      </w:divBdr>
    </w:div>
    <w:div w:id="1694333387">
      <w:bodyDiv w:val="1"/>
      <w:marLeft w:val="0"/>
      <w:marRight w:val="0"/>
      <w:marTop w:val="0"/>
      <w:marBottom w:val="0"/>
      <w:divBdr>
        <w:top w:val="none" w:sz="0" w:space="0" w:color="auto"/>
        <w:left w:val="none" w:sz="0" w:space="0" w:color="auto"/>
        <w:bottom w:val="none" w:sz="0" w:space="0" w:color="auto"/>
        <w:right w:val="none" w:sz="0" w:space="0" w:color="auto"/>
      </w:divBdr>
    </w:div>
    <w:div w:id="1749842505">
      <w:bodyDiv w:val="1"/>
      <w:marLeft w:val="0"/>
      <w:marRight w:val="0"/>
      <w:marTop w:val="0"/>
      <w:marBottom w:val="0"/>
      <w:divBdr>
        <w:top w:val="none" w:sz="0" w:space="0" w:color="auto"/>
        <w:left w:val="none" w:sz="0" w:space="0" w:color="auto"/>
        <w:bottom w:val="none" w:sz="0" w:space="0" w:color="auto"/>
        <w:right w:val="none" w:sz="0" w:space="0" w:color="auto"/>
      </w:divBdr>
    </w:div>
    <w:div w:id="1829862675">
      <w:bodyDiv w:val="1"/>
      <w:marLeft w:val="0"/>
      <w:marRight w:val="0"/>
      <w:marTop w:val="0"/>
      <w:marBottom w:val="0"/>
      <w:divBdr>
        <w:top w:val="none" w:sz="0" w:space="0" w:color="auto"/>
        <w:left w:val="none" w:sz="0" w:space="0" w:color="auto"/>
        <w:bottom w:val="none" w:sz="0" w:space="0" w:color="auto"/>
        <w:right w:val="none" w:sz="0" w:space="0" w:color="auto"/>
      </w:divBdr>
    </w:div>
    <w:div w:id="1830436975">
      <w:bodyDiv w:val="1"/>
      <w:marLeft w:val="0"/>
      <w:marRight w:val="0"/>
      <w:marTop w:val="0"/>
      <w:marBottom w:val="0"/>
      <w:divBdr>
        <w:top w:val="none" w:sz="0" w:space="0" w:color="auto"/>
        <w:left w:val="none" w:sz="0" w:space="0" w:color="auto"/>
        <w:bottom w:val="none" w:sz="0" w:space="0" w:color="auto"/>
        <w:right w:val="none" w:sz="0" w:space="0" w:color="auto"/>
      </w:divBdr>
    </w:div>
    <w:div w:id="1890993453">
      <w:bodyDiv w:val="1"/>
      <w:marLeft w:val="0"/>
      <w:marRight w:val="0"/>
      <w:marTop w:val="0"/>
      <w:marBottom w:val="0"/>
      <w:divBdr>
        <w:top w:val="none" w:sz="0" w:space="0" w:color="auto"/>
        <w:left w:val="none" w:sz="0" w:space="0" w:color="auto"/>
        <w:bottom w:val="none" w:sz="0" w:space="0" w:color="auto"/>
        <w:right w:val="none" w:sz="0" w:space="0" w:color="auto"/>
      </w:divBdr>
    </w:div>
    <w:div w:id="1896311108">
      <w:bodyDiv w:val="1"/>
      <w:marLeft w:val="0"/>
      <w:marRight w:val="0"/>
      <w:marTop w:val="0"/>
      <w:marBottom w:val="0"/>
      <w:divBdr>
        <w:top w:val="none" w:sz="0" w:space="0" w:color="auto"/>
        <w:left w:val="none" w:sz="0" w:space="0" w:color="auto"/>
        <w:bottom w:val="none" w:sz="0" w:space="0" w:color="auto"/>
        <w:right w:val="none" w:sz="0" w:space="0" w:color="auto"/>
      </w:divBdr>
    </w:div>
    <w:div w:id="2012373515">
      <w:bodyDiv w:val="1"/>
      <w:marLeft w:val="0"/>
      <w:marRight w:val="0"/>
      <w:marTop w:val="0"/>
      <w:marBottom w:val="0"/>
      <w:divBdr>
        <w:top w:val="none" w:sz="0" w:space="0" w:color="auto"/>
        <w:left w:val="none" w:sz="0" w:space="0" w:color="auto"/>
        <w:bottom w:val="none" w:sz="0" w:space="0" w:color="auto"/>
        <w:right w:val="none" w:sz="0" w:space="0" w:color="auto"/>
      </w:divBdr>
    </w:div>
    <w:div w:id="2015956576">
      <w:bodyDiv w:val="1"/>
      <w:marLeft w:val="0"/>
      <w:marRight w:val="0"/>
      <w:marTop w:val="0"/>
      <w:marBottom w:val="0"/>
      <w:divBdr>
        <w:top w:val="none" w:sz="0" w:space="0" w:color="auto"/>
        <w:left w:val="none" w:sz="0" w:space="0" w:color="auto"/>
        <w:bottom w:val="none" w:sz="0" w:space="0" w:color="auto"/>
        <w:right w:val="none" w:sz="0" w:space="0" w:color="auto"/>
      </w:divBdr>
    </w:div>
    <w:div w:id="210109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0.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3" Type="http://schemas.openxmlformats.org/officeDocument/2006/relationships/hyperlink" Target="https://si3.bcentral.cl/Siete/secure/cuadros/arboles.aspx" TargetMode="External"/><Relationship Id="rId2" Type="http://schemas.openxmlformats.org/officeDocument/2006/relationships/hyperlink" Target="https://data.bls.gov/timeseries/CUUR0000SA0" TargetMode="External"/><Relationship Id="rId1" Type="http://schemas.openxmlformats.org/officeDocument/2006/relationships/hyperlink" Target="https://www.ine.cl/estad&#237;sticas/precios/ip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5B829-FB55-461B-839D-27CDD521C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56029</Words>
  <Characters>308161</Characters>
  <Application>Microsoft Office Word</Application>
  <DocSecurity>0</DocSecurity>
  <Lines>2568</Lines>
  <Paragraphs>726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363464</CharactersWithSpaces>
  <SharedDoc>false</SharedDoc>
  <HLinks>
    <vt:vector size="288" baseType="variant">
      <vt:variant>
        <vt:i4>1245235</vt:i4>
      </vt:variant>
      <vt:variant>
        <vt:i4>266</vt:i4>
      </vt:variant>
      <vt:variant>
        <vt:i4>0</vt:i4>
      </vt:variant>
      <vt:variant>
        <vt:i4>5</vt:i4>
      </vt:variant>
      <vt:variant>
        <vt:lpwstr/>
      </vt:variant>
      <vt:variant>
        <vt:lpwstr>_Toc33370636</vt:lpwstr>
      </vt:variant>
      <vt:variant>
        <vt:i4>1048627</vt:i4>
      </vt:variant>
      <vt:variant>
        <vt:i4>260</vt:i4>
      </vt:variant>
      <vt:variant>
        <vt:i4>0</vt:i4>
      </vt:variant>
      <vt:variant>
        <vt:i4>5</vt:i4>
      </vt:variant>
      <vt:variant>
        <vt:lpwstr/>
      </vt:variant>
      <vt:variant>
        <vt:lpwstr>_Toc33370635</vt:lpwstr>
      </vt:variant>
      <vt:variant>
        <vt:i4>1114163</vt:i4>
      </vt:variant>
      <vt:variant>
        <vt:i4>254</vt:i4>
      </vt:variant>
      <vt:variant>
        <vt:i4>0</vt:i4>
      </vt:variant>
      <vt:variant>
        <vt:i4>5</vt:i4>
      </vt:variant>
      <vt:variant>
        <vt:lpwstr/>
      </vt:variant>
      <vt:variant>
        <vt:lpwstr>_Toc33370634</vt:lpwstr>
      </vt:variant>
      <vt:variant>
        <vt:i4>1441843</vt:i4>
      </vt:variant>
      <vt:variant>
        <vt:i4>248</vt:i4>
      </vt:variant>
      <vt:variant>
        <vt:i4>0</vt:i4>
      </vt:variant>
      <vt:variant>
        <vt:i4>5</vt:i4>
      </vt:variant>
      <vt:variant>
        <vt:lpwstr/>
      </vt:variant>
      <vt:variant>
        <vt:lpwstr>_Toc33370633</vt:lpwstr>
      </vt:variant>
      <vt:variant>
        <vt:i4>1507379</vt:i4>
      </vt:variant>
      <vt:variant>
        <vt:i4>242</vt:i4>
      </vt:variant>
      <vt:variant>
        <vt:i4>0</vt:i4>
      </vt:variant>
      <vt:variant>
        <vt:i4>5</vt:i4>
      </vt:variant>
      <vt:variant>
        <vt:lpwstr/>
      </vt:variant>
      <vt:variant>
        <vt:lpwstr>_Toc33370632</vt:lpwstr>
      </vt:variant>
      <vt:variant>
        <vt:i4>1310771</vt:i4>
      </vt:variant>
      <vt:variant>
        <vt:i4>236</vt:i4>
      </vt:variant>
      <vt:variant>
        <vt:i4>0</vt:i4>
      </vt:variant>
      <vt:variant>
        <vt:i4>5</vt:i4>
      </vt:variant>
      <vt:variant>
        <vt:lpwstr/>
      </vt:variant>
      <vt:variant>
        <vt:lpwstr>_Toc33370631</vt:lpwstr>
      </vt:variant>
      <vt:variant>
        <vt:i4>1376307</vt:i4>
      </vt:variant>
      <vt:variant>
        <vt:i4>230</vt:i4>
      </vt:variant>
      <vt:variant>
        <vt:i4>0</vt:i4>
      </vt:variant>
      <vt:variant>
        <vt:i4>5</vt:i4>
      </vt:variant>
      <vt:variant>
        <vt:lpwstr/>
      </vt:variant>
      <vt:variant>
        <vt:lpwstr>_Toc33370630</vt:lpwstr>
      </vt:variant>
      <vt:variant>
        <vt:i4>1835058</vt:i4>
      </vt:variant>
      <vt:variant>
        <vt:i4>224</vt:i4>
      </vt:variant>
      <vt:variant>
        <vt:i4>0</vt:i4>
      </vt:variant>
      <vt:variant>
        <vt:i4>5</vt:i4>
      </vt:variant>
      <vt:variant>
        <vt:lpwstr/>
      </vt:variant>
      <vt:variant>
        <vt:lpwstr>_Toc33370629</vt:lpwstr>
      </vt:variant>
      <vt:variant>
        <vt:i4>1900594</vt:i4>
      </vt:variant>
      <vt:variant>
        <vt:i4>218</vt:i4>
      </vt:variant>
      <vt:variant>
        <vt:i4>0</vt:i4>
      </vt:variant>
      <vt:variant>
        <vt:i4>5</vt:i4>
      </vt:variant>
      <vt:variant>
        <vt:lpwstr/>
      </vt:variant>
      <vt:variant>
        <vt:lpwstr>_Toc33370628</vt:lpwstr>
      </vt:variant>
      <vt:variant>
        <vt:i4>1179698</vt:i4>
      </vt:variant>
      <vt:variant>
        <vt:i4>212</vt:i4>
      </vt:variant>
      <vt:variant>
        <vt:i4>0</vt:i4>
      </vt:variant>
      <vt:variant>
        <vt:i4>5</vt:i4>
      </vt:variant>
      <vt:variant>
        <vt:lpwstr/>
      </vt:variant>
      <vt:variant>
        <vt:lpwstr>_Toc33370627</vt:lpwstr>
      </vt:variant>
      <vt:variant>
        <vt:i4>1245234</vt:i4>
      </vt:variant>
      <vt:variant>
        <vt:i4>206</vt:i4>
      </vt:variant>
      <vt:variant>
        <vt:i4>0</vt:i4>
      </vt:variant>
      <vt:variant>
        <vt:i4>5</vt:i4>
      </vt:variant>
      <vt:variant>
        <vt:lpwstr/>
      </vt:variant>
      <vt:variant>
        <vt:lpwstr>_Toc33370626</vt:lpwstr>
      </vt:variant>
      <vt:variant>
        <vt:i4>1048626</vt:i4>
      </vt:variant>
      <vt:variant>
        <vt:i4>200</vt:i4>
      </vt:variant>
      <vt:variant>
        <vt:i4>0</vt:i4>
      </vt:variant>
      <vt:variant>
        <vt:i4>5</vt:i4>
      </vt:variant>
      <vt:variant>
        <vt:lpwstr/>
      </vt:variant>
      <vt:variant>
        <vt:lpwstr>_Toc33370625</vt:lpwstr>
      </vt:variant>
      <vt:variant>
        <vt:i4>1114162</vt:i4>
      </vt:variant>
      <vt:variant>
        <vt:i4>194</vt:i4>
      </vt:variant>
      <vt:variant>
        <vt:i4>0</vt:i4>
      </vt:variant>
      <vt:variant>
        <vt:i4>5</vt:i4>
      </vt:variant>
      <vt:variant>
        <vt:lpwstr/>
      </vt:variant>
      <vt:variant>
        <vt:lpwstr>_Toc33370624</vt:lpwstr>
      </vt:variant>
      <vt:variant>
        <vt:i4>1441842</vt:i4>
      </vt:variant>
      <vt:variant>
        <vt:i4>188</vt:i4>
      </vt:variant>
      <vt:variant>
        <vt:i4>0</vt:i4>
      </vt:variant>
      <vt:variant>
        <vt:i4>5</vt:i4>
      </vt:variant>
      <vt:variant>
        <vt:lpwstr/>
      </vt:variant>
      <vt:variant>
        <vt:lpwstr>_Toc33370623</vt:lpwstr>
      </vt:variant>
      <vt:variant>
        <vt:i4>1507378</vt:i4>
      </vt:variant>
      <vt:variant>
        <vt:i4>182</vt:i4>
      </vt:variant>
      <vt:variant>
        <vt:i4>0</vt:i4>
      </vt:variant>
      <vt:variant>
        <vt:i4>5</vt:i4>
      </vt:variant>
      <vt:variant>
        <vt:lpwstr/>
      </vt:variant>
      <vt:variant>
        <vt:lpwstr>_Toc33370622</vt:lpwstr>
      </vt:variant>
      <vt:variant>
        <vt:i4>1310770</vt:i4>
      </vt:variant>
      <vt:variant>
        <vt:i4>176</vt:i4>
      </vt:variant>
      <vt:variant>
        <vt:i4>0</vt:i4>
      </vt:variant>
      <vt:variant>
        <vt:i4>5</vt:i4>
      </vt:variant>
      <vt:variant>
        <vt:lpwstr/>
      </vt:variant>
      <vt:variant>
        <vt:lpwstr>_Toc33370621</vt:lpwstr>
      </vt:variant>
      <vt:variant>
        <vt:i4>1376306</vt:i4>
      </vt:variant>
      <vt:variant>
        <vt:i4>170</vt:i4>
      </vt:variant>
      <vt:variant>
        <vt:i4>0</vt:i4>
      </vt:variant>
      <vt:variant>
        <vt:i4>5</vt:i4>
      </vt:variant>
      <vt:variant>
        <vt:lpwstr/>
      </vt:variant>
      <vt:variant>
        <vt:lpwstr>_Toc33370620</vt:lpwstr>
      </vt:variant>
      <vt:variant>
        <vt:i4>1835057</vt:i4>
      </vt:variant>
      <vt:variant>
        <vt:i4>164</vt:i4>
      </vt:variant>
      <vt:variant>
        <vt:i4>0</vt:i4>
      </vt:variant>
      <vt:variant>
        <vt:i4>5</vt:i4>
      </vt:variant>
      <vt:variant>
        <vt:lpwstr/>
      </vt:variant>
      <vt:variant>
        <vt:lpwstr>_Toc33370619</vt:lpwstr>
      </vt:variant>
      <vt:variant>
        <vt:i4>1900593</vt:i4>
      </vt:variant>
      <vt:variant>
        <vt:i4>158</vt:i4>
      </vt:variant>
      <vt:variant>
        <vt:i4>0</vt:i4>
      </vt:variant>
      <vt:variant>
        <vt:i4>5</vt:i4>
      </vt:variant>
      <vt:variant>
        <vt:lpwstr/>
      </vt:variant>
      <vt:variant>
        <vt:lpwstr>_Toc33370618</vt:lpwstr>
      </vt:variant>
      <vt:variant>
        <vt:i4>1179697</vt:i4>
      </vt:variant>
      <vt:variant>
        <vt:i4>152</vt:i4>
      </vt:variant>
      <vt:variant>
        <vt:i4>0</vt:i4>
      </vt:variant>
      <vt:variant>
        <vt:i4>5</vt:i4>
      </vt:variant>
      <vt:variant>
        <vt:lpwstr/>
      </vt:variant>
      <vt:variant>
        <vt:lpwstr>_Toc33370617</vt:lpwstr>
      </vt:variant>
      <vt:variant>
        <vt:i4>1245233</vt:i4>
      </vt:variant>
      <vt:variant>
        <vt:i4>146</vt:i4>
      </vt:variant>
      <vt:variant>
        <vt:i4>0</vt:i4>
      </vt:variant>
      <vt:variant>
        <vt:i4>5</vt:i4>
      </vt:variant>
      <vt:variant>
        <vt:lpwstr/>
      </vt:variant>
      <vt:variant>
        <vt:lpwstr>_Toc33370616</vt:lpwstr>
      </vt:variant>
      <vt:variant>
        <vt:i4>1048625</vt:i4>
      </vt:variant>
      <vt:variant>
        <vt:i4>140</vt:i4>
      </vt:variant>
      <vt:variant>
        <vt:i4>0</vt:i4>
      </vt:variant>
      <vt:variant>
        <vt:i4>5</vt:i4>
      </vt:variant>
      <vt:variant>
        <vt:lpwstr/>
      </vt:variant>
      <vt:variant>
        <vt:lpwstr>_Toc33370615</vt:lpwstr>
      </vt:variant>
      <vt:variant>
        <vt:i4>1114161</vt:i4>
      </vt:variant>
      <vt:variant>
        <vt:i4>134</vt:i4>
      </vt:variant>
      <vt:variant>
        <vt:i4>0</vt:i4>
      </vt:variant>
      <vt:variant>
        <vt:i4>5</vt:i4>
      </vt:variant>
      <vt:variant>
        <vt:lpwstr/>
      </vt:variant>
      <vt:variant>
        <vt:lpwstr>_Toc33370614</vt:lpwstr>
      </vt:variant>
      <vt:variant>
        <vt:i4>1441841</vt:i4>
      </vt:variant>
      <vt:variant>
        <vt:i4>128</vt:i4>
      </vt:variant>
      <vt:variant>
        <vt:i4>0</vt:i4>
      </vt:variant>
      <vt:variant>
        <vt:i4>5</vt:i4>
      </vt:variant>
      <vt:variant>
        <vt:lpwstr/>
      </vt:variant>
      <vt:variant>
        <vt:lpwstr>_Toc33370613</vt:lpwstr>
      </vt:variant>
      <vt:variant>
        <vt:i4>1507377</vt:i4>
      </vt:variant>
      <vt:variant>
        <vt:i4>122</vt:i4>
      </vt:variant>
      <vt:variant>
        <vt:i4>0</vt:i4>
      </vt:variant>
      <vt:variant>
        <vt:i4>5</vt:i4>
      </vt:variant>
      <vt:variant>
        <vt:lpwstr/>
      </vt:variant>
      <vt:variant>
        <vt:lpwstr>_Toc33370612</vt:lpwstr>
      </vt:variant>
      <vt:variant>
        <vt:i4>1310769</vt:i4>
      </vt:variant>
      <vt:variant>
        <vt:i4>116</vt:i4>
      </vt:variant>
      <vt:variant>
        <vt:i4>0</vt:i4>
      </vt:variant>
      <vt:variant>
        <vt:i4>5</vt:i4>
      </vt:variant>
      <vt:variant>
        <vt:lpwstr/>
      </vt:variant>
      <vt:variant>
        <vt:lpwstr>_Toc33370611</vt:lpwstr>
      </vt:variant>
      <vt:variant>
        <vt:i4>1376305</vt:i4>
      </vt:variant>
      <vt:variant>
        <vt:i4>110</vt:i4>
      </vt:variant>
      <vt:variant>
        <vt:i4>0</vt:i4>
      </vt:variant>
      <vt:variant>
        <vt:i4>5</vt:i4>
      </vt:variant>
      <vt:variant>
        <vt:lpwstr/>
      </vt:variant>
      <vt:variant>
        <vt:lpwstr>_Toc33370610</vt:lpwstr>
      </vt:variant>
      <vt:variant>
        <vt:i4>1835056</vt:i4>
      </vt:variant>
      <vt:variant>
        <vt:i4>104</vt:i4>
      </vt:variant>
      <vt:variant>
        <vt:i4>0</vt:i4>
      </vt:variant>
      <vt:variant>
        <vt:i4>5</vt:i4>
      </vt:variant>
      <vt:variant>
        <vt:lpwstr/>
      </vt:variant>
      <vt:variant>
        <vt:lpwstr>_Toc33370609</vt:lpwstr>
      </vt:variant>
      <vt:variant>
        <vt:i4>1900592</vt:i4>
      </vt:variant>
      <vt:variant>
        <vt:i4>98</vt:i4>
      </vt:variant>
      <vt:variant>
        <vt:i4>0</vt:i4>
      </vt:variant>
      <vt:variant>
        <vt:i4>5</vt:i4>
      </vt:variant>
      <vt:variant>
        <vt:lpwstr/>
      </vt:variant>
      <vt:variant>
        <vt:lpwstr>_Toc33370608</vt:lpwstr>
      </vt:variant>
      <vt:variant>
        <vt:i4>1179696</vt:i4>
      </vt:variant>
      <vt:variant>
        <vt:i4>92</vt:i4>
      </vt:variant>
      <vt:variant>
        <vt:i4>0</vt:i4>
      </vt:variant>
      <vt:variant>
        <vt:i4>5</vt:i4>
      </vt:variant>
      <vt:variant>
        <vt:lpwstr/>
      </vt:variant>
      <vt:variant>
        <vt:lpwstr>_Toc33370607</vt:lpwstr>
      </vt:variant>
      <vt:variant>
        <vt:i4>1245232</vt:i4>
      </vt:variant>
      <vt:variant>
        <vt:i4>86</vt:i4>
      </vt:variant>
      <vt:variant>
        <vt:i4>0</vt:i4>
      </vt:variant>
      <vt:variant>
        <vt:i4>5</vt:i4>
      </vt:variant>
      <vt:variant>
        <vt:lpwstr/>
      </vt:variant>
      <vt:variant>
        <vt:lpwstr>_Toc33370606</vt:lpwstr>
      </vt:variant>
      <vt:variant>
        <vt:i4>1048624</vt:i4>
      </vt:variant>
      <vt:variant>
        <vt:i4>80</vt:i4>
      </vt:variant>
      <vt:variant>
        <vt:i4>0</vt:i4>
      </vt:variant>
      <vt:variant>
        <vt:i4>5</vt:i4>
      </vt:variant>
      <vt:variant>
        <vt:lpwstr/>
      </vt:variant>
      <vt:variant>
        <vt:lpwstr>_Toc33370605</vt:lpwstr>
      </vt:variant>
      <vt:variant>
        <vt:i4>1114160</vt:i4>
      </vt:variant>
      <vt:variant>
        <vt:i4>74</vt:i4>
      </vt:variant>
      <vt:variant>
        <vt:i4>0</vt:i4>
      </vt:variant>
      <vt:variant>
        <vt:i4>5</vt:i4>
      </vt:variant>
      <vt:variant>
        <vt:lpwstr/>
      </vt:variant>
      <vt:variant>
        <vt:lpwstr>_Toc33370604</vt:lpwstr>
      </vt:variant>
      <vt:variant>
        <vt:i4>1441840</vt:i4>
      </vt:variant>
      <vt:variant>
        <vt:i4>68</vt:i4>
      </vt:variant>
      <vt:variant>
        <vt:i4>0</vt:i4>
      </vt:variant>
      <vt:variant>
        <vt:i4>5</vt:i4>
      </vt:variant>
      <vt:variant>
        <vt:lpwstr/>
      </vt:variant>
      <vt:variant>
        <vt:lpwstr>_Toc33370603</vt:lpwstr>
      </vt:variant>
      <vt:variant>
        <vt:i4>1507376</vt:i4>
      </vt:variant>
      <vt:variant>
        <vt:i4>62</vt:i4>
      </vt:variant>
      <vt:variant>
        <vt:i4>0</vt:i4>
      </vt:variant>
      <vt:variant>
        <vt:i4>5</vt:i4>
      </vt:variant>
      <vt:variant>
        <vt:lpwstr/>
      </vt:variant>
      <vt:variant>
        <vt:lpwstr>_Toc33370602</vt:lpwstr>
      </vt:variant>
      <vt:variant>
        <vt:i4>1310768</vt:i4>
      </vt:variant>
      <vt:variant>
        <vt:i4>56</vt:i4>
      </vt:variant>
      <vt:variant>
        <vt:i4>0</vt:i4>
      </vt:variant>
      <vt:variant>
        <vt:i4>5</vt:i4>
      </vt:variant>
      <vt:variant>
        <vt:lpwstr/>
      </vt:variant>
      <vt:variant>
        <vt:lpwstr>_Toc33370601</vt:lpwstr>
      </vt:variant>
      <vt:variant>
        <vt:i4>1376304</vt:i4>
      </vt:variant>
      <vt:variant>
        <vt:i4>50</vt:i4>
      </vt:variant>
      <vt:variant>
        <vt:i4>0</vt:i4>
      </vt:variant>
      <vt:variant>
        <vt:i4>5</vt:i4>
      </vt:variant>
      <vt:variant>
        <vt:lpwstr/>
      </vt:variant>
      <vt:variant>
        <vt:lpwstr>_Toc33370600</vt:lpwstr>
      </vt:variant>
      <vt:variant>
        <vt:i4>2031673</vt:i4>
      </vt:variant>
      <vt:variant>
        <vt:i4>44</vt:i4>
      </vt:variant>
      <vt:variant>
        <vt:i4>0</vt:i4>
      </vt:variant>
      <vt:variant>
        <vt:i4>5</vt:i4>
      </vt:variant>
      <vt:variant>
        <vt:lpwstr/>
      </vt:variant>
      <vt:variant>
        <vt:lpwstr>_Toc33370599</vt:lpwstr>
      </vt:variant>
      <vt:variant>
        <vt:i4>1966137</vt:i4>
      </vt:variant>
      <vt:variant>
        <vt:i4>38</vt:i4>
      </vt:variant>
      <vt:variant>
        <vt:i4>0</vt:i4>
      </vt:variant>
      <vt:variant>
        <vt:i4>5</vt:i4>
      </vt:variant>
      <vt:variant>
        <vt:lpwstr/>
      </vt:variant>
      <vt:variant>
        <vt:lpwstr>_Toc33370598</vt:lpwstr>
      </vt:variant>
      <vt:variant>
        <vt:i4>1114169</vt:i4>
      </vt:variant>
      <vt:variant>
        <vt:i4>32</vt:i4>
      </vt:variant>
      <vt:variant>
        <vt:i4>0</vt:i4>
      </vt:variant>
      <vt:variant>
        <vt:i4>5</vt:i4>
      </vt:variant>
      <vt:variant>
        <vt:lpwstr/>
      </vt:variant>
      <vt:variant>
        <vt:lpwstr>_Toc33370597</vt:lpwstr>
      </vt:variant>
      <vt:variant>
        <vt:i4>1048633</vt:i4>
      </vt:variant>
      <vt:variant>
        <vt:i4>26</vt:i4>
      </vt:variant>
      <vt:variant>
        <vt:i4>0</vt:i4>
      </vt:variant>
      <vt:variant>
        <vt:i4>5</vt:i4>
      </vt:variant>
      <vt:variant>
        <vt:lpwstr/>
      </vt:variant>
      <vt:variant>
        <vt:lpwstr>_Toc33370596</vt:lpwstr>
      </vt:variant>
      <vt:variant>
        <vt:i4>1245241</vt:i4>
      </vt:variant>
      <vt:variant>
        <vt:i4>20</vt:i4>
      </vt:variant>
      <vt:variant>
        <vt:i4>0</vt:i4>
      </vt:variant>
      <vt:variant>
        <vt:i4>5</vt:i4>
      </vt:variant>
      <vt:variant>
        <vt:lpwstr/>
      </vt:variant>
      <vt:variant>
        <vt:lpwstr>_Toc33370595</vt:lpwstr>
      </vt:variant>
      <vt:variant>
        <vt:i4>1179705</vt:i4>
      </vt:variant>
      <vt:variant>
        <vt:i4>14</vt:i4>
      </vt:variant>
      <vt:variant>
        <vt:i4>0</vt:i4>
      </vt:variant>
      <vt:variant>
        <vt:i4>5</vt:i4>
      </vt:variant>
      <vt:variant>
        <vt:lpwstr/>
      </vt:variant>
      <vt:variant>
        <vt:lpwstr>_Toc33370594</vt:lpwstr>
      </vt:variant>
      <vt:variant>
        <vt:i4>1376313</vt:i4>
      </vt:variant>
      <vt:variant>
        <vt:i4>8</vt:i4>
      </vt:variant>
      <vt:variant>
        <vt:i4>0</vt:i4>
      </vt:variant>
      <vt:variant>
        <vt:i4>5</vt:i4>
      </vt:variant>
      <vt:variant>
        <vt:lpwstr/>
      </vt:variant>
      <vt:variant>
        <vt:lpwstr>_Toc33370593</vt:lpwstr>
      </vt:variant>
      <vt:variant>
        <vt:i4>1310777</vt:i4>
      </vt:variant>
      <vt:variant>
        <vt:i4>2</vt:i4>
      </vt:variant>
      <vt:variant>
        <vt:i4>0</vt:i4>
      </vt:variant>
      <vt:variant>
        <vt:i4>5</vt:i4>
      </vt:variant>
      <vt:variant>
        <vt:lpwstr/>
      </vt:variant>
      <vt:variant>
        <vt:lpwstr>_Toc33370592</vt:lpwstr>
      </vt:variant>
      <vt:variant>
        <vt:i4>4194330</vt:i4>
      </vt:variant>
      <vt:variant>
        <vt:i4>6</vt:i4>
      </vt:variant>
      <vt:variant>
        <vt:i4>0</vt:i4>
      </vt:variant>
      <vt:variant>
        <vt:i4>5</vt:i4>
      </vt:variant>
      <vt:variant>
        <vt:lpwstr>https://si3.bcentral.cl/Siete/secure/cuadros/arboles.aspx</vt:lpwstr>
      </vt:variant>
      <vt:variant>
        <vt:lpwstr/>
      </vt:variant>
      <vt:variant>
        <vt:i4>2424938</vt:i4>
      </vt:variant>
      <vt:variant>
        <vt:i4>3</vt:i4>
      </vt:variant>
      <vt:variant>
        <vt:i4>0</vt:i4>
      </vt:variant>
      <vt:variant>
        <vt:i4>5</vt:i4>
      </vt:variant>
      <vt:variant>
        <vt:lpwstr>https://data.bls.gov/timeseries/CUUR0000SA0</vt:lpwstr>
      </vt:variant>
      <vt:variant>
        <vt:lpwstr/>
      </vt:variant>
      <vt:variant>
        <vt:i4>6553853</vt:i4>
      </vt:variant>
      <vt:variant>
        <vt:i4>0</vt:i4>
      </vt:variant>
      <vt:variant>
        <vt:i4>0</vt:i4>
      </vt:variant>
      <vt:variant>
        <vt:i4>5</vt:i4>
      </vt:variant>
      <vt:variant>
        <vt:lpwstr>https://www.ine.cl/estadísticas/precios/ipc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renato agurto</cp:lastModifiedBy>
  <cp:revision>7</cp:revision>
  <cp:lastPrinted>2020-03-25T17:00:00Z</cp:lastPrinted>
  <dcterms:created xsi:type="dcterms:W3CDTF">2020-03-25T16:17:00Z</dcterms:created>
  <dcterms:modified xsi:type="dcterms:W3CDTF">2020-03-25T17:01:00Z</dcterms:modified>
</cp:coreProperties>
</file>