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A6D2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3031084C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394"/>
        <w:gridCol w:w="1158"/>
        <w:gridCol w:w="1098"/>
        <w:gridCol w:w="959"/>
        <w:gridCol w:w="1682"/>
        <w:gridCol w:w="1682"/>
      </w:tblGrid>
      <w:tr w:rsidR="00CC58A2" w:rsidRPr="00EF3ACF" w14:paraId="367A0E29" w14:textId="77777777" w:rsidTr="00B31F1B">
        <w:trPr>
          <w:trHeight w:val="850"/>
          <w:tblHeader/>
          <w:jc w:val="center"/>
        </w:trPr>
        <w:tc>
          <w:tcPr>
            <w:tcW w:w="7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7EE67129" w14:textId="77777777" w:rsidR="00CC58A2" w:rsidRPr="00FD54A8" w:rsidRDefault="00CC58A2" w:rsidP="00B31F1B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44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699037B7" w14:textId="77777777" w:rsidR="00CC58A2" w:rsidRPr="00FD54A8" w:rsidRDefault="00CC58A2" w:rsidP="00B31F1B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5CB65134" w14:textId="77777777" w:rsidR="00CC58A2" w:rsidRPr="00FD54A8" w:rsidRDefault="00CC58A2" w:rsidP="00B31F1B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8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59561D0B" w14:textId="77777777" w:rsidR="00CC58A2" w:rsidRPr="00FD54A8" w:rsidRDefault="00CC58A2" w:rsidP="00B31F1B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1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000000" w:fill="4F81BD"/>
            <w:vAlign w:val="center"/>
            <w:hideMark/>
          </w:tcPr>
          <w:p w14:paraId="57A51113" w14:textId="77777777" w:rsidR="00CC58A2" w:rsidRPr="00FD54A8" w:rsidRDefault="00CC58A2" w:rsidP="00B31F1B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89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728CFD2F" w14:textId="77777777" w:rsidR="00CC58A2" w:rsidRPr="00FD54A8" w:rsidRDefault="00CC58A2" w:rsidP="00B31F1B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25D9FADF" w14:textId="77777777" w:rsidR="00CC58A2" w:rsidRPr="00FD54A8" w:rsidRDefault="00CC58A2" w:rsidP="00B31F1B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CC58A2" w:rsidRPr="00EF3ACF" w14:paraId="352AFD62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7E09DF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Las Perdices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4D74B9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PFV Las Perdices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83A656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8553D">
              <w:rPr>
                <w:rFonts w:ascii="Calibri" w:eastAsia="Times New Roman" w:hAnsi="Calibri" w:cs="Times New Roman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9115D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00E3A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2B51C6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ECB7F3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Aeródromo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</w:p>
          <w:p w14:paraId="5E59C6C3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E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Panguilemo</w:t>
            </w:r>
            <w:proofErr w:type="spellEnd"/>
          </w:p>
        </w:tc>
      </w:tr>
      <w:tr w:rsidR="00CC58A2" w:rsidRPr="00EF3ACF" w14:paraId="21BC5688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476A93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San Gabriel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D0584D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Parque Eólico San Gabriel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D86614" w14:textId="77777777" w:rsidR="00CC58A2" w:rsidRPr="00F8553D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8056CD">
              <w:rPr>
                <w:rFonts w:ascii="Calibri" w:eastAsia="Times New Roman" w:hAnsi="Calibri" w:cs="Times New Roman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D0DA84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Eólico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5BDE35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183,0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687298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 la Araucanía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00F4CE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E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proofErr w:type="spellEnd"/>
          </w:p>
        </w:tc>
      </w:tr>
      <w:tr w:rsidR="00CC58A2" w:rsidRPr="00EF3ACF" w14:paraId="711669CD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507520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El Maitén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AA1EAD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Parque Eólico El Maitén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67825B" w14:textId="77777777" w:rsidR="00CC58A2" w:rsidRPr="00F8553D" w:rsidRDefault="00CC58A2" w:rsidP="00B31F1B">
            <w:pPr>
              <w:jc w:val="center"/>
              <w:rPr>
                <w:rFonts w:ascii="Calibri" w:hAnsi="Calibri"/>
                <w:sz w:val="18"/>
                <w:highlight w:val="yellow"/>
              </w:rPr>
            </w:pPr>
            <w:r w:rsidRPr="008056CD">
              <w:rPr>
                <w:rFonts w:ascii="Calibri" w:eastAsia="Times New Roman" w:hAnsi="Calibri" w:cs="Times New Roman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0096AD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A15ED7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C0187A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77C6E7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Línea 66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42958">
              <w:rPr>
                <w:rFonts w:ascii="Calibri" w:hAnsi="Calibri"/>
                <w:sz w:val="18"/>
              </w:rPr>
              <w:t>kV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Charrúa-Laja </w:t>
            </w:r>
          </w:p>
        </w:tc>
      </w:tr>
      <w:tr w:rsidR="00CC58A2" w:rsidRPr="00EF3ACF" w14:paraId="7506EC83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E5CE2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Rio Azul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23024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Generadora La Calera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1BB357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8056CD">
              <w:rPr>
                <w:rFonts w:ascii="Calibri" w:eastAsia="Times New Roman" w:hAnsi="Calibri" w:cs="Times New Roman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BBDE0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40BE8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DB2088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7BDE2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Panitao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23 </w:t>
            </w:r>
            <w:proofErr w:type="spellStart"/>
            <w:r w:rsidRPr="00442958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 S/E Alto Bonito</w:t>
            </w:r>
          </w:p>
        </w:tc>
      </w:tr>
      <w:tr w:rsidR="00CC58A2" w:rsidRPr="00EF3ACF" w14:paraId="71CD53A8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AC5614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Tricahue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6EF3BD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Tricahue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897586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056CD">
              <w:rPr>
                <w:rFonts w:ascii="Calibri" w:eastAsia="Times New Roman" w:hAnsi="Calibri" w:cs="Times New Roman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6E63AE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7F2E76C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A4F292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FAD129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Alimentador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O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rilla de Maule 15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</w:p>
          <w:p w14:paraId="5736F121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S/E La Palma</w:t>
            </w:r>
          </w:p>
        </w:tc>
      </w:tr>
      <w:tr w:rsidR="00CC58A2" w:rsidRPr="00EF3ACF" w14:paraId="34893E5F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D0F379C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El Manzano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BD544F1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Desarrollo de Proyectos Energéticos Puentes Ltda.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FC2D9B2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1265D27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7D072B1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2,3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2CCBBC2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34BB196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Estero</w:t>
            </w:r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  <w:r w:rsidRPr="00D3267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 xml:space="preserve">E </w:t>
            </w:r>
          </w:p>
          <w:p w14:paraId="09E86C23" w14:textId="77777777" w:rsidR="00CC58A2" w:rsidRPr="004D6E6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El Manzano</w:t>
            </w:r>
          </w:p>
        </w:tc>
      </w:tr>
      <w:tr w:rsidR="00CC58A2" w:rsidRPr="00EF3ACF" w14:paraId="101B09FB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2A958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de Respaldo Ciruelillo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B81E16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Eléctrica El Mañío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66FFF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77907C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EEBD6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E45EBA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12BE4A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Chacao 23 </w:t>
            </w:r>
            <w:proofErr w:type="spellStart"/>
            <w:r w:rsidRPr="00442958">
              <w:rPr>
                <w:rFonts w:ascii="Calibri" w:hAnsi="Calibri"/>
                <w:sz w:val="18"/>
              </w:rPr>
              <w:t>kV</w:t>
            </w:r>
            <w:proofErr w:type="spellEnd"/>
            <w:r w:rsidRPr="00442958">
              <w:rPr>
                <w:rFonts w:ascii="Calibri" w:hAnsi="Calibri"/>
                <w:sz w:val="18"/>
              </w:rPr>
              <w:t>,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Ancud</w:t>
            </w:r>
          </w:p>
        </w:tc>
      </w:tr>
      <w:tr w:rsidR="00CC58A2" w:rsidRPr="00EF3ACF" w14:paraId="594B6B7F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5AA7A4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Villa Cruz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DE2707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Villa Cruz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8C197A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BA204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76390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75F869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3C7C98E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Los Naranjos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, </w:t>
            </w:r>
          </w:p>
          <w:p w14:paraId="028C3EA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442958">
              <w:rPr>
                <w:rFonts w:ascii="Calibri" w:hAnsi="Calibri"/>
                <w:sz w:val="18"/>
              </w:rPr>
              <w:t>Nirivilo</w:t>
            </w:r>
            <w:proofErr w:type="spellEnd"/>
          </w:p>
        </w:tc>
      </w:tr>
      <w:tr w:rsidR="00CC58A2" w:rsidRPr="00EF3ACF" w14:paraId="25E630EC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67CC25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Acacia 1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0F6C3A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Fotovoltaica Acacia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B7BD2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E0FB2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0EF907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2,8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746BC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5813F3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Almendro 15 </w:t>
            </w:r>
            <w:proofErr w:type="spellStart"/>
            <w:r w:rsidRPr="00442958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</w:p>
          <w:p w14:paraId="39023CE0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Loreto</w:t>
            </w:r>
          </w:p>
        </w:tc>
      </w:tr>
      <w:tr w:rsidR="00CC58A2" w:rsidRPr="00EF3ACF" w14:paraId="2A6EB1F8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AEF9585" w14:textId="77777777" w:rsidR="00CC58A2" w:rsidRPr="002636A5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Konda</w:t>
            </w:r>
            <w:proofErr w:type="spellEnd"/>
            <w:r>
              <w:rPr>
                <w:rStyle w:val="Refdenotaalpie"/>
                <w:rFonts w:ascii="Calibri" w:eastAsia="Times New Roman" w:hAnsi="Calibri" w:cs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447C33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oncuri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nergy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019F6A4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F17D89B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0DD82D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CF1EF84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87E5A45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Bucalemu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14:paraId="6259CF3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 Felipe</w:t>
            </w:r>
          </w:p>
        </w:tc>
      </w:tr>
      <w:tr w:rsidR="00CC58A2" w:rsidRPr="00EF3ACF" w14:paraId="155E2671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AE33C8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42958">
              <w:rPr>
                <w:rFonts w:ascii="Calibri" w:hAnsi="Calibri"/>
                <w:sz w:val="18"/>
              </w:rPr>
              <w:t>Tucuquere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0584CD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42958">
              <w:rPr>
                <w:rFonts w:ascii="Calibri" w:hAnsi="Calibri"/>
                <w:sz w:val="18"/>
              </w:rPr>
              <w:t>Tucuquere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C4A42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D98957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76920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CD75C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2B4B13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Catemu</w:t>
            </w:r>
            <w:proofErr w:type="spellEnd"/>
            <w:r>
              <w:rPr>
                <w:rFonts w:ascii="Calibri" w:hAnsi="Calibri"/>
                <w:sz w:val="18"/>
              </w:rPr>
              <w:t xml:space="preserve"> 12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 w:rsidRPr="00442958">
              <w:rPr>
                <w:rFonts w:ascii="Calibri" w:hAnsi="Calibri"/>
                <w:sz w:val="18"/>
              </w:rPr>
              <w:t>,</w:t>
            </w:r>
          </w:p>
          <w:p w14:paraId="20EBE934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442958">
              <w:rPr>
                <w:rFonts w:ascii="Calibri" w:hAnsi="Calibri"/>
                <w:sz w:val="18"/>
              </w:rPr>
              <w:t>Catemu</w:t>
            </w:r>
            <w:proofErr w:type="spellEnd"/>
          </w:p>
        </w:tc>
      </w:tr>
      <w:tr w:rsidR="00CC58A2" w:rsidRPr="00EF3ACF" w:rsidDel="006C49C2" w14:paraId="02396C0D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7F57984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MCHP Cipresillos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F43AD31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Eléctrica Cipresillos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25834BF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CEC7EA4" w14:textId="77777777" w:rsidR="00CC58A2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Hidro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7C35210" w14:textId="77777777" w:rsidR="00CC58A2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B300CA6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D62182A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Tap</w:t>
            </w:r>
            <w:proofErr w:type="spellEnd"/>
            <w:r>
              <w:rPr>
                <w:rFonts w:ascii="Calibri" w:hAnsi="Calibri"/>
                <w:sz w:val="18"/>
              </w:rPr>
              <w:t xml:space="preserve"> O</w:t>
            </w:r>
            <w:r w:rsidRPr="00D3267E">
              <w:rPr>
                <w:rFonts w:ascii="Calibri" w:hAnsi="Calibri"/>
                <w:sz w:val="18"/>
              </w:rPr>
              <w:t xml:space="preserve">ff en Línea </w:t>
            </w:r>
          </w:p>
          <w:p w14:paraId="6745F79F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Coya</w:t>
            </w:r>
            <w:r>
              <w:rPr>
                <w:rFonts w:ascii="Calibri" w:hAnsi="Calibri"/>
                <w:sz w:val="18"/>
              </w:rPr>
              <w:t xml:space="preserve"> – </w:t>
            </w:r>
            <w:r w:rsidRPr="00D3267E">
              <w:rPr>
                <w:rFonts w:ascii="Calibri" w:hAnsi="Calibri"/>
                <w:sz w:val="18"/>
              </w:rPr>
              <w:t>Pangal</w:t>
            </w:r>
            <w:r>
              <w:rPr>
                <w:rFonts w:ascii="Calibri" w:hAnsi="Calibri"/>
                <w:sz w:val="18"/>
              </w:rPr>
              <w:t xml:space="preserve"> 66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:rsidDel="006C49C2" w14:paraId="7B450440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FF2E7AA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4AE66C3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Aes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Gener</w:t>
            </w:r>
            <w:proofErr w:type="spellEnd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1A916F0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EE1D5B3" w14:textId="77777777" w:rsidR="00CC58A2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8CFE5B5" w14:textId="77777777" w:rsidR="00CC58A2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AAC14A4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6A0A0C9" w14:textId="77777777" w:rsidR="00CC58A2" w:rsidRPr="004D31A1" w:rsidDel="006C49C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Alimentador la Siembra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, S/E Batuco</w:t>
            </w:r>
          </w:p>
        </w:tc>
      </w:tr>
      <w:tr w:rsidR="00CC58A2" w:rsidRPr="00EF3ACF" w14:paraId="5C8B3CBD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1C10529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Planta Fotovoltaica La Ligua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4EFBDC1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Illalolen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C4F5001" w14:textId="77777777" w:rsidR="00CC58A2" w:rsidRDefault="00CC58A2" w:rsidP="00B31F1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9BD2DBA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98FF9AF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36A827E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81D0666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La Ligua 23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Quínquimo</w:t>
            </w:r>
            <w:proofErr w:type="spellEnd"/>
          </w:p>
        </w:tc>
      </w:tr>
      <w:tr w:rsidR="00CC58A2" w:rsidRPr="00EF3ACF" w14:paraId="7582053B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4A5F5A6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DCDDD16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Solcor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DA77187" w14:textId="77777777" w:rsidR="00CC58A2" w:rsidRDefault="00CC58A2" w:rsidP="00B31F1B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ago-19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BBB2E65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6EFB753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558D4CE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BE89AA9" w14:textId="77777777" w:rsidR="00CC58A2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Casablanca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Casablanca</w:t>
            </w:r>
          </w:p>
        </w:tc>
      </w:tr>
      <w:tr w:rsidR="00CC58A2" w:rsidRPr="00EF3ACF" w14:paraId="37B269CA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80F9F59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Vitacura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A60D700" w14:textId="77777777" w:rsidR="00CC58A2" w:rsidRPr="0024156A" w:rsidRDefault="00CC58A2" w:rsidP="00B31F1B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024E148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1E36F89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D3A8F39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A9536E2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96736E9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Recabarren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Alonso de Córdova</w:t>
            </w:r>
          </w:p>
        </w:tc>
      </w:tr>
      <w:tr w:rsidR="00CC58A2" w:rsidRPr="00EF3ACF" w14:paraId="69AAC01A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2914425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bookmarkStart w:id="0" w:name="RANGE!B28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San Isidro</w:t>
            </w:r>
            <w:bookmarkEnd w:id="0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9F0308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Fotovoltaica San Isidro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E81C8BC" w14:textId="77777777" w:rsidR="00CC58A2" w:rsidRPr="00B23204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3FEC88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05F18F0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B4C96B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43FABB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 Isidro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Chumaquito</w:t>
            </w:r>
            <w:proofErr w:type="spellEnd"/>
          </w:p>
        </w:tc>
      </w:tr>
      <w:tr w:rsidR="00CC58A2" w:rsidRPr="00EF3ACF" w14:paraId="4FAD5CC8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69889A0" w14:textId="77777777" w:rsidR="00CC58A2" w:rsidRPr="00F8553D" w:rsidRDefault="00CC58A2" w:rsidP="00B31F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TenoGas50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4E49358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Innovación Energía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FF5771A" w14:textId="77777777" w:rsidR="00CC58A2" w:rsidRPr="00B23204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6E6FC0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GNL/GLP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65EB138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 GNL 43,0 GLP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9C178A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E3F5BB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Aguas Negras-Teno</w:t>
            </w:r>
          </w:p>
        </w:tc>
      </w:tr>
      <w:tr w:rsidR="00CC58A2" w:rsidRPr="00EF3ACF" w14:paraId="7CC6877C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8CD496F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 Miranda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6870CEE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SPV P4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607C5A1" w14:textId="77777777" w:rsidR="00CC58A2" w:rsidRPr="00B23204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33569AF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324414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0E83D00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878C91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Plazuela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Lo Miranda</w:t>
            </w:r>
          </w:p>
        </w:tc>
      </w:tr>
      <w:tr w:rsidR="00CC58A2" w:rsidRPr="00EF3ACF" w14:paraId="0627F6B6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748A47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Fotovoltaico Villa Seca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8D981C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PV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B53A8DE" w14:textId="77777777" w:rsidR="00CC58A2" w:rsidRPr="00B23204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3825218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9944FE4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9C9AA4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89563F2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Longaví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Longaví</w:t>
            </w:r>
            <w:proofErr w:type="spellEnd"/>
          </w:p>
        </w:tc>
      </w:tr>
      <w:tr w:rsidR="00CC58A2" w:rsidRPr="00EF3ACF" w14:paraId="799E1EC3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3055A5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Aumento de capacidad de cogeneración planta Mapocho </w:t>
            </w:r>
            <w:r>
              <w:rPr>
                <w:rFonts w:ascii="Calibri" w:hAnsi="Calibri"/>
                <w:sz w:val="18"/>
              </w:rPr>
              <w:t>–</w:t>
            </w:r>
            <w:r w:rsidRPr="00442958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42958">
              <w:rPr>
                <w:rFonts w:ascii="Calibri" w:hAnsi="Calibri"/>
                <w:sz w:val="18"/>
              </w:rPr>
              <w:t>Trebal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52774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EDAM Ltda.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B5CA10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</w:t>
            </w:r>
            <w:r w:rsidRPr="00442958">
              <w:rPr>
                <w:rFonts w:ascii="Calibri" w:hAnsi="Calibri"/>
                <w:sz w:val="18"/>
              </w:rPr>
              <w:t>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158C4B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Biogás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B41A33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4,5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5DE13C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9671F1" w14:textId="77777777" w:rsidR="00CC58A2" w:rsidRPr="00442958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Santa Marta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5A774ACF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0F148D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Jaururo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944CD9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Fotovoltaica </w:t>
            </w:r>
            <w:proofErr w:type="spellStart"/>
            <w:r w:rsidRPr="006B478E">
              <w:rPr>
                <w:rFonts w:ascii="Calibri" w:hAnsi="Calibri"/>
                <w:sz w:val="18"/>
              </w:rPr>
              <w:t>Jaururo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5502B0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54FC52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609C4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58E68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90977E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Placilla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</w:p>
          <w:p w14:paraId="2A109D82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6B478E">
              <w:rPr>
                <w:rFonts w:ascii="Calibri" w:hAnsi="Calibri"/>
                <w:sz w:val="18"/>
              </w:rPr>
              <w:t>Quínquimo</w:t>
            </w:r>
            <w:proofErr w:type="spellEnd"/>
          </w:p>
        </w:tc>
      </w:tr>
      <w:tr w:rsidR="00CC58A2" w:rsidRPr="00EF3ACF" w14:paraId="58219313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7DC51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FEA752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65D5D2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C8BBBF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Termosolar</w:t>
            </w:r>
            <w:proofErr w:type="spellEnd"/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D75BC9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110,0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E9203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858A91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Encuentro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Sierra Gorda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104896C5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1414CD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lastRenderedPageBreak/>
              <w:t>Rinconada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6EBF3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GR Tamarugo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AB3490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0C7B8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EB2C8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8,0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180C0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6B478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91A854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Las Nieves</w:t>
            </w:r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>,</w:t>
            </w:r>
          </w:p>
          <w:p w14:paraId="63F3852A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Rengo</w:t>
            </w:r>
          </w:p>
        </w:tc>
      </w:tr>
      <w:tr w:rsidR="00CC58A2" w:rsidRPr="00EF3ACF" w14:paraId="70CA163C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BCCB65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Citrino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77D13D6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46EAA7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48F94F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353995C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92F2409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08616ED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Valparaíso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14:paraId="632A8200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Santa Marta</w:t>
            </w:r>
          </w:p>
        </w:tc>
      </w:tr>
      <w:tr w:rsidR="00CC58A2" w:rsidRPr="00EF3ACF" w14:paraId="4E63E0A1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3C3ECA4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Pilpilén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E5A1855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Pilpilén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1645D08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251C1D1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5853475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23A5BEB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3E54A65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Litueche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Quelentaro</w:t>
            </w:r>
            <w:proofErr w:type="spellEnd"/>
          </w:p>
        </w:tc>
      </w:tr>
      <w:tr w:rsidR="00CC58A2" w:rsidRPr="00EF3ACF" w14:paraId="7E107A3D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8AD557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Planta Fotovoltaica Eclipse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CB44298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Eclipse Solar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A6B99F0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CFD420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DC2A4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B4F47D9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B84507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Super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Pollo 23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Las Arañas</w:t>
            </w:r>
          </w:p>
        </w:tc>
      </w:tr>
      <w:tr w:rsidR="00CC58A2" w:rsidRPr="0024156A" w14:paraId="54E571B8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92E6427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Pajonales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3C51EE2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3EA177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C5122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55ECF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100,0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37052D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26C1CB" w14:textId="77777777" w:rsidR="00CC58A2" w:rsidRPr="0024156A" w:rsidRDefault="00CC58A2" w:rsidP="00B31F1B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24156A">
              <w:rPr>
                <w:rFonts w:ascii="Calibri" w:hAnsi="Calibri"/>
                <w:sz w:val="18"/>
                <w:lang w:val="en-US"/>
              </w:rPr>
              <w:t xml:space="preserve">S/E Don </w:t>
            </w:r>
            <w:proofErr w:type="spellStart"/>
            <w:r w:rsidRPr="0024156A">
              <w:rPr>
                <w:rFonts w:ascii="Calibri" w:hAnsi="Calibri"/>
                <w:sz w:val="18"/>
                <w:lang w:val="en-US"/>
              </w:rPr>
              <w:t>Héctor</w:t>
            </w:r>
            <w:proofErr w:type="spellEnd"/>
            <w:r w:rsidRPr="0024156A">
              <w:rPr>
                <w:rFonts w:ascii="Calibri" w:hAnsi="Calibri"/>
                <w:sz w:val="18"/>
                <w:lang w:val="en-US"/>
              </w:rPr>
              <w:t xml:space="preserve"> 220 kV</w:t>
            </w:r>
          </w:p>
        </w:tc>
      </w:tr>
      <w:tr w:rsidR="00CC58A2" w:rsidRPr="00EF3ACF" w14:paraId="7D105F60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488C0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Prime Los Cóndores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31408F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86A17E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EE2129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7AF930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B6715E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27EF3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Los Vilos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14FA1FCD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27DCA2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Almeyda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482F4F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Acciona Energía Chile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4BB84C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EA2A3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61EAA1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52,0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72DEE1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DD470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Cumbre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455CE1F3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A2A98D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Granja Solar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4F7B43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María Elena Solar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38888A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DAEFBF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2C558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105,0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D98EB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4482DC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Lagunas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28C9CEE0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75511A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593F0FD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raucaria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790FD45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050EDFF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BC736B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48BC81A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188664F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Las Chacras 13,2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La Esperanza</w:t>
            </w:r>
          </w:p>
        </w:tc>
      </w:tr>
      <w:tr w:rsidR="00CC58A2" w:rsidRPr="00EF3ACF" w14:paraId="2AA2D797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112299C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0D33565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1B41080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3E9C9C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EFAC5D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7B46565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EA2A60A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Santa Rosa 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14:paraId="00C89904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Pelequén</w:t>
            </w:r>
            <w:proofErr w:type="spellEnd"/>
          </w:p>
        </w:tc>
      </w:tr>
      <w:tr w:rsidR="00CC58A2" w:rsidRPr="00EF3ACF" w14:paraId="59EA242A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4358AFB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La Estancia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5219D54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59D9575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97B593D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C1B2152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7DA2E6B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8337A5E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Cantillana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23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Alhué</w:t>
            </w:r>
            <w:proofErr w:type="spellEnd"/>
          </w:p>
        </w:tc>
      </w:tr>
      <w:tr w:rsidR="00CC58A2" w:rsidRPr="00EF3ACF" w14:paraId="55937900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67A4C0F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lastRenderedPageBreak/>
              <w:t>Paraguay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CC48509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SPV P4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A307CD7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1322463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BAAD377" w14:textId="77777777" w:rsidR="00CC58A2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37F4C7A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5A5D2C3" w14:textId="77777777" w:rsidR="00CC58A2" w:rsidRPr="004D31A1" w:rsidRDefault="00CC58A2" w:rsidP="00B31F1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</w:rPr>
              <w:t>Lontué</w:t>
            </w:r>
            <w:proofErr w:type="spellEnd"/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 </w:t>
            </w:r>
            <w:r w:rsidRPr="00D3267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Molina</w:t>
            </w:r>
          </w:p>
        </w:tc>
      </w:tr>
      <w:tr w:rsidR="00CC58A2" w:rsidRPr="00EF3ACF" w14:paraId="59942D6F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595E000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Las Mercedes 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1BF222A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Fotovoltaica Algarrobo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C8E67A6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E2AFC3B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21B54B9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D8E2F9F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2C5CE9C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Las Mercedes 15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Chumaquito</w:t>
            </w:r>
            <w:proofErr w:type="spellEnd"/>
          </w:p>
        </w:tc>
      </w:tr>
      <w:tr w:rsidR="00CC58A2" w:rsidRPr="00EF3ACF" w14:paraId="7A47E6DD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49FD158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Viña del Mar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22EE487" w14:textId="77777777" w:rsidR="00CC58A2" w:rsidRPr="0024156A" w:rsidRDefault="00CC58A2" w:rsidP="00B31F1B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C01D46C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D3F3B14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DCA543F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60EB09B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C99FB3B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Villa Dulce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Miraflores</w:t>
            </w:r>
          </w:p>
        </w:tc>
      </w:tr>
      <w:tr w:rsidR="00CC58A2" w:rsidRPr="00EF3ACF" w14:paraId="37724CF5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370A3B9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La Flor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345B85E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Vientos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Renaico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4BE9E8E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FD56E1A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Eólico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9EDB4F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F4503B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 –Región de la Araucanía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5AC20C8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Nahuelbuta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66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CC58A2" w:rsidRPr="00EF3ACF" w14:paraId="68885DE4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FF249A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Los Perales I Etapa II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2BFA5D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PMGD Solar Los Perales I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30BA7F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6F659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992853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ACC34E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CD684A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Alimentador Marga </w:t>
            </w:r>
            <w:proofErr w:type="spellStart"/>
            <w:r w:rsidRPr="006B478E">
              <w:rPr>
                <w:rFonts w:ascii="Calibri" w:hAnsi="Calibri"/>
                <w:sz w:val="18"/>
              </w:rPr>
              <w:t>Marga</w:t>
            </w:r>
            <w:proofErr w:type="spellEnd"/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</w:p>
          <w:p w14:paraId="4226E0BC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Quillota</w:t>
            </w:r>
          </w:p>
        </w:tc>
      </w:tr>
      <w:tr w:rsidR="00CC58A2" w:rsidRPr="00EF3ACF" w14:paraId="0940D624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286EC9D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D301562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Palma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8B11BFA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D8B3BAF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17D77B4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565E0AC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0690DBC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Sarmiento 13,2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Rauquén</w:t>
            </w:r>
            <w:proofErr w:type="spellEnd"/>
          </w:p>
        </w:tc>
      </w:tr>
      <w:tr w:rsidR="00CC58A2" w:rsidRPr="00EF3ACF" w14:paraId="655B46BC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763EBD6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F5B3287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Chungungo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8AE5151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2725608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75B674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89681C8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0FDD82E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C58A2" w:rsidRPr="00EF3ACF" w14:paraId="71829C3A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9B574F5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Litre Solar II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154D2F7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Diana Solar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E2E2039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972A62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441DF3A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E1D5DA8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79EC89B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Ovejería 23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El Manzano</w:t>
            </w:r>
          </w:p>
        </w:tc>
      </w:tr>
      <w:tr w:rsidR="00CC58A2" w:rsidRPr="00EF3ACF" w14:paraId="18A2D974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AB04692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Alerce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7901F4A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Generadora La Calera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F0D21F8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5DCD088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338B60B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1AC8629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2A39549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Puerto Montt</w:t>
            </w:r>
          </w:p>
        </w:tc>
      </w:tr>
      <w:tr w:rsidR="00CC58A2" w:rsidRPr="00EF3ACF" w14:paraId="1B57DF9B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7CF901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69683D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Prime Energía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D0D3EF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dic-19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35F679E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16F28A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75,0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635F51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4C6F54" w14:textId="77777777" w:rsidR="00CC58A2" w:rsidRPr="00EF3ACF" w:rsidRDefault="00CC58A2" w:rsidP="00B31F1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Línea 110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Ovalle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Illapel</w:t>
            </w:r>
            <w:proofErr w:type="spellEnd"/>
          </w:p>
        </w:tc>
      </w:tr>
      <w:tr w:rsidR="00CC58A2" w:rsidRPr="00EF3ACF" w14:paraId="7D82D26F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29FAFA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8E0F1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Eléctrica </w:t>
            </w: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E640D3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51931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Hidro</w:t>
            </w:r>
            <w:proofErr w:type="spellEnd"/>
            <w:r w:rsidRPr="006B478E">
              <w:rPr>
                <w:rFonts w:ascii="Calibri" w:hAnsi="Calibri"/>
                <w:sz w:val="18"/>
              </w:rPr>
              <w:t>-Pasada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852BFB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F5065C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01F0E1" w14:textId="77777777" w:rsidR="00CC58A2" w:rsidRPr="006B478E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</w:t>
            </w:r>
            <w:proofErr w:type="spellStart"/>
            <w:r w:rsidRPr="006B478E"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San Fabián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Ancoa</w:t>
            </w:r>
            <w:proofErr w:type="spellEnd"/>
          </w:p>
        </w:tc>
      </w:tr>
      <w:tr w:rsidR="00CC58A2" w:rsidRPr="00EF3ACF" w14:paraId="4DCA1B2B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CFDF5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lastRenderedPageBreak/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B7DF8E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</w:t>
            </w: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0800F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1A9871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56F92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A1E9D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93F92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Santelices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>, S/E Isla de Maipo</w:t>
            </w:r>
          </w:p>
        </w:tc>
      </w:tr>
      <w:tr w:rsidR="00CC58A2" w:rsidRPr="00EF3ACF" w14:paraId="2105E2B9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D811DD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El Pinar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D624CB8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Empresa Eléctrica El Pinar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F260E99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20B0907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C663EB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980BEF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Ñuble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B2B8E7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Cholguán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CC58A2" w:rsidRPr="00EF3ACF" w14:paraId="59CB4E5B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9D7851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Valparaíso Valdés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C1A5BF6" w14:textId="77777777" w:rsidR="00CC58A2" w:rsidRPr="0024156A" w:rsidRDefault="00CC58A2" w:rsidP="00B31F1B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46CFA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998E0A2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8EE6BB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DA6FC2E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A25737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Placeres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Placeres</w:t>
            </w:r>
          </w:p>
        </w:tc>
      </w:tr>
      <w:tr w:rsidR="00CC58A2" w:rsidRPr="00EF3ACF" w14:paraId="39CA577F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89E6C0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Pepa Solar 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6650F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3C8E7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330FD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F2F741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045E2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9C69A4" w14:textId="77777777" w:rsidR="00CC58A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Miraflores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</w:p>
          <w:p w14:paraId="5C8D74E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CC58A2" w:rsidRPr="00EF3ACF" w14:paraId="2BBEA7B0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8B88F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Ampliación Central Alfalfal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123FC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AES </w:t>
            </w:r>
            <w:proofErr w:type="spellStart"/>
            <w:r w:rsidRPr="00D20632">
              <w:rPr>
                <w:rFonts w:ascii="Calibri" w:hAnsi="Calibri"/>
                <w:sz w:val="18"/>
              </w:rPr>
              <w:t>Gener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266DA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4A1CED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4487D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1C117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D7755F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Alfalfal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55B2183E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C33CD40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Candelaria Solar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55E09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Candelaria Solar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B95367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656CBE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AD8DC2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C833E81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201AF6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Codegua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Graneros</w:t>
            </w:r>
          </w:p>
        </w:tc>
      </w:tr>
      <w:tr w:rsidR="00CC58A2" w:rsidRPr="00EF3ACF" w14:paraId="5904BAD0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58F3F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9424B8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51867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9FE14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92A2D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7E96A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658DF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CC58A2" w:rsidRPr="00EF3ACF" w14:paraId="706C852D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7F953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8CBFD8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ANDES SOLAR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A878E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3392B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90F52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1A0F0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BF069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/>
                <w:sz w:val="18"/>
              </w:rPr>
              <w:footnoteReference w:id="3"/>
            </w:r>
          </w:p>
        </w:tc>
      </w:tr>
      <w:tr w:rsidR="00CC58A2" w:rsidRPr="00EF3ACF" w14:paraId="526612B8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E3E03A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C1E5A7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USYA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38116F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5AE143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B80B7E3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52,4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41B2C58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181249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CC58A2" w:rsidRPr="00EF3ACF" w14:paraId="62EB5958" w14:textId="77777777" w:rsidTr="00B31F1B">
        <w:trPr>
          <w:trHeight w:val="16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E8F07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Llanos Blancos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5DDF71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51E690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070D89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9F17E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652900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E2B94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Tap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CC58A2" w:rsidRPr="00EF3ACF" w14:paraId="32E5964A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CF82C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D8BEC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1C5C1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04EEB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46A39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FED22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D0735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CC58A2" w:rsidRPr="00EF3ACF" w14:paraId="2E4FAE81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C36BE0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0E45C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985949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A6058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2E2AB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2963D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E7A27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Lagunas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56F627E5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E6627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5BF9F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9091C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35697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1BE2D5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D9CEB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DCD577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>
              <w:rPr>
                <w:rFonts w:ascii="Calibri" w:hAnsi="Calibri"/>
                <w:sz w:val="18"/>
              </w:rPr>
              <w:t>Licán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0F113075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656B29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Central de Respaldo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CCDE1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371A65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0682F0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DA014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702E0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A29A9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6FD69AEA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7CA251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6BBE8A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79880D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654559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222D0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25C973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ADEFD6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Mulchén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6B2190AC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01E95D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624D0F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32FBBC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F0397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DA09E2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4BA1A04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84C90B" w14:textId="77777777" w:rsidR="00CC58A2" w:rsidRPr="00D20632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608BD57E" w14:textId="77777777" w:rsidTr="00B31F1B">
        <w:trPr>
          <w:trHeight w:val="145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1B8030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B5A1192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960CD9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1BB98C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4E1A63D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FB31F0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5B94B5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</w:p>
        </w:tc>
      </w:tr>
      <w:tr w:rsidR="00CC58A2" w:rsidRPr="00EF3ACF" w14:paraId="6D468B65" w14:textId="77777777" w:rsidTr="00B31F1B">
        <w:trPr>
          <w:trHeight w:val="145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8A25E7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4"/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DCF4A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TSGF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A337BD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9E0B8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2DFB68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158,75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12C73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720569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Línea Encuentro – Lagunas 220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6652D7BB" w14:textId="77777777" w:rsidTr="00B31F1B">
        <w:trPr>
          <w:trHeight w:val="121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5EA47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Trupán</w:t>
            </w:r>
            <w:proofErr w:type="spellEnd"/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7D75B8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DFAAD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A95DD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828868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B7BC32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BBAFC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41B847AD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2AFF7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>Los Cóndores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98677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Enel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Generación Chile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C5AF73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E88E3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A5B497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0DFD6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BFAF63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167EF0D7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A2821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65F982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Alto Maipo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21D6CE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3A69DD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FC12A3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63B86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A6224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0056F090" w14:textId="77777777" w:rsidTr="00B31F1B">
        <w:trPr>
          <w:trHeight w:val="97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EA2E2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F9D4B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Alto Maipo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62CAB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08DFC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7E69D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AFBAB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9BF01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70DB4A02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25772F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FE35A5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00D51DD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A0A3CBD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5C8F40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9459FEE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F1557EE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Planta Arauco 220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CC58A2" w:rsidRPr="00EF3ACF" w14:paraId="040381B2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B3150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399EF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Hidroeléctrica Las Nieves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93DD7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A319F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289B88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E3991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748AF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56DC76AC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932EF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7E183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72F4CD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2656F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E3B45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8A9A2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49234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3F5B524C" w14:textId="77777777" w:rsidTr="00B31F1B">
        <w:trPr>
          <w:trHeight w:val="73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2C190C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6DB2803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09AC42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C639D1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48ECA3C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4F126D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26B745A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Maitencillo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CC58A2" w:rsidRPr="00EF3ACF" w14:paraId="0BB96327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7110E4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A1C827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Hidroeléctrica Ñuble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886B6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8CB26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A4A913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F73CAE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DFC5F1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C58A2" w:rsidRPr="00EF3ACF" w14:paraId="1337E0CD" w14:textId="77777777" w:rsidTr="00B31F1B">
        <w:trPr>
          <w:trHeight w:val="495"/>
          <w:jc w:val="center"/>
        </w:trPr>
        <w:tc>
          <w:tcPr>
            <w:tcW w:w="74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1D964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4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1AE3BB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Colbún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9F50C7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5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EAC5F3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B8C516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6D8D3F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D082D5" w14:textId="77777777" w:rsidR="00CC58A2" w:rsidRPr="00760BA1" w:rsidRDefault="00CC58A2" w:rsidP="00B31F1B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</w:tbl>
    <w:p w14:paraId="53F6EEB4" w14:textId="77777777" w:rsidR="00AE7EA7" w:rsidRDefault="00AE7EA7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43305CB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31618C7B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065726C6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58773678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8756D9C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65"/>
        <w:gridCol w:w="1409"/>
        <w:gridCol w:w="1132"/>
        <w:gridCol w:w="1702"/>
      </w:tblGrid>
      <w:tr w:rsidR="00D73E6D" w:rsidRPr="00B21F1D" w14:paraId="5B2F29C1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bottom w:val="single" w:sz="4" w:space="0" w:color="4F81BD"/>
            </w:tcBorders>
            <w:vAlign w:val="center"/>
          </w:tcPr>
          <w:p w14:paraId="6E551F73" w14:textId="77777777" w:rsidR="00D73E6D" w:rsidRPr="00B21F1D" w:rsidRDefault="00D73E6D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tcBorders>
              <w:bottom w:val="single" w:sz="4" w:space="0" w:color="4F81BD"/>
            </w:tcBorders>
            <w:vAlign w:val="center"/>
          </w:tcPr>
          <w:p w14:paraId="52A46DBF" w14:textId="77777777" w:rsidR="00D73E6D" w:rsidRPr="00B21F1D" w:rsidRDefault="00D73E6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tcBorders>
              <w:bottom w:val="single" w:sz="4" w:space="0" w:color="4F81BD"/>
            </w:tcBorders>
            <w:vAlign w:val="center"/>
          </w:tcPr>
          <w:p w14:paraId="091312AE" w14:textId="77777777" w:rsidR="00D73E6D" w:rsidRPr="00B21F1D" w:rsidRDefault="00D73E6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4" w:type="pct"/>
            <w:tcBorders>
              <w:bottom w:val="single" w:sz="4" w:space="0" w:color="4F81BD"/>
            </w:tcBorders>
            <w:vAlign w:val="center"/>
          </w:tcPr>
          <w:p w14:paraId="3BC04BF7" w14:textId="77777777" w:rsidR="00D73E6D" w:rsidRPr="00B21F1D" w:rsidRDefault="00D73E6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D73E6D" w:rsidRPr="0040559A" w14:paraId="247E9FB4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3B61C7F3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A. Melipilla – Rapel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1409244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537FE24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1D70D7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73E6D" w:rsidRPr="0040559A" w14:paraId="4311C9CD" w14:textId="77777777" w:rsidTr="00B31F1B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28C18DB1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 Aguirre – A. Melipilla, con un circuito tendido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46575DA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366E8A9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F88BA2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73E6D" w:rsidRPr="0040559A" w14:paraId="586080A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C77925E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Subestación Seccionadora Nueva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236F245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0F91DE8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FD02C7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Red Eléctrica Chile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 Cobra Instalaciones y Servicios S.A.</w:t>
            </w:r>
          </w:p>
        </w:tc>
      </w:tr>
      <w:tr w:rsidR="00D73E6D" w:rsidRPr="0040559A" w14:paraId="2782658F" w14:textId="77777777" w:rsidTr="00B31F1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93495DC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Lampa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165D0D2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A08CF18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FDBE82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D73E6D" w:rsidRPr="0040559A" w14:paraId="7A6556A4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507EDABE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1500 MW entre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Bancos de Autotransformadores 2x750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 de Autotransformadores 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D9A82EA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B9D2752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FA463C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D73E6D" w:rsidRPr="0040559A" w14:paraId="0746739D" w14:textId="77777777" w:rsidTr="00B31F1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CB9D2AF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S/E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S/E Nueva Pan de Azúcar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FD435DA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B22C177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64C0D4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D73E6D" w:rsidRPr="0040559A" w14:paraId="31AAFED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34CE0568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EB24989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8BBF60A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DAE5B3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D73E6D" w:rsidRPr="0040559A" w14:paraId="6E21625C" w14:textId="77777777" w:rsidTr="00B31F1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7FF266C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Pozo Almonte, tendido del primer circuito;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Cóndores, tendido del primer circuito; y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tendido del primer circuito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271A612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CFCDA27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49ED4C" w14:textId="77777777" w:rsidR="00D73E6D" w:rsidRDefault="00D73E6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D73E6D" w:rsidRPr="0040559A" w14:paraId="3DAF4FCC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1C756E4" w14:textId="77777777" w:rsidR="00D73E6D" w:rsidRPr="003E1F75" w:rsidRDefault="00D73E6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Punta Colorada - Nueva Pan de Azúcar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2x500 MVA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75D18DC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98F73F5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605525" w14:textId="77777777" w:rsidR="00D73E6D" w:rsidRDefault="00D73E6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</w:tbl>
    <w:p w14:paraId="3BFAB6E4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0D94C2E9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C470BAB" w14:textId="659B3031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p w14:paraId="6C97537E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4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0"/>
        <w:gridCol w:w="1401"/>
        <w:gridCol w:w="1134"/>
        <w:gridCol w:w="1699"/>
      </w:tblGrid>
      <w:tr w:rsidR="00B4787D" w:rsidRPr="00B21F1D" w14:paraId="386DD532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bottom w:val="single" w:sz="4" w:space="0" w:color="4F81BD"/>
            </w:tcBorders>
            <w:vAlign w:val="center"/>
          </w:tcPr>
          <w:p w14:paraId="3FFA5FA9" w14:textId="77777777" w:rsidR="00B4787D" w:rsidRPr="00B21F1D" w:rsidRDefault="00B4787D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tcBorders>
              <w:bottom w:val="single" w:sz="4" w:space="0" w:color="4F81BD"/>
            </w:tcBorders>
            <w:vAlign w:val="center"/>
          </w:tcPr>
          <w:p w14:paraId="0334B0C3" w14:textId="77777777" w:rsidR="00B4787D" w:rsidRPr="00B21F1D" w:rsidRDefault="00B4787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tcBorders>
              <w:bottom w:val="single" w:sz="4" w:space="0" w:color="4F81BD"/>
            </w:tcBorders>
            <w:vAlign w:val="center"/>
          </w:tcPr>
          <w:p w14:paraId="176DDE91" w14:textId="77777777" w:rsidR="00B4787D" w:rsidRPr="00B21F1D" w:rsidRDefault="00B4787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7" w:type="pct"/>
            <w:tcBorders>
              <w:bottom w:val="single" w:sz="4" w:space="0" w:color="4F81BD"/>
            </w:tcBorders>
            <w:vAlign w:val="center"/>
          </w:tcPr>
          <w:p w14:paraId="6D001D38" w14:textId="77777777" w:rsidR="00B4787D" w:rsidRPr="00B21F1D" w:rsidRDefault="00B4787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4787D" w:rsidRPr="00B21F1D" w14:paraId="7A2A6DC1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6898AFB6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J10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Alto Jahuel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499BD12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8F74137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8DC77B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0375D79F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48C18E88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Cambios de TTCC Líneas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– El Tesoro y El Tesoro – Esperanza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485D657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D7CA6C3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167AE8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B4787D" w:rsidRPr="00B21F1D" w14:paraId="47548F4C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5ADDB139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Lagunas – Crucero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5E4B5F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225B1E7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26B75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5"/>
            </w:r>
          </w:p>
        </w:tc>
      </w:tr>
      <w:tr w:rsidR="00B4787D" w:rsidRPr="00B21F1D" w14:paraId="6A625AE9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20A38D8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Cóndores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D336EF7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934D1E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661C8E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4036BA2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5A4688FD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 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Tarapacá – Cóndores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F0244C6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5154B39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3CE1B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0AAC5B8F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E902391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Alto Jahuel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Lo Aguirre 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AB12A65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9B451CA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B277D7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2BC1DFF3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141385F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Quillagua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E1C4990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E3EE3D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B88B3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6B92B979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47B949D0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A5196EB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7176D7F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D0567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4BB630E7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76E23C7B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Diego de Almagro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0373FAE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292DFEF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A5B8FB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62AA753E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277EDED8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Maipo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937BE8A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A958534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240A42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66C0E4BC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4060C19C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AF061B3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2E0FCAC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4A3AD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4787D" w:rsidRPr="00B21F1D" w14:paraId="23ED6A51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113DFD5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27EB88F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27B190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7CA5B2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El Arrayán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B4787D" w:rsidRPr="00B21F1D" w14:paraId="385653E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6614784B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A57D167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609356F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53B512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39C390AB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62DD68A8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304E785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E32C823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34B2FF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7E875A27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1E91B429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Cóndores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6B939AC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AE65ED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D13267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57BCE3A6" w14:textId="77777777" w:rsidTr="00B31F1B">
        <w:trPr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299A87F9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Candelaria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Compensación Serie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Puente Negro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85F3466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769F7D5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558ADB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3DF4A3A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4764D52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980F97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3EFFAD0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75E590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B4787D" w:rsidRPr="00B21F1D" w14:paraId="5776E855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6D36E514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DFF1EEF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F529B9A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28489F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Gener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17C6233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7BBE64A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 la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Cardones–Carrera Pinto– Diego de Almagro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San Andrés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E7E5D74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0D40A4C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9BF9AC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4787D" w:rsidRPr="00B21F1D" w14:paraId="3AB9E068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2740AAE7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del paño de línea Encuentro - El Tesoro en S/E Encuentro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6E917D0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74373BB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BBBFCD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4787D" w:rsidRPr="00B21F1D" w14:paraId="7097E52B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7E2D3D2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Extensión líneas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3E4D131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C3A1D9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8E0D0F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1F3AFF82" w14:textId="77777777" w:rsidTr="00B31F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E3F920B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7D2675E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DD463E8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097E30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B4787D" w:rsidRPr="00B21F1D" w14:paraId="3C391902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3568F2AC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6327F29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A45171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793CD55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4787D" w:rsidRPr="00B21F1D" w14:paraId="6C9C5482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7581477A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BA006C8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5312369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285D9F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5D863F5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462DE76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Ciruelos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FFD299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E32303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670B96B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5E604A4D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2390E61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Proyecto de compensación reactiva en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Nueva Pan de Azúcar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1E958EE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0059D6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75057D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3EBC103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F0F472A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Malleco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829E2E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9F2D783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442B8E5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68037A50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4FC704E4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11382C9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48D1857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EB6160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2A8A1EAD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878321E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62787AE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58D15C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08A090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21DE93D1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FC79C5B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- El Tesoro para reubicar la conexión desde S/E El Tesoro a S/E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7C609CD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372E6E7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0CEE8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4787D" w:rsidRPr="00B21F1D" w14:paraId="029EC722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2D9843A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Algarrobal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DB293F7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6E33DF9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6CD721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B4787D" w:rsidRPr="00B21F1D" w14:paraId="08CB6696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204A109C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l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Rosal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46BFF6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E32BF68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E5C536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B4787D" w:rsidRPr="00B21F1D" w14:paraId="0FC4D805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E2B4448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Toltén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CE77C69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79CA48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F60CDD3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4787D" w:rsidRPr="00B21F1D" w14:paraId="11DB3277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0D9FEC6B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Chuquicamata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B3D8BFA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32FDE20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691F1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B4787D" w:rsidRPr="00B21F1D" w14:paraId="2A42BB6E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12BC909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Frutillar Norte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7CC34E3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015C167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DA97D8F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12F314BB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5D1D34B0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Ancud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47B39F3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66AFC57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5F6003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4787D" w:rsidRPr="00B21F1D" w14:paraId="1C38EA9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126F01E8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Pan de Azúcar - Punta Sierra - Los Pelambres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2x580 MVA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47A8EF0F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36E7DAC2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77C002D0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–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III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B4787D" w:rsidRPr="00B21F1D" w14:paraId="562E2CD7" w14:textId="77777777" w:rsidTr="00B31F1B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4E8B59AC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Chuquicamata - S/E Calama</w:t>
            </w:r>
          </w:p>
        </w:tc>
        <w:tc>
          <w:tcPr>
            <w:tcW w:w="756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52FC00A3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28B14F4C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3BE788" w14:textId="77777777" w:rsidR="00B4787D" w:rsidRPr="003E1F75" w:rsidRDefault="00B478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B4787D" w:rsidRPr="00B21F1D" w14:paraId="6B24A11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</w:tcBorders>
            <w:vAlign w:val="center"/>
          </w:tcPr>
          <w:p w14:paraId="447B052E" w14:textId="77777777" w:rsidR="00B4787D" w:rsidRPr="003E1F75" w:rsidRDefault="00B478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Nueva Puerto Montt - Nueva Ancud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 y Nuevo cruce aéreo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MVA, ambos energizados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single" w:sz="4" w:space="0" w:color="4F81BD"/>
            </w:tcBorders>
            <w:vAlign w:val="center"/>
          </w:tcPr>
          <w:p w14:paraId="3E827DB8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/>
            </w:tcBorders>
            <w:vAlign w:val="center"/>
          </w:tcPr>
          <w:p w14:paraId="2F1DC4AD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7" w:type="pct"/>
            <w:tcBorders>
              <w:top w:val="single" w:sz="4" w:space="0" w:color="4F81BD"/>
            </w:tcBorders>
            <w:vAlign w:val="center"/>
          </w:tcPr>
          <w:p w14:paraId="240EE99B" w14:textId="77777777" w:rsidR="00B4787D" w:rsidRPr="003E1F75" w:rsidRDefault="00B478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3388726C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4A593218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149A7792" w14:textId="1F0628D5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343486B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71"/>
        <w:gridCol w:w="3170"/>
        <w:gridCol w:w="1136"/>
        <w:gridCol w:w="1233"/>
        <w:gridCol w:w="965"/>
        <w:gridCol w:w="1366"/>
      </w:tblGrid>
      <w:tr w:rsidR="00282D7F" w:rsidRPr="00B21F1D" w14:paraId="44D4168B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bottom w:val="single" w:sz="4" w:space="0" w:color="4F81BD"/>
            </w:tcBorders>
            <w:vAlign w:val="center"/>
            <w:hideMark/>
          </w:tcPr>
          <w:p w14:paraId="1F9F107D" w14:textId="77777777" w:rsidR="00282D7F" w:rsidRPr="00B21F1D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734" w:type="pct"/>
            <w:tcBorders>
              <w:bottom w:val="single" w:sz="4" w:space="0" w:color="4F81BD"/>
            </w:tcBorders>
            <w:vAlign w:val="center"/>
            <w:hideMark/>
          </w:tcPr>
          <w:p w14:paraId="34483C0A" w14:textId="77777777" w:rsidR="00282D7F" w:rsidRPr="00B21F1D" w:rsidRDefault="00282D7F" w:rsidP="00B31F1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621" w:type="pct"/>
            <w:tcBorders>
              <w:bottom w:val="single" w:sz="4" w:space="0" w:color="4F81BD"/>
            </w:tcBorders>
            <w:vAlign w:val="center"/>
          </w:tcPr>
          <w:p w14:paraId="5234210D" w14:textId="77777777" w:rsidR="00282D7F" w:rsidRPr="00B21F1D" w:rsidRDefault="00282D7F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4" w:type="pct"/>
            <w:tcBorders>
              <w:bottom w:val="single" w:sz="4" w:space="0" w:color="4F81BD"/>
            </w:tcBorders>
            <w:vAlign w:val="center"/>
            <w:hideMark/>
          </w:tcPr>
          <w:p w14:paraId="34E4CC43" w14:textId="77777777" w:rsidR="00282D7F" w:rsidRPr="00B21F1D" w:rsidRDefault="00282D7F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528" w:type="pct"/>
            <w:tcBorders>
              <w:bottom w:val="single" w:sz="4" w:space="0" w:color="4F81BD"/>
            </w:tcBorders>
            <w:vAlign w:val="center"/>
            <w:hideMark/>
          </w:tcPr>
          <w:p w14:paraId="487CE654" w14:textId="77777777" w:rsidR="00282D7F" w:rsidRPr="00B21F1D" w:rsidRDefault="00282D7F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7A9D02FF" w14:textId="77777777" w:rsidR="00282D7F" w:rsidRPr="00B21F1D" w:rsidRDefault="00282D7F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</w:t>
            </w:r>
            <w:proofErr w:type="spellStart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kV</w:t>
            </w:r>
            <w:proofErr w:type="spellEnd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747" w:type="pct"/>
            <w:tcBorders>
              <w:bottom w:val="single" w:sz="4" w:space="0" w:color="4F81BD"/>
            </w:tcBorders>
            <w:vAlign w:val="center"/>
            <w:hideMark/>
          </w:tcPr>
          <w:p w14:paraId="7488F2B6" w14:textId="77777777" w:rsidR="00282D7F" w:rsidRPr="00B21F1D" w:rsidRDefault="00282D7F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282D7F" w:rsidRPr="00B21F1D" w14:paraId="027E52EC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771B807" w14:textId="77777777" w:rsidR="00282D7F" w:rsidRPr="00ED6700" w:rsidRDefault="00282D7F" w:rsidP="00B31F1B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0AD9CBE" w14:textId="77777777" w:rsidR="00282D7F" w:rsidRPr="00ED6700" w:rsidRDefault="00282D7F" w:rsidP="00B31F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 que se conecta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Los Ángeles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que reemplazará al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Santa Luisa existente. Esta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subestación será en tecnología AIS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est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ará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conformada por 3 paños de línea que darán continuidad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Los Ángeles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Fe individualizada anteriormente y permitirá el cambio de conexión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F62E158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F6BA8EA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503BE3F9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4A5AA2D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445A8DFA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33FE1A7" w14:textId="77777777" w:rsidR="00282D7F" w:rsidRPr="00ED6700" w:rsidRDefault="00282D7F" w:rsidP="00B31F1B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4C0AD2C" w14:textId="77777777" w:rsidR="00282D7F" w:rsidRPr="00ED6700" w:rsidRDefault="00282D7F" w:rsidP="00B31F1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EC031DF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E461D63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2E25607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00B1613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282D7F" w:rsidRPr="00B21F1D" w14:paraId="2B3573A5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10576B4" w14:textId="77777777" w:rsidR="00282D7F" w:rsidRPr="00ED6700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9A7B86D" w14:textId="77777777" w:rsidR="00282D7F" w:rsidRPr="00ED6700" w:rsidRDefault="00282D7F" w:rsidP="00B31F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en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circuito N° 1  de la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Crucero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Lagunas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25AE9B1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4C3F8B4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D28DD38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3BB804A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4FFEDB95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CA255D6" w14:textId="77777777" w:rsidR="00282D7F" w:rsidRPr="00ED6700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AC3C4DD" w14:textId="77777777" w:rsidR="00282D7F" w:rsidRPr="00ED6700" w:rsidRDefault="00282D7F" w:rsidP="00B31F1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Ventanas. La subestación abastece el consumo del terminal cuya potencia nominal será 12 MW y potencia neta 6 MW. Considera un transformador de 110/12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3642F20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5709420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AEF5DA0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BE7A057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282D7F" w:rsidRPr="00B21F1D" w14:paraId="20F9203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F3AC2E2" w14:textId="77777777" w:rsidR="00282D7F" w:rsidRPr="0024156A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S/E Spence Growth Options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C535D8D" w14:textId="77777777" w:rsidR="00282D7F" w:rsidRPr="00ED6700" w:rsidRDefault="00282D7F" w:rsidP="00B31F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en Línea 220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Encuentro-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4,5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 de actual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capacidad instalada de 300 MVA (Dos Transformadores de 150 MVA). Proyecto tiene 2 TIE-IN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uno en Julio 2018 y otro en marzo de 2019.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538B107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Minera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AEC4C56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76393D34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CEDFC6A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282D7F" w:rsidRPr="00B21F1D" w14:paraId="406484EC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0549553" w14:textId="77777777" w:rsidR="00282D7F" w:rsidRPr="00ED6700" w:rsidRDefault="00282D7F" w:rsidP="00B31F1B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Gabriel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7F15A5C" w14:textId="77777777" w:rsidR="00282D7F" w:rsidRPr="00ED6700" w:rsidRDefault="00282D7F" w:rsidP="00B31F1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28 km de longitud que conecta el parque eólico San Gabriel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12440A8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6D14095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4A7358D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DBE1626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00019FD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vAlign w:val="center"/>
          </w:tcPr>
          <w:p w14:paraId="6B4C38C2" w14:textId="77777777" w:rsidR="00282D7F" w:rsidRPr="00ED6700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62A6150" w14:textId="77777777" w:rsidR="00282D7F" w:rsidRPr="00ED6700" w:rsidRDefault="00282D7F" w:rsidP="00B31F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,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2E41734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035AD0E7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noWrap/>
            <w:vAlign w:val="center"/>
          </w:tcPr>
          <w:p w14:paraId="4E0CEB70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noWrap/>
            <w:vAlign w:val="center"/>
          </w:tcPr>
          <w:p w14:paraId="60B0F707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4E188637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595CA0FD" w14:textId="77777777" w:rsidR="00282D7F" w:rsidRPr="00ED6700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1734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5198ED1E" w14:textId="77777777" w:rsidR="00282D7F" w:rsidRPr="00ED6700" w:rsidRDefault="00282D7F" w:rsidP="00B31F1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Cerro Navia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Las Vegas.</w:t>
            </w:r>
          </w:p>
        </w:tc>
        <w:tc>
          <w:tcPr>
            <w:tcW w:w="621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2CD6C1D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674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4DB99B08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28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47D5D8B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87A7CF5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282D7F" w:rsidRPr="00B21F1D" w14:paraId="587654C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DE1C333" w14:textId="77777777" w:rsidR="00282D7F" w:rsidRPr="00ED6700" w:rsidRDefault="00282D7F" w:rsidP="00B31F1B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EWSE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90A3F7C" w14:textId="77777777" w:rsidR="00282D7F" w:rsidRPr="00ED6700" w:rsidRDefault="00282D7F" w:rsidP="00B31F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Instalación de transformadores 220/6,99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de 27/36 MVA en SS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potencia 20/26,7/33,3 MVA por uno de tres bobinados de tensión 220/13,8/6,9 y potencia 80/44/36 MVA.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9326E96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EC931C1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7869AF8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1F3FE7A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282D7F" w:rsidRPr="00B21F1D" w14:paraId="5C2738E6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4E9E4010" w14:textId="77777777" w:rsidR="00282D7F" w:rsidRPr="00ED6700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734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280C7863" w14:textId="77777777" w:rsidR="00282D7F" w:rsidRPr="00ED6700" w:rsidRDefault="00282D7F" w:rsidP="00B31F1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017327E3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39CDF29A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28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CE0CE32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475327B6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282D7F" w:rsidRPr="00B21F1D" w14:paraId="7395F7D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7BEA9D7" w14:textId="77777777" w:rsidR="00282D7F" w:rsidRPr="00ED6700" w:rsidRDefault="00282D7F" w:rsidP="00B31F1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73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8869897" w14:textId="77777777" w:rsidR="00282D7F" w:rsidRPr="00ED6700" w:rsidRDefault="00282D7F" w:rsidP="00B31F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62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E989984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F4653CA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8094986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75644B0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282D7F" w:rsidRPr="00B21F1D" w14:paraId="26519B6E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5B50EBA2" w14:textId="77777777" w:rsidR="00282D7F" w:rsidRPr="009308A2" w:rsidRDefault="00282D7F" w:rsidP="00B31F1B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Seccionadora Puerto Patache 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 y Tendido de Segundo Circuito, Línea 2x220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Tarapacá –Puerto Patache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14:paraId="4A6C9678" w14:textId="77777777" w:rsidR="00282D7F" w:rsidRPr="00ED6700" w:rsidRDefault="00282D7F" w:rsidP="00B31F1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Seccionadora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42D553A8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Teck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0CF73A9D" w14:textId="77777777" w:rsidR="00282D7F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03903FB4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14:paraId="4FE88560" w14:textId="77777777" w:rsidR="00282D7F" w:rsidRPr="00ED6700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7C10E35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3C47F7D" w14:textId="77777777" w:rsidR="00282D7F" w:rsidRPr="00B72BD5" w:rsidRDefault="00282D7F" w:rsidP="00B31F1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73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45B9E8D" w14:textId="77777777" w:rsidR="00282D7F" w:rsidRPr="00B72BD5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subestación encapsulada con esquema doble barra con interruptor acoplador</w:t>
            </w:r>
          </w:p>
        </w:tc>
        <w:tc>
          <w:tcPr>
            <w:tcW w:w="62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9DE4D49" w14:textId="77777777" w:rsidR="00282D7F" w:rsidRPr="00B72BD5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Gener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04796A1" w14:textId="77777777" w:rsidR="00282D7F" w:rsidRPr="00ED6700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56A5F4D" w14:textId="77777777" w:rsidR="00282D7F" w:rsidRPr="00B72BD5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CD6EB63" w14:textId="77777777" w:rsidR="00282D7F" w:rsidRPr="00B72BD5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282D7F" w:rsidRPr="00B21F1D" w14:paraId="1F771E9C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2EEE9185" w14:textId="77777777" w:rsidR="00282D7F" w:rsidRPr="00B72BD5" w:rsidRDefault="00282D7F" w:rsidP="00B31F1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14:paraId="11515A2F" w14:textId="77777777" w:rsidR="00282D7F" w:rsidRPr="00B72BD5" w:rsidRDefault="00282D7F" w:rsidP="00B31F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conectándose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78FD7FC2" w14:textId="77777777" w:rsidR="00282D7F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01B28A5" w14:textId="77777777" w:rsidR="00282D7F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1CF2FC76" w14:textId="77777777" w:rsidR="00282D7F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14:paraId="30CC0F63" w14:textId="77777777" w:rsidR="00282D7F" w:rsidRPr="00B72BD5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2C05C69D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FFFFFF" w:themeFill="background1"/>
          </w:tcPr>
          <w:p w14:paraId="37DE11C0" w14:textId="77777777" w:rsidR="00282D7F" w:rsidRPr="003C1B0F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5D5BCCBD" w14:textId="77777777" w:rsidR="00282D7F" w:rsidRPr="00CD57A6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621" w:type="pct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25CA4E45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D297E36" w14:textId="77777777" w:rsidR="00282D7F" w:rsidRPr="00CD57A6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tcBorders>
              <w:top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BDBD2F5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B38C5B6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39773205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4A1334C" w14:textId="77777777" w:rsidR="00282D7F" w:rsidRPr="00FE000C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S/E Patillos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Patillos – Puerto Patache</w:t>
            </w:r>
          </w:p>
        </w:tc>
        <w:tc>
          <w:tcPr>
            <w:tcW w:w="1734" w:type="pct"/>
            <w:tcBorders>
              <w:top w:val="single" w:sz="4" w:space="0" w:color="4F81BD"/>
            </w:tcBorders>
            <w:shd w:val="clear" w:color="auto" w:fill="FFFFFF" w:themeFill="background1"/>
          </w:tcPr>
          <w:p w14:paraId="6739E8A3" w14:textId="77777777" w:rsidR="00282D7F" w:rsidRPr="00CD57A6" w:rsidRDefault="00282D7F" w:rsidP="00B31F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621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339EA323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67E53B19" w14:textId="77777777" w:rsidR="00282D7F" w:rsidRPr="00CD57A6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0190F90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C76ED37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282D7F" w:rsidRPr="00B21F1D" w14:paraId="14C2CB6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C6B7E5" w14:textId="77777777" w:rsidR="00282D7F" w:rsidRPr="0040146B" w:rsidRDefault="00282D7F" w:rsidP="00B31F1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73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E898A01" w14:textId="77777777" w:rsidR="00282D7F" w:rsidRPr="002F6C5A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 seccionará la línea de transmisión dedicada 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Encuentro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D8042F2" w14:textId="77777777" w:rsidR="00282D7F" w:rsidRPr="003C1B0F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C951E0D" w14:textId="77777777" w:rsidR="00282D7F" w:rsidRPr="003C1B0F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FAE8DED" w14:textId="77777777" w:rsidR="00282D7F" w:rsidRPr="003C1B0F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6876F3B" w14:textId="77777777" w:rsidR="00282D7F" w:rsidRPr="003C1B0F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09C77084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10020543" w14:textId="77777777" w:rsidR="00282D7F" w:rsidRPr="00FE000C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</w:tcPr>
          <w:p w14:paraId="3890A2D2" w14:textId="77777777" w:rsidR="00282D7F" w:rsidRPr="00CD57A6" w:rsidRDefault="00282D7F" w:rsidP="00B31F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1FC33712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F246CC8" w14:textId="77777777" w:rsidR="00282D7F" w:rsidRPr="00CD57A6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536DF3D2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14:paraId="3C2F9DD9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282D7F" w:rsidRPr="00B21F1D" w14:paraId="2B837771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33433E5" w14:textId="77777777" w:rsidR="00282D7F" w:rsidRPr="00415D8D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73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44B7BE05" w14:textId="77777777" w:rsidR="00282D7F" w:rsidRPr="00CD57A6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80199E3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0796BA9" w14:textId="77777777" w:rsidR="00282D7F" w:rsidRPr="00CD57A6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D241633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C747A45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282D7F" w:rsidRPr="00B21F1D" w14:paraId="40C12934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6D8A03BD" w14:textId="77777777" w:rsidR="00282D7F" w:rsidRPr="00415D8D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shd w:val="clear" w:color="auto" w:fill="FFFFFF" w:themeFill="background1"/>
          </w:tcPr>
          <w:p w14:paraId="62BE53C2" w14:textId="77777777" w:rsidR="00282D7F" w:rsidRPr="00CD57A6" w:rsidRDefault="00282D7F" w:rsidP="00B31F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3AA01B1C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B3CCEA6" w14:textId="77777777" w:rsidR="00282D7F" w:rsidRPr="00CD57A6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56D08919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14:paraId="19287946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282D7F" w:rsidRPr="00B21F1D" w14:paraId="472C9A0E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D568143" w14:textId="77777777" w:rsidR="00282D7F" w:rsidRPr="00415D8D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</w:tcPr>
          <w:p w14:paraId="0AA9CB39" w14:textId="77777777" w:rsidR="00282D7F" w:rsidRPr="00CD57A6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EE6020E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E99D57" w14:textId="77777777" w:rsidR="00282D7F" w:rsidRPr="00CD57A6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545ECAB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69542B3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282D7F" w:rsidRPr="00B21F1D" w14:paraId="519FDDEA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151EDA70" w14:textId="77777777" w:rsidR="00282D7F" w:rsidRPr="00415D8D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shd w:val="clear" w:color="auto" w:fill="FFFFFF" w:themeFill="background1"/>
          </w:tcPr>
          <w:p w14:paraId="5BAEBBE0" w14:textId="77777777" w:rsidR="00282D7F" w:rsidRPr="00CD57A6" w:rsidRDefault="00282D7F" w:rsidP="00B31F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596A5B43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603BFFD7" w14:textId="77777777" w:rsidR="00282D7F" w:rsidRPr="00CD57A6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78D2C786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14:paraId="493D5983" w14:textId="77777777" w:rsidR="00282D7F" w:rsidRPr="00CD57A6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282D7F" w:rsidRPr="00B21F1D" w14:paraId="0004A5F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D11465A" w14:textId="77777777" w:rsidR="00282D7F" w:rsidRPr="0079110C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Línea de Transmisión 2x220 </w:t>
            </w:r>
            <w:proofErr w:type="spellStart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Planta Arauco - Lagunillas</w:t>
            </w:r>
          </w:p>
        </w:tc>
        <w:tc>
          <w:tcPr>
            <w:tcW w:w="173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AC4DD90" w14:textId="77777777" w:rsidR="00282D7F" w:rsidRPr="002F6C5A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D74A253" w14:textId="77777777" w:rsidR="00282D7F" w:rsidRPr="00415D8D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E8408CB" w14:textId="77777777" w:rsidR="00282D7F" w:rsidRPr="00415D8D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2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A5227E4" w14:textId="77777777" w:rsidR="00282D7F" w:rsidRPr="00415D8D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CD12EFD" w14:textId="77777777" w:rsidR="00282D7F" w:rsidRPr="00415D8D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</w:tr>
      <w:tr w:rsidR="00282D7F" w:rsidRPr="00B21F1D" w14:paraId="1F515635" w14:textId="77777777" w:rsidTr="00B31F1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4D5F8032" w14:textId="77777777" w:rsidR="00282D7F" w:rsidRPr="0079110C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14:paraId="63C5CFFC" w14:textId="77777777" w:rsidR="00282D7F" w:rsidRPr="002F6C5A" w:rsidRDefault="00282D7F" w:rsidP="00B31F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atio de 220 </w:t>
            </w:r>
            <w:proofErr w:type="spellStart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36C8EBBC" w14:textId="77777777" w:rsidR="00282D7F" w:rsidRPr="00415D8D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508686F" w14:textId="77777777" w:rsidR="00282D7F" w:rsidRPr="00415D8D" w:rsidRDefault="00282D7F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3E9B3BB2" w14:textId="77777777" w:rsidR="00282D7F" w:rsidRPr="00415D8D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14:paraId="644DFF8B" w14:textId="77777777" w:rsidR="00282D7F" w:rsidRPr="00415D8D" w:rsidRDefault="00282D7F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2D7F" w:rsidRPr="00B21F1D" w14:paraId="03B32B5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E64F983" w14:textId="77777777" w:rsidR="00282D7F" w:rsidRPr="00415D8D" w:rsidRDefault="00282D7F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Puquios (QB2)</w:t>
            </w:r>
          </w:p>
        </w:tc>
        <w:tc>
          <w:tcPr>
            <w:tcW w:w="173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2C4CA4A" w14:textId="77777777" w:rsidR="00282D7F" w:rsidRPr="00CD57A6" w:rsidRDefault="00282D7F" w:rsidP="00B31F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915F75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E07FEE4" w14:textId="77777777" w:rsidR="00282D7F" w:rsidRPr="00CD57A6" w:rsidRDefault="00282D7F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52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3CA668B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6CCA3C2" w14:textId="77777777" w:rsidR="00282D7F" w:rsidRPr="00CD57A6" w:rsidRDefault="00282D7F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</w:tbl>
    <w:p w14:paraId="004A8754" w14:textId="77777777" w:rsidR="00DE318B" w:rsidRPr="00BC58A2" w:rsidRDefault="00DE318B" w:rsidP="00BC58A2">
      <w:pPr>
        <w:pStyle w:val="Prrafodelista"/>
        <w:ind w:left="0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463647E1" w14:textId="77777777" w:rsidR="00027030" w:rsidRPr="00BC58A2" w:rsidRDefault="00027030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5B42968B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B705C95" w14:textId="1705F988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14:paraId="109C79D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68"/>
        <w:gridCol w:w="1412"/>
        <w:gridCol w:w="2549"/>
      </w:tblGrid>
      <w:tr w:rsidR="00942C7D" w:rsidRPr="003E1F75" w14:paraId="38CE505D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bottom w:val="single" w:sz="4" w:space="0" w:color="4F81BD"/>
            </w:tcBorders>
            <w:vAlign w:val="center"/>
          </w:tcPr>
          <w:p w14:paraId="1CBC6BE7" w14:textId="77777777" w:rsidR="00942C7D" w:rsidRPr="003E1F75" w:rsidRDefault="00942C7D" w:rsidP="00B31F1B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tcBorders>
              <w:bottom w:val="single" w:sz="4" w:space="0" w:color="4F81BD"/>
            </w:tcBorders>
            <w:vAlign w:val="center"/>
          </w:tcPr>
          <w:p w14:paraId="038433B2" w14:textId="77777777" w:rsidR="00942C7D" w:rsidRPr="003E1F75" w:rsidRDefault="00942C7D" w:rsidP="00B31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tcBorders>
              <w:bottom w:val="single" w:sz="4" w:space="0" w:color="4F81BD"/>
            </w:tcBorders>
            <w:vAlign w:val="center"/>
          </w:tcPr>
          <w:p w14:paraId="01BFDEAD" w14:textId="77777777" w:rsidR="00942C7D" w:rsidRPr="003E1F75" w:rsidRDefault="00942C7D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942C7D" w:rsidRPr="003E1F75" w14:paraId="7188D55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DEDDE7F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1x154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Empalme Teno – Teno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97D8F66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366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2E6B1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7BBF28D7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96D378F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Villa Alegre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DF93167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E92F0F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7F956A01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F8EAA80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Los Maquis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F2FEE01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CCA7FCA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46F2119E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2210B1DC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75840462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64A91E08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2EC0F1A9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F9AA5C7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Frutillar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AD692CA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A44E0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6BEE6B40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3B03A148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Los Tilos Bulnes 66/13,8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MVA</w:t>
            </w:r>
          </w:p>
        </w:tc>
        <w:tc>
          <w:tcPr>
            <w:tcW w:w="75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154F2C8A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196C5465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942C7D" w:rsidRPr="003E1F75" w14:paraId="4ADFDCB7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49557CF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05666DB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B4C469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252B3BE3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92339F7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7737846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3D9CA1B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2999824A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6A53149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Pan de Azúcar – Guayacán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A606B61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042202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6474012D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1282961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Club Hípico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CC80F34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1FC3B19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1133032A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15E060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La Cisterna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F1AC703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5190F5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4618F5EA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D0D14E8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Lebu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9E80065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463DCC3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5E71CE94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69EDA04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71E9448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2B7D46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14AEB983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F0EF009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B1B752B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76ABBAD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42C7D" w:rsidRPr="003E1F75" w14:paraId="2E1B5B35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E0F8C04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Almendros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Dominicos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57B3C7D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CC4260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2DE94FCD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A86BD2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4E140E4F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275D7EB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71435D7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AA74802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Chirre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16 MVA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E825B14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ECECC0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2C874818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0655E4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2x90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BDF48C7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FF7B27E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7B54F7A3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CE57CA9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Padre Hurtado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Santa Marta - Padre Hurtado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AEC4538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286FC8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6E57FA56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5AD19F6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CC99BA7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D6532BB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7875A554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02B9D3E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3C31DB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5192B2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524FC9B0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45492A8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B8B1CB5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2D93840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78C6766D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9F947FE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B4BBA0F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2DA2AC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555985EC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0BA1A8C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Norte 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E995CE1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C8CEC7E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399FD06D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6739B01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Graneros – Graneros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C0E6142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B61065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64C0C0EA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30BC85A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36120DF8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DAEC4CC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099023A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1B5C61F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57E696E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F7675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055FC7F6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9B4532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5E79DD9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19F3FCE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530ED56B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686E13D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Placilla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Nancagua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F7BB5D4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FB6999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61464054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B1E449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Nueva S/E Sangra 66/23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33AED3C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6AC0B9D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60D98639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F1EBC7E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Choapa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9320FC8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94359C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604C2769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3FF2FC5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FD86418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B84CA27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470FF74E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90E10D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5169DDF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327EF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1D92E13E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A8F525D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77578A41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45FE2F6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1E3DC723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6D7D454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0F954F6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D2EEB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3709D47E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30D546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16C6A61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739FF73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4D048EF5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29A6F7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BF70641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B7D21D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76D91C95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2ED2079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1E03A923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D7C5BC4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42C7D" w:rsidRPr="003E1F75" w14:paraId="7AB98571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22A6AAE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110/12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04B5414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E545F4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42C7D" w:rsidRPr="003E1F75" w14:paraId="0726E93D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A413E28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Nueva S/E Tap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 110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FA52FA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54E47D7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42C7D" w:rsidRPr="003E1F75" w14:paraId="2040E6A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ACE6C60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C2086F3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5FDA7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39F92230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4DD7F96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074A569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5FA9A2A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4997BBB8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5A1589E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9D15C52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CF9519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33953D3A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D09614D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Puerto Montt 220/23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BE6B08C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C0FC213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3E696CF0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F5AAA51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444D3DF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80E1F5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42C7D" w:rsidRPr="003E1F75" w14:paraId="1EFA4653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D85139E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Llanquihue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254E8BD6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15758E6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658F7606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2689EAB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29BC8A9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6DBA43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79764103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BAFA6A3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Fátima - Isla de Maipo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C98889E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2BDE139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42C7D" w:rsidRPr="003E1F75" w14:paraId="3A391711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8A9134A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955D9D3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D922243" w14:textId="77777777" w:rsidR="00942C7D" w:rsidRPr="003E1F75" w:rsidRDefault="00942C7D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42C7D" w:rsidRPr="003E1F75" w14:paraId="59DD6DA3" w14:textId="77777777" w:rsidTr="00B31F1B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B36BFE4" w14:textId="77777777" w:rsidR="00942C7D" w:rsidRPr="003E1F75" w:rsidRDefault="00942C7D" w:rsidP="00B31F1B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Fernando – Placilla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E6C6A11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02DD8A7" w14:textId="77777777" w:rsidR="00942C7D" w:rsidRPr="003E1F75" w:rsidRDefault="00942C7D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59787FCF" w14:textId="77777777" w:rsidR="00845E80" w:rsidRDefault="00845E80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32F890D8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7ECC0E8C" w14:textId="24963EEB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p w14:paraId="755715B4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8"/>
        <w:gridCol w:w="1416"/>
        <w:gridCol w:w="2550"/>
      </w:tblGrid>
      <w:tr w:rsidR="00DB5B12" w:rsidRPr="009F02A4" w14:paraId="33EBEED2" w14:textId="77777777" w:rsidTr="00B31F1B">
        <w:trPr>
          <w:trHeight w:val="850"/>
          <w:tblHeader/>
          <w:jc w:val="center"/>
        </w:trPr>
        <w:tc>
          <w:tcPr>
            <w:tcW w:w="2880" w:type="pct"/>
            <w:tcBorders>
              <w:bottom w:val="single" w:sz="4" w:space="0" w:color="4F81BD"/>
            </w:tcBorders>
            <w:shd w:val="clear" w:color="auto" w:fill="4F81BD" w:themeFill="accent1"/>
            <w:vAlign w:val="center"/>
          </w:tcPr>
          <w:p w14:paraId="7D43D741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tcBorders>
              <w:bottom w:val="single" w:sz="4" w:space="0" w:color="4F81BD"/>
            </w:tcBorders>
            <w:shd w:val="clear" w:color="auto" w:fill="4F81BD" w:themeFill="accent1"/>
            <w:vAlign w:val="center"/>
          </w:tcPr>
          <w:p w14:paraId="2EA5E5D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tcBorders>
              <w:bottom w:val="single" w:sz="4" w:space="0" w:color="4F81BD"/>
            </w:tcBorders>
            <w:shd w:val="clear" w:color="auto" w:fill="4F81BD" w:themeFill="accent1"/>
            <w:vAlign w:val="center"/>
          </w:tcPr>
          <w:p w14:paraId="2D6FC52C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DB5B12" w:rsidRPr="009F02A4" w14:paraId="1B4AA22E" w14:textId="77777777" w:rsidTr="00B31F1B">
        <w:trPr>
          <w:trHeight w:val="283"/>
          <w:jc w:val="center"/>
        </w:trPr>
        <w:tc>
          <w:tcPr>
            <w:tcW w:w="2880" w:type="pct"/>
            <w:tcBorders>
              <w:top w:val="single" w:sz="4" w:space="0" w:color="4F81BD"/>
            </w:tcBorders>
            <w:vAlign w:val="center"/>
          </w:tcPr>
          <w:p w14:paraId="7D35ACDA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/>
            </w:tcBorders>
            <w:vAlign w:val="center"/>
          </w:tcPr>
          <w:p w14:paraId="0F351AB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tcBorders>
              <w:top w:val="single" w:sz="4" w:space="0" w:color="4F81BD"/>
            </w:tcBorders>
            <w:vAlign w:val="center"/>
          </w:tcPr>
          <w:p w14:paraId="034F7BB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268F695A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93C921C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57" w:type="pct"/>
            <w:vAlign w:val="center"/>
          </w:tcPr>
          <w:p w14:paraId="43BE0D05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D06524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6066DC34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6C96966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  <w:vAlign w:val="center"/>
          </w:tcPr>
          <w:p w14:paraId="57DD67B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3E196E6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36451F41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51AB13F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  <w:vAlign w:val="center"/>
          </w:tcPr>
          <w:p w14:paraId="4C0EAF7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A6EC33E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68DAEA5F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4CCD283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57" w:type="pct"/>
            <w:vAlign w:val="center"/>
          </w:tcPr>
          <w:p w14:paraId="10B4B386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F57DD8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0642EB7B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315E2670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57" w:type="pct"/>
            <w:vAlign w:val="center"/>
          </w:tcPr>
          <w:p w14:paraId="03F56E0F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98BE0F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26AEF055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50508F8B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  <w:vAlign w:val="center"/>
          </w:tcPr>
          <w:p w14:paraId="3D9FBABC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3CBA613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BE050F" w14:paraId="39A81E01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2046C705" w14:textId="77777777" w:rsidR="00DB5B12" w:rsidRPr="00BE050F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7" w:type="pct"/>
            <w:vAlign w:val="center"/>
          </w:tcPr>
          <w:p w14:paraId="564DD1FF" w14:textId="77777777" w:rsidR="00DB5B12" w:rsidRPr="00BE050F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27E12E9" w14:textId="77777777" w:rsidR="00DB5B12" w:rsidRPr="00BE050F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6"/>
            </w:r>
          </w:p>
        </w:tc>
      </w:tr>
      <w:tr w:rsidR="00DB5B12" w:rsidRPr="009F02A4" w14:paraId="15C0FE21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0193F066" w14:textId="77777777" w:rsidR="00DB5B12" w:rsidRPr="00BE050F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  <w:vAlign w:val="center"/>
          </w:tcPr>
          <w:p w14:paraId="237A2FFB" w14:textId="77777777" w:rsidR="00DB5B12" w:rsidRPr="00BE050F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18F6922" w14:textId="77777777" w:rsidR="00DB5B12" w:rsidRPr="00BE050F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7"/>
            </w:r>
          </w:p>
        </w:tc>
      </w:tr>
      <w:tr w:rsidR="00DB5B12" w:rsidRPr="009F02A4" w14:paraId="00C38BC7" w14:textId="77777777" w:rsidTr="00B31F1B">
        <w:trPr>
          <w:trHeight w:val="283"/>
          <w:jc w:val="center"/>
        </w:trPr>
        <w:tc>
          <w:tcPr>
            <w:tcW w:w="2880" w:type="pct"/>
            <w:tcBorders>
              <w:top w:val="single" w:sz="4" w:space="0" w:color="4F81BD"/>
            </w:tcBorders>
            <w:vAlign w:val="center"/>
          </w:tcPr>
          <w:p w14:paraId="27E1FFBC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  <w:tcBorders>
              <w:top w:val="single" w:sz="4" w:space="0" w:color="4F81BD"/>
            </w:tcBorders>
            <w:vAlign w:val="center"/>
          </w:tcPr>
          <w:p w14:paraId="241C92EC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tcBorders>
              <w:top w:val="single" w:sz="4" w:space="0" w:color="4F81BD"/>
            </w:tcBorders>
            <w:vAlign w:val="center"/>
          </w:tcPr>
          <w:p w14:paraId="773D2BB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DB5B12" w:rsidRPr="009F02A4" w14:paraId="785CB388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8D5FD46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  <w:vAlign w:val="center"/>
          </w:tcPr>
          <w:p w14:paraId="7462582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BDD6AF2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DB5B12" w:rsidRPr="009F02A4" w14:paraId="604A35C5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7605EB9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  <w:vAlign w:val="center"/>
          </w:tcPr>
          <w:p w14:paraId="671E8B7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9DA21A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DB5B12" w:rsidRPr="009F02A4" w14:paraId="16207C83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9FDBD8E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  <w:vAlign w:val="center"/>
          </w:tcPr>
          <w:p w14:paraId="365DB525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3FB2E00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DB5B12" w:rsidRPr="009F02A4" w14:paraId="2B1310E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77555E24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14:paraId="21097FE5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47C2E91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DB5B12" w:rsidRPr="009F02A4" w14:paraId="17684DB5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57BFF14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14:paraId="50F56C9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253E440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077A5752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779E64F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  <w:vAlign w:val="center"/>
          </w:tcPr>
          <w:p w14:paraId="3A85181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EFA682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76C8F439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7B748C46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  <w:vAlign w:val="center"/>
          </w:tcPr>
          <w:p w14:paraId="41364F11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5B841FE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10C482FF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64E32F5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  <w:vAlign w:val="center"/>
          </w:tcPr>
          <w:p w14:paraId="5105AB6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18D9CC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64B72785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5DE2180C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14:paraId="45C1730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966B840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5546562A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17402F7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57" w:type="pct"/>
            <w:vAlign w:val="center"/>
          </w:tcPr>
          <w:p w14:paraId="3AA29BE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B44463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7A67FE75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06646D37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  <w:vAlign w:val="center"/>
          </w:tcPr>
          <w:p w14:paraId="55BE964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B98A7BF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5A1220DC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0299D7ED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  <w:vAlign w:val="center"/>
          </w:tcPr>
          <w:p w14:paraId="62FD57A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C191A49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586BD962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0483768F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  <w:vAlign w:val="center"/>
          </w:tcPr>
          <w:p w14:paraId="42680F3C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D1D4EFC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293EEA7C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3C7F7B83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57" w:type="pct"/>
            <w:vAlign w:val="center"/>
          </w:tcPr>
          <w:p w14:paraId="01B2348C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C969E2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2850EFF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DB6621F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57" w:type="pct"/>
            <w:vAlign w:val="center"/>
          </w:tcPr>
          <w:p w14:paraId="08DF3F9E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79849B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7893AE14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44127B38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57" w:type="pct"/>
            <w:vAlign w:val="center"/>
          </w:tcPr>
          <w:p w14:paraId="140DFEC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77F4775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09A33007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548A352B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14:paraId="55268ED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4343586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329CA4B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54763064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Línea 1X110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Maitencillo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Algarrobo</w:t>
            </w:r>
          </w:p>
        </w:tc>
        <w:tc>
          <w:tcPr>
            <w:tcW w:w="757" w:type="pct"/>
            <w:vAlign w:val="center"/>
          </w:tcPr>
          <w:p w14:paraId="552B60D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7C2F0340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0A8E59A3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3E67BAB3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57" w:type="pct"/>
            <w:vAlign w:val="center"/>
          </w:tcPr>
          <w:p w14:paraId="2C72440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36A8F366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13FD569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121183EE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Agua Santa</w:t>
            </w:r>
          </w:p>
        </w:tc>
        <w:tc>
          <w:tcPr>
            <w:tcW w:w="757" w:type="pct"/>
            <w:vAlign w:val="center"/>
          </w:tcPr>
          <w:p w14:paraId="44FF006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05BF3914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1FD2CB51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78EF734F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14:paraId="15278E1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2982F3E1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17E5C337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74CEAE53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  <w:vAlign w:val="center"/>
          </w:tcPr>
          <w:p w14:paraId="3802A66E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8B7A29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379AF75D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47EE394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14:paraId="72ED935B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1F3B0E29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5A7E1789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4F1074AA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Línea 2X154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Alto Jahuel – Tinguiririca en S/E Punta de Cortés</w:t>
            </w:r>
          </w:p>
        </w:tc>
        <w:tc>
          <w:tcPr>
            <w:tcW w:w="757" w:type="pct"/>
            <w:vAlign w:val="center"/>
          </w:tcPr>
          <w:p w14:paraId="45587B5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6E80B3C9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6E79DE1C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3259C3CE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14:paraId="38B971EE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3D5484D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0AA80CB7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544AD17B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Transmisión en Línea 2X66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Maule – Talca</w:t>
            </w:r>
          </w:p>
        </w:tc>
        <w:tc>
          <w:tcPr>
            <w:tcW w:w="757" w:type="pct"/>
            <w:vAlign w:val="center"/>
          </w:tcPr>
          <w:p w14:paraId="55533885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74AC222D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B5B12" w:rsidRPr="009F02A4" w14:paraId="719878B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BFC7F67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57" w:type="pct"/>
            <w:vAlign w:val="center"/>
          </w:tcPr>
          <w:p w14:paraId="50B071BA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1363" w:type="pct"/>
            <w:vAlign w:val="center"/>
          </w:tcPr>
          <w:p w14:paraId="1C07C836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427E7B52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015BC7B2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14:paraId="3908A89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1C389A27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DB5B12" w:rsidRPr="009F02A4" w14:paraId="7FCC30F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094DD8A0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Paños de Conexión de Línea 2X110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Las Vegas – Cerro Navia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A7C31D1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598FE189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1DFE975B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577F58A8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Conexión de Paños de Transformación “Tr5” Y Un Nuevo Banco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4B7918A5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7FB35631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B5B12" w:rsidRPr="009F02A4" w14:paraId="5EC2A15B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4B0133C8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14:paraId="082C6291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29CDFF29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DB5B12" w:rsidRPr="009F02A4" w14:paraId="60A8C856" w14:textId="77777777" w:rsidTr="00B31F1B">
        <w:trPr>
          <w:trHeight w:val="283"/>
          <w:jc w:val="center"/>
        </w:trPr>
        <w:tc>
          <w:tcPr>
            <w:tcW w:w="2880" w:type="pct"/>
            <w:vAlign w:val="center"/>
          </w:tcPr>
          <w:p w14:paraId="6BB51B9D" w14:textId="77777777" w:rsidR="00DB5B12" w:rsidRPr="009F02A4" w:rsidRDefault="00DB5B12" w:rsidP="00B31F1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57" w:type="pct"/>
            <w:vAlign w:val="center"/>
          </w:tcPr>
          <w:p w14:paraId="1DF14408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4BCBB342" w14:textId="77777777" w:rsidR="00DB5B12" w:rsidRPr="009F02A4" w:rsidRDefault="00DB5B12" w:rsidP="00B31F1B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527DEFD1" w14:textId="77777777" w:rsidR="00313BA1" w:rsidRDefault="00313BA1" w:rsidP="007F093D">
      <w:pPr>
        <w:contextualSpacing/>
        <w:rPr>
          <w:rFonts w:ascii="Verdana" w:hAnsi="Verdana"/>
          <w:b/>
          <w:sz w:val="20"/>
          <w:szCs w:val="20"/>
        </w:rPr>
      </w:pPr>
    </w:p>
    <w:p w14:paraId="446600B7" w14:textId="77777777" w:rsidR="007F093D" w:rsidRDefault="007F093D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18363384" w14:textId="77777777" w:rsidR="007F093D" w:rsidRDefault="0095179F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9F02A4" w:rsidRPr="00BC58A2">
        <w:rPr>
          <w:rFonts w:ascii="Verdana" w:hAnsi="Verdana"/>
          <w:b/>
          <w:sz w:val="18"/>
          <w:szCs w:val="20"/>
        </w:rPr>
        <w:lastRenderedPageBreak/>
        <w:t>Proyectos de obras nuevas de los Sistemas de Transmisión Zonal por artículo 3° de Decreto Exento N° 418/2017:</w:t>
      </w:r>
    </w:p>
    <w:p w14:paraId="5C807AB3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8"/>
        <w:gridCol w:w="1416"/>
        <w:gridCol w:w="2550"/>
      </w:tblGrid>
      <w:tr w:rsidR="00F90FE2" w:rsidRPr="005F712F" w14:paraId="296D5862" w14:textId="77777777" w:rsidTr="00B31F1B">
        <w:trPr>
          <w:trHeight w:val="850"/>
          <w:tblHeader/>
          <w:jc w:val="center"/>
        </w:trPr>
        <w:tc>
          <w:tcPr>
            <w:tcW w:w="2879" w:type="pct"/>
            <w:tcBorders>
              <w:bottom w:val="single" w:sz="4" w:space="0" w:color="4F81BD"/>
            </w:tcBorders>
            <w:shd w:val="clear" w:color="auto" w:fill="4F81BD" w:themeFill="accent1"/>
            <w:vAlign w:val="center"/>
          </w:tcPr>
          <w:p w14:paraId="34C613A6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tcBorders>
              <w:bottom w:val="single" w:sz="4" w:space="0" w:color="4F81BD"/>
            </w:tcBorders>
            <w:shd w:val="clear" w:color="auto" w:fill="4F81BD" w:themeFill="accent1"/>
            <w:vAlign w:val="center"/>
          </w:tcPr>
          <w:p w14:paraId="2DEC856C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tcBorders>
              <w:bottom w:val="single" w:sz="4" w:space="0" w:color="4F81BD"/>
            </w:tcBorders>
            <w:shd w:val="clear" w:color="auto" w:fill="4F81BD" w:themeFill="accent1"/>
            <w:vAlign w:val="center"/>
          </w:tcPr>
          <w:p w14:paraId="65C749F6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F90FE2" w:rsidRPr="005F712F" w14:paraId="3B181BB6" w14:textId="77777777" w:rsidTr="00B31F1B">
        <w:trPr>
          <w:trHeight w:val="283"/>
          <w:jc w:val="center"/>
        </w:trPr>
        <w:tc>
          <w:tcPr>
            <w:tcW w:w="2879" w:type="pct"/>
            <w:tcBorders>
              <w:top w:val="single" w:sz="4" w:space="0" w:color="4F81BD"/>
            </w:tcBorders>
            <w:vAlign w:val="center"/>
          </w:tcPr>
          <w:p w14:paraId="62E45E4C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single" w:sz="4" w:space="0" w:color="4F81BD"/>
            </w:tcBorders>
            <w:vAlign w:val="center"/>
          </w:tcPr>
          <w:p w14:paraId="6E027A60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oct-20</w:t>
            </w:r>
          </w:p>
        </w:tc>
        <w:tc>
          <w:tcPr>
            <w:tcW w:w="1363" w:type="pct"/>
            <w:tcBorders>
              <w:top w:val="single" w:sz="4" w:space="0" w:color="4F81BD"/>
            </w:tcBorders>
            <w:vAlign w:val="center"/>
          </w:tcPr>
          <w:p w14:paraId="701D9CDF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4BB52DF1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26EBE2F8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Guardiamarina 110/23–13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426F135E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3A46DDBB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F90FE2" w:rsidRPr="005F712F" w14:paraId="27BC5A4F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00B05CAF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110/13,8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8E048CB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1F555576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F90FE2" w:rsidRPr="005F712F" w14:paraId="16B2FC14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7FE16100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Lastarria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4532C76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05DD5282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254D6100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6B7D3D3E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Guindo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3EA35348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1ABED065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5225F858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248EFA38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C21F92F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5E613473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5AD55D6A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15B51646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Enlace Imperial 66/23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F2427C9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0917383E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6E4CCE4D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466DA2DE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Río Aconcagua 220/110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70E060C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700AEDAC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58E649DF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139352B1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Valdivia – Picarte, Tendido del Primer Circuito</w:t>
            </w:r>
          </w:p>
        </w:tc>
        <w:tc>
          <w:tcPr>
            <w:tcW w:w="757" w:type="pct"/>
            <w:vAlign w:val="center"/>
          </w:tcPr>
          <w:p w14:paraId="15D80760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1B9FB4C2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F90FE2" w:rsidRPr="005F712F" w14:paraId="6F441E17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15ACD039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La Pólvora 220/110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1BCD6E0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648C23BE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F90FE2" w:rsidRPr="005F712F" w14:paraId="369B6CC1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2343520B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Seccionadora Nueva San Rafael 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8AF22DF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21D9ABAA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32F6CDD4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03A7F358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Los Varones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D2F3888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779890C5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63AE3A9E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41430606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Los Varones – El Avellano</w:t>
            </w:r>
          </w:p>
        </w:tc>
        <w:tc>
          <w:tcPr>
            <w:tcW w:w="757" w:type="pct"/>
            <w:vAlign w:val="center"/>
          </w:tcPr>
          <w:p w14:paraId="434ADD03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2A0D84D9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20BAF3AD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2E0BABAC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14:paraId="10C5AB05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A3EA7E0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39BDBD7E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3F22E946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Seccionadora Hualqui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395BE976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16183534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61475437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3F1B6E0E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Mataquito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A59DC6A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469935F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6072FD98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08769E5F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Construcción Bypass 2X110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San Rafael</w:t>
            </w:r>
          </w:p>
        </w:tc>
        <w:tc>
          <w:tcPr>
            <w:tcW w:w="757" w:type="pct"/>
            <w:vAlign w:val="center"/>
          </w:tcPr>
          <w:p w14:paraId="49A65490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D06FF0B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28D5BB05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36779DB1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Enlace Imperial</w:t>
            </w:r>
          </w:p>
        </w:tc>
        <w:tc>
          <w:tcPr>
            <w:tcW w:w="757" w:type="pct"/>
            <w:vAlign w:val="center"/>
          </w:tcPr>
          <w:p w14:paraId="25E9513D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2DE6502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90FE2" w:rsidRPr="005F712F" w14:paraId="345517ED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2A7478A0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Casablanca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1445962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4625D47A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F90FE2" w:rsidRPr="005F712F" w14:paraId="62731D0F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3F839D23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373030D7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4ECE7BE0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F90FE2" w:rsidRPr="005F712F" w14:paraId="561BAE7E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752EBCBC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Mataquito –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Hualqui</w:t>
            </w:r>
          </w:p>
        </w:tc>
        <w:tc>
          <w:tcPr>
            <w:tcW w:w="757" w:type="pct"/>
            <w:vAlign w:val="center"/>
          </w:tcPr>
          <w:p w14:paraId="1D0B74E8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5B909E74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22DC083D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7F01F641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9511DB1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07ECCF5E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7FF45397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6E34E3C0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Cauquenes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E12238C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18EABA28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4E9872DD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5B37B77F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38775DB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7EC1098D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27ADC025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497B5FE0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Parral</w:t>
            </w:r>
          </w:p>
        </w:tc>
        <w:tc>
          <w:tcPr>
            <w:tcW w:w="757" w:type="pct"/>
            <w:vAlign w:val="center"/>
          </w:tcPr>
          <w:p w14:paraId="1D19FB2E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08C5CF48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5880D656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4FB10DC1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Cauquenes</w:t>
            </w:r>
          </w:p>
        </w:tc>
        <w:tc>
          <w:tcPr>
            <w:tcW w:w="757" w:type="pct"/>
            <w:vAlign w:val="center"/>
          </w:tcPr>
          <w:p w14:paraId="5669756F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26CB18BD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28BF5A76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61AB8C9D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Tomé</w:t>
            </w:r>
          </w:p>
        </w:tc>
        <w:tc>
          <w:tcPr>
            <w:tcW w:w="757" w:type="pct"/>
            <w:vAlign w:val="center"/>
          </w:tcPr>
          <w:p w14:paraId="0D3E480B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295E7BC7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90FE2" w:rsidRPr="005F712F" w14:paraId="4BD0D122" w14:textId="77777777" w:rsidTr="00B31F1B">
        <w:trPr>
          <w:trHeight w:val="283"/>
          <w:jc w:val="center"/>
        </w:trPr>
        <w:tc>
          <w:tcPr>
            <w:tcW w:w="2879" w:type="pct"/>
            <w:vAlign w:val="center"/>
          </w:tcPr>
          <w:p w14:paraId="4FFE1A30" w14:textId="77777777" w:rsidR="00F90FE2" w:rsidRPr="005F712F" w:rsidRDefault="00F90FE2" w:rsidP="00B31F1B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23F7B8D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3873C171" w14:textId="77777777" w:rsidR="00F90FE2" w:rsidRPr="005F712F" w:rsidRDefault="00F90FE2" w:rsidP="00B31F1B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09CD0E0E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15D053F1" w14:textId="77777777" w:rsidR="002373CE" w:rsidRDefault="002373CE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AA0DC58" w14:textId="6D274008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lastRenderedPageBreak/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2831EAB8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40"/>
        <w:gridCol w:w="1408"/>
        <w:gridCol w:w="1128"/>
        <w:gridCol w:w="1702"/>
      </w:tblGrid>
      <w:tr w:rsidR="00F90FE2" w:rsidRPr="00B72BD5" w14:paraId="331DD41E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bottom w:val="single" w:sz="4" w:space="0" w:color="4F81BD"/>
            </w:tcBorders>
            <w:vAlign w:val="center"/>
          </w:tcPr>
          <w:p w14:paraId="620D6E6E" w14:textId="77777777" w:rsidR="00F90FE2" w:rsidRPr="00FD5478" w:rsidRDefault="00F90FE2" w:rsidP="00B31F1B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tcBorders>
              <w:bottom w:val="single" w:sz="4" w:space="0" w:color="4F81BD"/>
            </w:tcBorders>
            <w:vAlign w:val="center"/>
          </w:tcPr>
          <w:p w14:paraId="385259AA" w14:textId="77777777" w:rsidR="00F90FE2" w:rsidRPr="00FD5478" w:rsidRDefault="00F90FE2" w:rsidP="00B31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tcBorders>
              <w:bottom w:val="single" w:sz="4" w:space="0" w:color="4F81BD"/>
            </w:tcBorders>
            <w:vAlign w:val="center"/>
          </w:tcPr>
          <w:p w14:paraId="4A469138" w14:textId="77777777" w:rsidR="00F90FE2" w:rsidRPr="00C625DA" w:rsidRDefault="00F90FE2" w:rsidP="00B31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</w:p>
        </w:tc>
        <w:tc>
          <w:tcPr>
            <w:tcW w:w="917" w:type="pct"/>
            <w:tcBorders>
              <w:bottom w:val="single" w:sz="4" w:space="0" w:color="4F81BD"/>
            </w:tcBorders>
            <w:vAlign w:val="center"/>
          </w:tcPr>
          <w:p w14:paraId="103DEF9B" w14:textId="77777777" w:rsidR="00F90FE2" w:rsidRPr="00FD5478" w:rsidRDefault="00F90FE2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F90FE2" w:rsidRPr="00B72BD5" w14:paraId="122878F4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A5F4F54" w14:textId="77777777" w:rsidR="00F90FE2" w:rsidRPr="008E36DE" w:rsidRDefault="00F90FE2" w:rsidP="00B31F1B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Línea Ovalle –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1x110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9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573077B" w14:textId="77777777" w:rsidR="00F90FE2" w:rsidRPr="008E36DE" w:rsidRDefault="00F90FE2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8F2DBD7" w14:textId="77777777" w:rsidR="00F90FE2" w:rsidRPr="00EB258C" w:rsidRDefault="00F90FE2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8C">
              <w:rPr>
                <w:rFonts w:ascii="Calibri" w:hAnsi="Calibri" w:cs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917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E89EFF" w14:textId="77777777" w:rsidR="00F90FE2" w:rsidRPr="008E36DE" w:rsidRDefault="00F90FE2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F90FE2" w:rsidRPr="00EB258C" w14:paraId="39F0BBBC" w14:textId="77777777" w:rsidTr="00B31F1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5B4D3BA" w14:textId="77777777" w:rsidR="00F90FE2" w:rsidRPr="00EB258C" w:rsidRDefault="00F90FE2" w:rsidP="00B31F1B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52B4B0D" w14:textId="77777777" w:rsidR="00F90FE2" w:rsidRPr="00EB258C" w:rsidRDefault="00F90FE2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8EB32AD" w14:textId="77777777" w:rsidR="00F90FE2" w:rsidRPr="00EB258C" w:rsidRDefault="00F90FE2" w:rsidP="00B31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203E18E" w14:textId="77777777" w:rsidR="00F90FE2" w:rsidRPr="00EB258C" w:rsidRDefault="00F90FE2" w:rsidP="00B31F1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F90FE2" w:rsidRPr="00EB258C" w14:paraId="4ED4EA3B" w14:textId="77777777" w:rsidTr="00B3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35EE925" w14:textId="77777777" w:rsidR="00F90FE2" w:rsidRPr="00D22FC4" w:rsidRDefault="00F90FE2" w:rsidP="00B31F1B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en S/E Lagunillas para conexión de LT 2x220 </w:t>
            </w:r>
            <w:proofErr w:type="spellStart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MAPA - Lagunillas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B232614" w14:textId="77777777" w:rsidR="00F90FE2" w:rsidRPr="00D22FC4" w:rsidRDefault="00F90FE2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E78ADDA" w14:textId="77777777" w:rsidR="00F90FE2" w:rsidRPr="00D22FC4" w:rsidRDefault="00F90FE2" w:rsidP="00B31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23CD8" w14:textId="77777777" w:rsidR="00F90FE2" w:rsidRPr="00D22FC4" w:rsidRDefault="00F90FE2" w:rsidP="00B31F1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14F08A18" w14:textId="77777777" w:rsidR="00525A92" w:rsidRDefault="00525A92" w:rsidP="000F37A3">
      <w:pPr>
        <w:jc w:val="both"/>
        <w:rPr>
          <w:rFonts w:ascii="Verdana" w:eastAsia="Cambria" w:hAnsi="Verdana" w:cs="Arial"/>
          <w:sz w:val="18"/>
          <w:szCs w:val="18"/>
        </w:rPr>
      </w:pPr>
    </w:p>
    <w:p w14:paraId="3CF29C68" w14:textId="77777777" w:rsidR="005165F3" w:rsidRPr="000F37A3" w:rsidRDefault="005165F3" w:rsidP="000F37A3">
      <w:pPr>
        <w:jc w:val="both"/>
        <w:rPr>
          <w:rFonts w:ascii="Verdana" w:eastAsia="Cambria" w:hAnsi="Verdana" w:cs="Arial"/>
          <w:sz w:val="18"/>
          <w:szCs w:val="18"/>
        </w:rPr>
      </w:pPr>
    </w:p>
    <w:p w14:paraId="63A4B5C4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40DE07E7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20E211BF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743100B7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380"/>
        <w:gridCol w:w="1380"/>
        <w:gridCol w:w="1237"/>
        <w:gridCol w:w="1133"/>
        <w:gridCol w:w="852"/>
        <w:gridCol w:w="1700"/>
        <w:gridCol w:w="1700"/>
      </w:tblGrid>
      <w:tr w:rsidR="001347B3" w:rsidRPr="00B72BD5" w14:paraId="1DBEF703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bottom w:val="single" w:sz="4" w:space="0" w:color="4F81BD"/>
            </w:tcBorders>
            <w:vAlign w:val="center"/>
            <w:hideMark/>
          </w:tcPr>
          <w:p w14:paraId="1482671A" w14:textId="77777777" w:rsidR="001347B3" w:rsidRPr="00B72BD5" w:rsidRDefault="001347B3" w:rsidP="00B31F1B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bottom w:val="single" w:sz="4" w:space="0" w:color="4F81BD"/>
            </w:tcBorders>
            <w:vAlign w:val="center"/>
            <w:hideMark/>
          </w:tcPr>
          <w:p w14:paraId="69B9FAA1" w14:textId="77777777" w:rsidR="001347B3" w:rsidRPr="00B72BD5" w:rsidRDefault="001347B3" w:rsidP="00B31F1B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tcBorders>
              <w:bottom w:val="single" w:sz="4" w:space="0" w:color="4F81BD"/>
            </w:tcBorders>
            <w:vAlign w:val="center"/>
            <w:hideMark/>
          </w:tcPr>
          <w:p w14:paraId="1ED0D672" w14:textId="77777777" w:rsidR="001347B3" w:rsidRPr="00B72BD5" w:rsidRDefault="001347B3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bottom w:val="single" w:sz="4" w:space="0" w:color="4F81BD"/>
            </w:tcBorders>
            <w:vAlign w:val="center"/>
            <w:hideMark/>
          </w:tcPr>
          <w:p w14:paraId="4CBF92BA" w14:textId="77777777" w:rsidR="001347B3" w:rsidRPr="00B72BD5" w:rsidRDefault="001347B3" w:rsidP="00B31F1B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tcBorders>
              <w:bottom w:val="single" w:sz="4" w:space="0" w:color="4F81BD"/>
            </w:tcBorders>
            <w:vAlign w:val="center"/>
            <w:hideMark/>
          </w:tcPr>
          <w:p w14:paraId="6C6CD610" w14:textId="77777777" w:rsidR="001347B3" w:rsidRPr="00B72BD5" w:rsidRDefault="001347B3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4F81BD"/>
            </w:tcBorders>
            <w:vAlign w:val="center"/>
            <w:hideMark/>
          </w:tcPr>
          <w:p w14:paraId="265D249E" w14:textId="77777777" w:rsidR="001347B3" w:rsidRPr="00B72BD5" w:rsidRDefault="001347B3" w:rsidP="00B31F1B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tcBorders>
              <w:bottom w:val="single" w:sz="4" w:space="0" w:color="4F81BD"/>
            </w:tcBorders>
            <w:vAlign w:val="center"/>
            <w:hideMark/>
          </w:tcPr>
          <w:p w14:paraId="5E527E2A" w14:textId="77777777" w:rsidR="001347B3" w:rsidRPr="00B72BD5" w:rsidRDefault="001347B3" w:rsidP="00B31F1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1347B3" w:rsidRPr="00D45424" w14:paraId="1DDD7101" w14:textId="77777777" w:rsidTr="00B3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216FB31" w14:textId="77777777" w:rsidR="001347B3" w:rsidRPr="005A06E1" w:rsidRDefault="001347B3" w:rsidP="00B31F1B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6AF5D1F" w14:textId="77777777" w:rsidR="001347B3" w:rsidRPr="005A06E1" w:rsidRDefault="001347B3" w:rsidP="00B31F1B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 xml:space="preserve">Vientos Patagónicos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SpA</w:t>
            </w:r>
            <w:proofErr w:type="spellEnd"/>
          </w:p>
        </w:tc>
        <w:tc>
          <w:tcPr>
            <w:tcW w:w="659" w:type="pct"/>
            <w:tcBorders>
              <w:top w:val="single" w:sz="4" w:space="0" w:color="4F81BD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0942B55" w14:textId="77777777" w:rsidR="001347B3" w:rsidRPr="005A06E1" w:rsidRDefault="001347B3" w:rsidP="00B31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dic-19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F4F10C8" w14:textId="77777777" w:rsidR="001347B3" w:rsidRPr="005A06E1" w:rsidRDefault="001347B3" w:rsidP="00B31F1B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tcBorders>
              <w:top w:val="single" w:sz="4" w:space="0" w:color="4F81BD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7438546" w14:textId="77777777" w:rsidR="001347B3" w:rsidRPr="005A06E1" w:rsidRDefault="001347B3" w:rsidP="00B31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45CA63F" w14:textId="77777777" w:rsidR="001347B3" w:rsidRPr="00D45424" w:rsidRDefault="001347B3" w:rsidP="00B31F1B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tcBorders>
              <w:top w:val="single" w:sz="4" w:space="0" w:color="4F81BD"/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162943A" w14:textId="77777777" w:rsidR="001347B3" w:rsidRPr="00D45424" w:rsidRDefault="001347B3" w:rsidP="00B31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</w:t>
            </w:r>
          </w:p>
        </w:tc>
      </w:tr>
    </w:tbl>
    <w:p w14:paraId="46DA1494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  <w:bookmarkStart w:id="1" w:name="_GoBack"/>
      <w:bookmarkEnd w:id="1"/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A874" w14:textId="77777777" w:rsidR="00D05DD9" w:rsidRDefault="00D05DD9" w:rsidP="00C42E7A">
      <w:r>
        <w:separator/>
      </w:r>
    </w:p>
  </w:endnote>
  <w:endnote w:type="continuationSeparator" w:id="0">
    <w:p w14:paraId="028B6069" w14:textId="77777777" w:rsidR="00D05DD9" w:rsidRDefault="00D05DD9" w:rsidP="00C42E7A">
      <w:r>
        <w:continuationSeparator/>
      </w:r>
    </w:p>
  </w:endnote>
  <w:endnote w:type="continuationNotice" w:id="1">
    <w:p w14:paraId="33FEE464" w14:textId="77777777" w:rsidR="00D05DD9" w:rsidRDefault="00D05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5155" w14:textId="77777777" w:rsidR="006E39CB" w:rsidRDefault="006E39CB" w:rsidP="00116585">
    <w:pPr>
      <w:pStyle w:val="Piedepgina"/>
      <w:ind w:left="-567"/>
    </w:pPr>
    <w:r>
      <w:rPr>
        <w:noProof/>
      </w:rPr>
      <w:drawing>
        <wp:inline distT="0" distB="0" distL="0" distR="0" wp14:anchorId="6EC2F34E" wp14:editId="47FCE28F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0AEE" w14:textId="77777777" w:rsidR="00D05DD9" w:rsidRDefault="00D05DD9" w:rsidP="00C42E7A">
      <w:r>
        <w:separator/>
      </w:r>
    </w:p>
  </w:footnote>
  <w:footnote w:type="continuationSeparator" w:id="0">
    <w:p w14:paraId="305BEC6F" w14:textId="77777777" w:rsidR="00D05DD9" w:rsidRDefault="00D05DD9" w:rsidP="00C42E7A">
      <w:r>
        <w:continuationSeparator/>
      </w:r>
    </w:p>
  </w:footnote>
  <w:footnote w:type="continuationNotice" w:id="1">
    <w:p w14:paraId="3DEFDC8F" w14:textId="77777777" w:rsidR="00D05DD9" w:rsidRDefault="00D05DD9"/>
  </w:footnote>
  <w:footnote w:id="2">
    <w:p w14:paraId="61B7CD85" w14:textId="77777777" w:rsidR="00CC58A2" w:rsidRPr="002636A5" w:rsidRDefault="00CC58A2" w:rsidP="00CC58A2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2636A5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636A5">
        <w:rPr>
          <w:rFonts w:asciiTheme="minorHAnsi" w:hAnsiTheme="minorHAnsi" w:cstheme="minorHAnsi"/>
          <w:sz w:val="16"/>
          <w:szCs w:val="16"/>
        </w:rPr>
        <w:t xml:space="preserve"> Proyecto originalmente presentado con el nombre de Proyecto Berilo</w:t>
      </w:r>
      <w:r>
        <w:rPr>
          <w:rFonts w:asciiTheme="minorHAnsi" w:hAnsiTheme="minorHAnsi" w:cstheme="minorHAnsi"/>
          <w:sz w:val="16"/>
          <w:szCs w:val="16"/>
        </w:rPr>
        <w:t>. Con fecha</w:t>
      </w:r>
      <w:r w:rsidRPr="002636A5">
        <w:rPr>
          <w:rFonts w:asciiTheme="minorHAnsi" w:hAnsiTheme="minorHAnsi" w:cstheme="minorHAnsi"/>
          <w:sz w:val="16"/>
          <w:szCs w:val="16"/>
        </w:rPr>
        <w:t xml:space="preserve"> 27 de junio de 2019 </w:t>
      </w:r>
      <w:r>
        <w:rPr>
          <w:rFonts w:asciiTheme="minorHAnsi" w:hAnsiTheme="minorHAnsi" w:cstheme="minorHAnsi"/>
          <w:sz w:val="16"/>
          <w:szCs w:val="16"/>
        </w:rPr>
        <w:t xml:space="preserve">la empresa presentó una </w:t>
      </w:r>
      <w:r w:rsidRPr="002636A5">
        <w:rPr>
          <w:rFonts w:asciiTheme="minorHAnsi" w:hAnsiTheme="minorHAnsi" w:cstheme="minorHAnsi"/>
          <w:sz w:val="16"/>
          <w:szCs w:val="16"/>
        </w:rPr>
        <w:t>carta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2636A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comunicando </w:t>
      </w:r>
      <w:r w:rsidRPr="002636A5">
        <w:rPr>
          <w:rFonts w:asciiTheme="minorHAnsi" w:hAnsiTheme="minorHAnsi" w:cstheme="minorHAnsi"/>
          <w:sz w:val="16"/>
          <w:szCs w:val="16"/>
        </w:rPr>
        <w:t xml:space="preserve">que el Proyecto Berilo cambia de nombre a </w:t>
      </w:r>
      <w:proofErr w:type="spellStart"/>
      <w:r w:rsidRPr="002636A5">
        <w:rPr>
          <w:rFonts w:asciiTheme="minorHAnsi" w:hAnsiTheme="minorHAnsi" w:cstheme="minorHAnsi"/>
          <w:sz w:val="16"/>
          <w:szCs w:val="16"/>
        </w:rPr>
        <w:t>Konda</w:t>
      </w:r>
      <w:proofErr w:type="spellEnd"/>
      <w:r w:rsidRPr="002636A5">
        <w:rPr>
          <w:rFonts w:asciiTheme="minorHAnsi" w:hAnsiTheme="minorHAnsi" w:cstheme="minorHAnsi"/>
          <w:sz w:val="16"/>
          <w:szCs w:val="16"/>
        </w:rPr>
        <w:t xml:space="preserve"> (nombre oficial de la planta), manteniendo las características técnicas y compromisos adquiridos.</w:t>
      </w:r>
    </w:p>
  </w:footnote>
  <w:footnote w:id="3">
    <w:p w14:paraId="6354583B" w14:textId="77777777" w:rsidR="00CC58A2" w:rsidRPr="00A163DE" w:rsidRDefault="00CC58A2" w:rsidP="00CC58A2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Andes.</w:t>
      </w:r>
    </w:p>
  </w:footnote>
  <w:footnote w:id="4">
    <w:p w14:paraId="35C9C55F" w14:textId="77777777" w:rsidR="00CC58A2" w:rsidRDefault="00CC58A2" w:rsidP="00CC58A2">
      <w:pPr>
        <w:pStyle w:val="Textonotapie"/>
        <w:jc w:val="both"/>
      </w:pPr>
      <w:r w:rsidRPr="00424AAD">
        <w:rPr>
          <w:rStyle w:val="Refdenotaalpie"/>
          <w:rFonts w:asciiTheme="minorHAnsi" w:hAnsiTheme="minorHAnsi"/>
          <w:sz w:val="16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5">
    <w:p w14:paraId="774501FD" w14:textId="77777777" w:rsidR="00B4787D" w:rsidRPr="00A163DE" w:rsidRDefault="00B4787D" w:rsidP="00B4787D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La empresa actualmente responsable de la obra corresponde a Sociedad Austral de Transmisión Troncal S.A. </w:t>
      </w:r>
    </w:p>
  </w:footnote>
  <w:footnote w:id="6">
    <w:p w14:paraId="461A7185" w14:textId="77777777" w:rsidR="00DB5B12" w:rsidRPr="00BA08A9" w:rsidRDefault="00DB5B12" w:rsidP="00DB5B12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-5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</w:t>
      </w:r>
      <w:proofErr w:type="spellStart"/>
      <w:r>
        <w:rPr>
          <w:rFonts w:asciiTheme="minorHAnsi" w:hAnsiTheme="minorHAnsi" w:cstheme="minorHAnsi"/>
          <w:sz w:val="16"/>
          <w:szCs w:val="16"/>
        </w:rPr>
        <w:t>Parinacota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7">
    <w:p w14:paraId="7F81D2D4" w14:textId="77777777" w:rsidR="00DB5B12" w:rsidRPr="00BA08A9" w:rsidRDefault="00DB5B12" w:rsidP="00DB5B12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1235" w14:textId="77777777" w:rsidR="006E39CB" w:rsidRDefault="006E39CB" w:rsidP="00116585">
    <w:pPr>
      <w:pStyle w:val="Encabezado"/>
    </w:pPr>
  </w:p>
  <w:p w14:paraId="226E3686" w14:textId="5270E1C4" w:rsidR="006E39CB" w:rsidRDefault="006E39CB" w:rsidP="00116585">
    <w:pPr>
      <w:pStyle w:val="Encabezado"/>
      <w:ind w:left="-567"/>
    </w:pPr>
    <w:r>
      <w:rPr>
        <w:noProof/>
      </w:rPr>
      <w:drawing>
        <wp:inline distT="0" distB="0" distL="0" distR="0" wp14:anchorId="52991B1D" wp14:editId="56B20DE3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A"/>
    <w:rsid w:val="000006CA"/>
    <w:rsid w:val="000034CE"/>
    <w:rsid w:val="00006958"/>
    <w:rsid w:val="00007CB4"/>
    <w:rsid w:val="00011CE4"/>
    <w:rsid w:val="000131B4"/>
    <w:rsid w:val="00013217"/>
    <w:rsid w:val="00014EBB"/>
    <w:rsid w:val="00017B02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338"/>
    <w:rsid w:val="0004785A"/>
    <w:rsid w:val="00050A56"/>
    <w:rsid w:val="00052818"/>
    <w:rsid w:val="00053076"/>
    <w:rsid w:val="000532BE"/>
    <w:rsid w:val="00055472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6DE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23"/>
    <w:rsid w:val="000A2962"/>
    <w:rsid w:val="000A54DB"/>
    <w:rsid w:val="000B2082"/>
    <w:rsid w:val="000B3A20"/>
    <w:rsid w:val="000B3AEB"/>
    <w:rsid w:val="000B5BEC"/>
    <w:rsid w:val="000B6E35"/>
    <w:rsid w:val="000B7459"/>
    <w:rsid w:val="000C0429"/>
    <w:rsid w:val="000C08CB"/>
    <w:rsid w:val="000C1414"/>
    <w:rsid w:val="000C189E"/>
    <w:rsid w:val="000C1EA7"/>
    <w:rsid w:val="000C30E9"/>
    <w:rsid w:val="000C60D6"/>
    <w:rsid w:val="000C6D2B"/>
    <w:rsid w:val="000D17A0"/>
    <w:rsid w:val="000D2262"/>
    <w:rsid w:val="000D25A5"/>
    <w:rsid w:val="000D25B6"/>
    <w:rsid w:val="000D33BD"/>
    <w:rsid w:val="000D33C2"/>
    <w:rsid w:val="000D390A"/>
    <w:rsid w:val="000D5382"/>
    <w:rsid w:val="000D57D9"/>
    <w:rsid w:val="000D5FBF"/>
    <w:rsid w:val="000E00BB"/>
    <w:rsid w:val="000E0AD8"/>
    <w:rsid w:val="000E11B9"/>
    <w:rsid w:val="000E27B9"/>
    <w:rsid w:val="000E4A5F"/>
    <w:rsid w:val="000E52E5"/>
    <w:rsid w:val="000E538F"/>
    <w:rsid w:val="000E68CA"/>
    <w:rsid w:val="000E6AD3"/>
    <w:rsid w:val="000E6FC3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48B"/>
    <w:rsid w:val="00131041"/>
    <w:rsid w:val="001312C4"/>
    <w:rsid w:val="00132732"/>
    <w:rsid w:val="001347B3"/>
    <w:rsid w:val="00134F0A"/>
    <w:rsid w:val="00135A84"/>
    <w:rsid w:val="00137303"/>
    <w:rsid w:val="0013762F"/>
    <w:rsid w:val="00140039"/>
    <w:rsid w:val="00140431"/>
    <w:rsid w:val="00140B8F"/>
    <w:rsid w:val="00140EE2"/>
    <w:rsid w:val="00140EED"/>
    <w:rsid w:val="00141E53"/>
    <w:rsid w:val="00144D07"/>
    <w:rsid w:val="00146583"/>
    <w:rsid w:val="00147512"/>
    <w:rsid w:val="00150307"/>
    <w:rsid w:val="001509DF"/>
    <w:rsid w:val="001518CE"/>
    <w:rsid w:val="001563AF"/>
    <w:rsid w:val="00157827"/>
    <w:rsid w:val="00161132"/>
    <w:rsid w:val="0016561D"/>
    <w:rsid w:val="001669DE"/>
    <w:rsid w:val="00166E48"/>
    <w:rsid w:val="001733A2"/>
    <w:rsid w:val="00174077"/>
    <w:rsid w:val="0017478D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6168"/>
    <w:rsid w:val="001F76C5"/>
    <w:rsid w:val="0020113B"/>
    <w:rsid w:val="0020452E"/>
    <w:rsid w:val="002045F9"/>
    <w:rsid w:val="002050C2"/>
    <w:rsid w:val="00206311"/>
    <w:rsid w:val="00206B75"/>
    <w:rsid w:val="002079BA"/>
    <w:rsid w:val="00207BD4"/>
    <w:rsid w:val="002100EA"/>
    <w:rsid w:val="00210533"/>
    <w:rsid w:val="0021175C"/>
    <w:rsid w:val="00212B30"/>
    <w:rsid w:val="00212DE7"/>
    <w:rsid w:val="002137EF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26F1"/>
    <w:rsid w:val="00232B62"/>
    <w:rsid w:val="00235206"/>
    <w:rsid w:val="00236BDE"/>
    <w:rsid w:val="0023717B"/>
    <w:rsid w:val="002373CE"/>
    <w:rsid w:val="002401B5"/>
    <w:rsid w:val="00242311"/>
    <w:rsid w:val="0024249C"/>
    <w:rsid w:val="00244A5B"/>
    <w:rsid w:val="00245C3F"/>
    <w:rsid w:val="0024758D"/>
    <w:rsid w:val="00251D09"/>
    <w:rsid w:val="00252532"/>
    <w:rsid w:val="0025521B"/>
    <w:rsid w:val="00256F34"/>
    <w:rsid w:val="00257B84"/>
    <w:rsid w:val="00257F90"/>
    <w:rsid w:val="00262DCD"/>
    <w:rsid w:val="002635A3"/>
    <w:rsid w:val="00265541"/>
    <w:rsid w:val="00267685"/>
    <w:rsid w:val="00267734"/>
    <w:rsid w:val="00267D4E"/>
    <w:rsid w:val="002712C2"/>
    <w:rsid w:val="00274389"/>
    <w:rsid w:val="0027679F"/>
    <w:rsid w:val="0028035C"/>
    <w:rsid w:val="00280CB2"/>
    <w:rsid w:val="00282D7F"/>
    <w:rsid w:val="002831B5"/>
    <w:rsid w:val="00284AC0"/>
    <w:rsid w:val="002854B9"/>
    <w:rsid w:val="00287C7D"/>
    <w:rsid w:val="00287F26"/>
    <w:rsid w:val="00290858"/>
    <w:rsid w:val="00290AC6"/>
    <w:rsid w:val="00290B0E"/>
    <w:rsid w:val="00297D7E"/>
    <w:rsid w:val="002A02F8"/>
    <w:rsid w:val="002A0656"/>
    <w:rsid w:val="002A0C35"/>
    <w:rsid w:val="002A2D88"/>
    <w:rsid w:val="002A46E0"/>
    <w:rsid w:val="002A54BC"/>
    <w:rsid w:val="002B0532"/>
    <w:rsid w:val="002B36FA"/>
    <w:rsid w:val="002B516F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7580"/>
    <w:rsid w:val="002F7C93"/>
    <w:rsid w:val="0030155B"/>
    <w:rsid w:val="00302A9E"/>
    <w:rsid w:val="00305336"/>
    <w:rsid w:val="00305D7A"/>
    <w:rsid w:val="00307506"/>
    <w:rsid w:val="003112EE"/>
    <w:rsid w:val="00312F8C"/>
    <w:rsid w:val="003131C5"/>
    <w:rsid w:val="00313BA1"/>
    <w:rsid w:val="00317C59"/>
    <w:rsid w:val="00320087"/>
    <w:rsid w:val="00321537"/>
    <w:rsid w:val="0032189A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758"/>
    <w:rsid w:val="00340653"/>
    <w:rsid w:val="003441AC"/>
    <w:rsid w:val="00345938"/>
    <w:rsid w:val="00346064"/>
    <w:rsid w:val="00350774"/>
    <w:rsid w:val="00353AFF"/>
    <w:rsid w:val="003555EC"/>
    <w:rsid w:val="003563DE"/>
    <w:rsid w:val="003612E6"/>
    <w:rsid w:val="0036207E"/>
    <w:rsid w:val="0036228B"/>
    <w:rsid w:val="003623D1"/>
    <w:rsid w:val="003634EB"/>
    <w:rsid w:val="0036488B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82D24"/>
    <w:rsid w:val="0038369F"/>
    <w:rsid w:val="00383A2C"/>
    <w:rsid w:val="00383A98"/>
    <w:rsid w:val="00384D36"/>
    <w:rsid w:val="00385398"/>
    <w:rsid w:val="00385499"/>
    <w:rsid w:val="00387805"/>
    <w:rsid w:val="00390D24"/>
    <w:rsid w:val="00390EA9"/>
    <w:rsid w:val="0039496E"/>
    <w:rsid w:val="00394F60"/>
    <w:rsid w:val="00395791"/>
    <w:rsid w:val="00395E31"/>
    <w:rsid w:val="003A03DF"/>
    <w:rsid w:val="003A2B21"/>
    <w:rsid w:val="003A4A2A"/>
    <w:rsid w:val="003A5F3E"/>
    <w:rsid w:val="003A6149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23BD"/>
    <w:rsid w:val="003C29B4"/>
    <w:rsid w:val="003C31A3"/>
    <w:rsid w:val="003C70B8"/>
    <w:rsid w:val="003C7B11"/>
    <w:rsid w:val="003D203A"/>
    <w:rsid w:val="003D2ADA"/>
    <w:rsid w:val="003D352F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5985"/>
    <w:rsid w:val="003E74C7"/>
    <w:rsid w:val="003E7AFB"/>
    <w:rsid w:val="003E7C43"/>
    <w:rsid w:val="003F23F7"/>
    <w:rsid w:val="003F2D15"/>
    <w:rsid w:val="004003B4"/>
    <w:rsid w:val="0040071A"/>
    <w:rsid w:val="0040077F"/>
    <w:rsid w:val="00400867"/>
    <w:rsid w:val="00401944"/>
    <w:rsid w:val="00401C12"/>
    <w:rsid w:val="00402490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71D6"/>
    <w:rsid w:val="0042324C"/>
    <w:rsid w:val="00424069"/>
    <w:rsid w:val="00427365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5387"/>
    <w:rsid w:val="00446C15"/>
    <w:rsid w:val="00446FF2"/>
    <w:rsid w:val="004471F3"/>
    <w:rsid w:val="0044798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2A0D"/>
    <w:rsid w:val="00474A0C"/>
    <w:rsid w:val="00476191"/>
    <w:rsid w:val="00477C9D"/>
    <w:rsid w:val="00481C3B"/>
    <w:rsid w:val="0048370A"/>
    <w:rsid w:val="00484E43"/>
    <w:rsid w:val="004901F7"/>
    <w:rsid w:val="00490A1B"/>
    <w:rsid w:val="00490FAF"/>
    <w:rsid w:val="00492A53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B0DBD"/>
    <w:rsid w:val="004B3829"/>
    <w:rsid w:val="004B4725"/>
    <w:rsid w:val="004B5A3F"/>
    <w:rsid w:val="004B76F6"/>
    <w:rsid w:val="004B790B"/>
    <w:rsid w:val="004C0B8B"/>
    <w:rsid w:val="004C1E8D"/>
    <w:rsid w:val="004C5A00"/>
    <w:rsid w:val="004C6016"/>
    <w:rsid w:val="004C64C7"/>
    <w:rsid w:val="004C683E"/>
    <w:rsid w:val="004D2DEA"/>
    <w:rsid w:val="004D31A1"/>
    <w:rsid w:val="004D3957"/>
    <w:rsid w:val="004D58B9"/>
    <w:rsid w:val="004D6E6F"/>
    <w:rsid w:val="004E0381"/>
    <w:rsid w:val="004E135D"/>
    <w:rsid w:val="004E2E62"/>
    <w:rsid w:val="004E34C1"/>
    <w:rsid w:val="004E42AA"/>
    <w:rsid w:val="004E4924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4073"/>
    <w:rsid w:val="005165F3"/>
    <w:rsid w:val="0052068B"/>
    <w:rsid w:val="00520891"/>
    <w:rsid w:val="00523508"/>
    <w:rsid w:val="00523C83"/>
    <w:rsid w:val="00524AEF"/>
    <w:rsid w:val="0052525D"/>
    <w:rsid w:val="00525A92"/>
    <w:rsid w:val="005303F1"/>
    <w:rsid w:val="00530577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7B20"/>
    <w:rsid w:val="00552C8E"/>
    <w:rsid w:val="00552D88"/>
    <w:rsid w:val="00553BEB"/>
    <w:rsid w:val="0055531C"/>
    <w:rsid w:val="00556B0A"/>
    <w:rsid w:val="005572B9"/>
    <w:rsid w:val="0055735C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4694"/>
    <w:rsid w:val="005758FA"/>
    <w:rsid w:val="00577C41"/>
    <w:rsid w:val="00582118"/>
    <w:rsid w:val="005834B7"/>
    <w:rsid w:val="0058522D"/>
    <w:rsid w:val="0058588F"/>
    <w:rsid w:val="00586278"/>
    <w:rsid w:val="00587A34"/>
    <w:rsid w:val="00587B1E"/>
    <w:rsid w:val="00595F95"/>
    <w:rsid w:val="005A06E1"/>
    <w:rsid w:val="005A466A"/>
    <w:rsid w:val="005A48D6"/>
    <w:rsid w:val="005A56FD"/>
    <w:rsid w:val="005A5796"/>
    <w:rsid w:val="005A6DD8"/>
    <w:rsid w:val="005B3B2B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25CF"/>
    <w:rsid w:val="005D2CC3"/>
    <w:rsid w:val="005D2E26"/>
    <w:rsid w:val="005D34E6"/>
    <w:rsid w:val="005D64F7"/>
    <w:rsid w:val="005E1B9E"/>
    <w:rsid w:val="005E42DA"/>
    <w:rsid w:val="005E5A0F"/>
    <w:rsid w:val="005F089D"/>
    <w:rsid w:val="005F2A4A"/>
    <w:rsid w:val="005F3001"/>
    <w:rsid w:val="005F36A6"/>
    <w:rsid w:val="005F3E09"/>
    <w:rsid w:val="005F41B3"/>
    <w:rsid w:val="005F4597"/>
    <w:rsid w:val="005F4C18"/>
    <w:rsid w:val="005F5AD5"/>
    <w:rsid w:val="005F5F5B"/>
    <w:rsid w:val="005F712F"/>
    <w:rsid w:val="006002C8"/>
    <w:rsid w:val="00600E5B"/>
    <w:rsid w:val="00601AE7"/>
    <w:rsid w:val="00602334"/>
    <w:rsid w:val="00603059"/>
    <w:rsid w:val="00603185"/>
    <w:rsid w:val="006032DF"/>
    <w:rsid w:val="0060539D"/>
    <w:rsid w:val="00605549"/>
    <w:rsid w:val="00606A78"/>
    <w:rsid w:val="00607B34"/>
    <w:rsid w:val="0061042D"/>
    <w:rsid w:val="006113EB"/>
    <w:rsid w:val="006121A1"/>
    <w:rsid w:val="00613DC1"/>
    <w:rsid w:val="00613E09"/>
    <w:rsid w:val="006143D7"/>
    <w:rsid w:val="00614D8B"/>
    <w:rsid w:val="00617A3A"/>
    <w:rsid w:val="00620820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5822"/>
    <w:rsid w:val="006768FA"/>
    <w:rsid w:val="006802E5"/>
    <w:rsid w:val="00680DBF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507D"/>
    <w:rsid w:val="007055B6"/>
    <w:rsid w:val="007059D9"/>
    <w:rsid w:val="00707643"/>
    <w:rsid w:val="0071100F"/>
    <w:rsid w:val="00711A4A"/>
    <w:rsid w:val="007124B8"/>
    <w:rsid w:val="00714AA9"/>
    <w:rsid w:val="00714C64"/>
    <w:rsid w:val="00714CDC"/>
    <w:rsid w:val="00715F73"/>
    <w:rsid w:val="00716D11"/>
    <w:rsid w:val="00720522"/>
    <w:rsid w:val="007214A6"/>
    <w:rsid w:val="007318CC"/>
    <w:rsid w:val="0073353F"/>
    <w:rsid w:val="00734417"/>
    <w:rsid w:val="00735314"/>
    <w:rsid w:val="00735787"/>
    <w:rsid w:val="007365C4"/>
    <w:rsid w:val="00736614"/>
    <w:rsid w:val="00737009"/>
    <w:rsid w:val="00737B98"/>
    <w:rsid w:val="00737D61"/>
    <w:rsid w:val="00743160"/>
    <w:rsid w:val="00743A48"/>
    <w:rsid w:val="00744BC2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4D"/>
    <w:rsid w:val="0076673A"/>
    <w:rsid w:val="0076729B"/>
    <w:rsid w:val="00771DCD"/>
    <w:rsid w:val="00772BF6"/>
    <w:rsid w:val="00774FB8"/>
    <w:rsid w:val="0077679D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A00A5"/>
    <w:rsid w:val="007A1C31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5714"/>
    <w:rsid w:val="007C582C"/>
    <w:rsid w:val="007C61D2"/>
    <w:rsid w:val="007D1781"/>
    <w:rsid w:val="007D181A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2BBC"/>
    <w:rsid w:val="008C3010"/>
    <w:rsid w:val="008C4E60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600F"/>
    <w:rsid w:val="00937455"/>
    <w:rsid w:val="00937A01"/>
    <w:rsid w:val="009405E0"/>
    <w:rsid w:val="009423FF"/>
    <w:rsid w:val="0094243F"/>
    <w:rsid w:val="009429E1"/>
    <w:rsid w:val="00942C7D"/>
    <w:rsid w:val="0094372C"/>
    <w:rsid w:val="00944704"/>
    <w:rsid w:val="009453A0"/>
    <w:rsid w:val="00945E58"/>
    <w:rsid w:val="00946802"/>
    <w:rsid w:val="0095018F"/>
    <w:rsid w:val="0095179F"/>
    <w:rsid w:val="009527F0"/>
    <w:rsid w:val="00952B89"/>
    <w:rsid w:val="00952C37"/>
    <w:rsid w:val="0095402D"/>
    <w:rsid w:val="009545EA"/>
    <w:rsid w:val="00960136"/>
    <w:rsid w:val="00960F42"/>
    <w:rsid w:val="00961D86"/>
    <w:rsid w:val="0096430E"/>
    <w:rsid w:val="00965918"/>
    <w:rsid w:val="00966871"/>
    <w:rsid w:val="00967119"/>
    <w:rsid w:val="00967EBA"/>
    <w:rsid w:val="0097042A"/>
    <w:rsid w:val="00970511"/>
    <w:rsid w:val="00970D64"/>
    <w:rsid w:val="0097179F"/>
    <w:rsid w:val="00971F87"/>
    <w:rsid w:val="0097267B"/>
    <w:rsid w:val="0097330C"/>
    <w:rsid w:val="00973BA2"/>
    <w:rsid w:val="0098009F"/>
    <w:rsid w:val="00980896"/>
    <w:rsid w:val="00981358"/>
    <w:rsid w:val="00981EED"/>
    <w:rsid w:val="0098250F"/>
    <w:rsid w:val="00982D41"/>
    <w:rsid w:val="009861C7"/>
    <w:rsid w:val="0099117B"/>
    <w:rsid w:val="00992F1D"/>
    <w:rsid w:val="0099435C"/>
    <w:rsid w:val="009977A9"/>
    <w:rsid w:val="009A16B4"/>
    <w:rsid w:val="009A1CA1"/>
    <w:rsid w:val="009A2B44"/>
    <w:rsid w:val="009A2C3E"/>
    <w:rsid w:val="009A4FF7"/>
    <w:rsid w:val="009A51D7"/>
    <w:rsid w:val="009A5D92"/>
    <w:rsid w:val="009A613D"/>
    <w:rsid w:val="009A69F4"/>
    <w:rsid w:val="009B2F1F"/>
    <w:rsid w:val="009B5DFE"/>
    <w:rsid w:val="009C3CA5"/>
    <w:rsid w:val="009C5DFA"/>
    <w:rsid w:val="009C76F6"/>
    <w:rsid w:val="009C7E63"/>
    <w:rsid w:val="009D0C39"/>
    <w:rsid w:val="009D17A3"/>
    <w:rsid w:val="009D1D12"/>
    <w:rsid w:val="009D2BFC"/>
    <w:rsid w:val="009D3261"/>
    <w:rsid w:val="009D5648"/>
    <w:rsid w:val="009D6B03"/>
    <w:rsid w:val="009D7A52"/>
    <w:rsid w:val="009E0ADA"/>
    <w:rsid w:val="009E17D1"/>
    <w:rsid w:val="009E6110"/>
    <w:rsid w:val="009E7041"/>
    <w:rsid w:val="009F0142"/>
    <w:rsid w:val="009F02A4"/>
    <w:rsid w:val="009F2A00"/>
    <w:rsid w:val="009F3963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FFD"/>
    <w:rsid w:val="00A112DD"/>
    <w:rsid w:val="00A1426B"/>
    <w:rsid w:val="00A14795"/>
    <w:rsid w:val="00A1632F"/>
    <w:rsid w:val="00A16B40"/>
    <w:rsid w:val="00A16EBB"/>
    <w:rsid w:val="00A17D9D"/>
    <w:rsid w:val="00A23EAC"/>
    <w:rsid w:val="00A24636"/>
    <w:rsid w:val="00A32156"/>
    <w:rsid w:val="00A332E8"/>
    <w:rsid w:val="00A35061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93F"/>
    <w:rsid w:val="00A57C4E"/>
    <w:rsid w:val="00A61343"/>
    <w:rsid w:val="00A62BF2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B0058"/>
    <w:rsid w:val="00AB0956"/>
    <w:rsid w:val="00AB0EEB"/>
    <w:rsid w:val="00AB12FB"/>
    <w:rsid w:val="00AB13B8"/>
    <w:rsid w:val="00AB2913"/>
    <w:rsid w:val="00AB5CCA"/>
    <w:rsid w:val="00AB76F1"/>
    <w:rsid w:val="00AC0A4C"/>
    <w:rsid w:val="00AC141B"/>
    <w:rsid w:val="00AC15E2"/>
    <w:rsid w:val="00AC160D"/>
    <w:rsid w:val="00AC2027"/>
    <w:rsid w:val="00AC4B8C"/>
    <w:rsid w:val="00AC73AF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3D19"/>
    <w:rsid w:val="00AF415A"/>
    <w:rsid w:val="00AF5BAF"/>
    <w:rsid w:val="00AF6F0A"/>
    <w:rsid w:val="00B00F06"/>
    <w:rsid w:val="00B0169D"/>
    <w:rsid w:val="00B01C3B"/>
    <w:rsid w:val="00B02694"/>
    <w:rsid w:val="00B03A02"/>
    <w:rsid w:val="00B03A81"/>
    <w:rsid w:val="00B05356"/>
    <w:rsid w:val="00B0651D"/>
    <w:rsid w:val="00B07759"/>
    <w:rsid w:val="00B13AAE"/>
    <w:rsid w:val="00B148E1"/>
    <w:rsid w:val="00B17535"/>
    <w:rsid w:val="00B179F9"/>
    <w:rsid w:val="00B21F1D"/>
    <w:rsid w:val="00B23956"/>
    <w:rsid w:val="00B25E18"/>
    <w:rsid w:val="00B27635"/>
    <w:rsid w:val="00B32055"/>
    <w:rsid w:val="00B32C12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4787D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55BF"/>
    <w:rsid w:val="00B677FC"/>
    <w:rsid w:val="00B678D0"/>
    <w:rsid w:val="00B7082E"/>
    <w:rsid w:val="00B70BF0"/>
    <w:rsid w:val="00B71A2D"/>
    <w:rsid w:val="00B72BD5"/>
    <w:rsid w:val="00B73B51"/>
    <w:rsid w:val="00B803E8"/>
    <w:rsid w:val="00B80646"/>
    <w:rsid w:val="00B828A9"/>
    <w:rsid w:val="00B83F5B"/>
    <w:rsid w:val="00B85332"/>
    <w:rsid w:val="00B85477"/>
    <w:rsid w:val="00B904A3"/>
    <w:rsid w:val="00B909A5"/>
    <w:rsid w:val="00B91C78"/>
    <w:rsid w:val="00B93429"/>
    <w:rsid w:val="00B949CC"/>
    <w:rsid w:val="00B9544E"/>
    <w:rsid w:val="00B956AB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602"/>
    <w:rsid w:val="00BB1CDB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9B"/>
    <w:rsid w:val="00BD6414"/>
    <w:rsid w:val="00BD68D4"/>
    <w:rsid w:val="00BD73FE"/>
    <w:rsid w:val="00BD7514"/>
    <w:rsid w:val="00BE0262"/>
    <w:rsid w:val="00BE050F"/>
    <w:rsid w:val="00BE0AF1"/>
    <w:rsid w:val="00BE0E58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56FB"/>
    <w:rsid w:val="00C06B28"/>
    <w:rsid w:val="00C07ADF"/>
    <w:rsid w:val="00C110BC"/>
    <w:rsid w:val="00C13EC8"/>
    <w:rsid w:val="00C1473F"/>
    <w:rsid w:val="00C153D6"/>
    <w:rsid w:val="00C179CB"/>
    <w:rsid w:val="00C2206B"/>
    <w:rsid w:val="00C235B5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E7A"/>
    <w:rsid w:val="00C4397E"/>
    <w:rsid w:val="00C44622"/>
    <w:rsid w:val="00C456E3"/>
    <w:rsid w:val="00C46984"/>
    <w:rsid w:val="00C5353E"/>
    <w:rsid w:val="00C536E9"/>
    <w:rsid w:val="00C549E2"/>
    <w:rsid w:val="00C55621"/>
    <w:rsid w:val="00C60FF1"/>
    <w:rsid w:val="00C625DA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B3C"/>
    <w:rsid w:val="00C805FD"/>
    <w:rsid w:val="00C80986"/>
    <w:rsid w:val="00C80E70"/>
    <w:rsid w:val="00C80EF0"/>
    <w:rsid w:val="00C814D8"/>
    <w:rsid w:val="00C81B7D"/>
    <w:rsid w:val="00C82A22"/>
    <w:rsid w:val="00C86E88"/>
    <w:rsid w:val="00C93003"/>
    <w:rsid w:val="00C93A31"/>
    <w:rsid w:val="00C95742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58A2"/>
    <w:rsid w:val="00CC7D61"/>
    <w:rsid w:val="00CD1691"/>
    <w:rsid w:val="00CD1750"/>
    <w:rsid w:val="00CD2757"/>
    <w:rsid w:val="00CD36E9"/>
    <w:rsid w:val="00CD7431"/>
    <w:rsid w:val="00CE1427"/>
    <w:rsid w:val="00CE3635"/>
    <w:rsid w:val="00CE3A05"/>
    <w:rsid w:val="00CE40D1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5DD9"/>
    <w:rsid w:val="00D063E2"/>
    <w:rsid w:val="00D070B6"/>
    <w:rsid w:val="00D07A1C"/>
    <w:rsid w:val="00D10CC1"/>
    <w:rsid w:val="00D113F3"/>
    <w:rsid w:val="00D12FFF"/>
    <w:rsid w:val="00D13305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691B"/>
    <w:rsid w:val="00D4691C"/>
    <w:rsid w:val="00D46AAB"/>
    <w:rsid w:val="00D4725A"/>
    <w:rsid w:val="00D508D1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5AC"/>
    <w:rsid w:val="00D634E1"/>
    <w:rsid w:val="00D63FC5"/>
    <w:rsid w:val="00D6427B"/>
    <w:rsid w:val="00D65738"/>
    <w:rsid w:val="00D67439"/>
    <w:rsid w:val="00D67524"/>
    <w:rsid w:val="00D70846"/>
    <w:rsid w:val="00D71231"/>
    <w:rsid w:val="00D73E6D"/>
    <w:rsid w:val="00D7409E"/>
    <w:rsid w:val="00D74C69"/>
    <w:rsid w:val="00D758F6"/>
    <w:rsid w:val="00D8130D"/>
    <w:rsid w:val="00D8333F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A0B41"/>
    <w:rsid w:val="00DA0C80"/>
    <w:rsid w:val="00DA2071"/>
    <w:rsid w:val="00DA2F66"/>
    <w:rsid w:val="00DA3034"/>
    <w:rsid w:val="00DA491C"/>
    <w:rsid w:val="00DA757F"/>
    <w:rsid w:val="00DA75D3"/>
    <w:rsid w:val="00DB01DF"/>
    <w:rsid w:val="00DB03A5"/>
    <w:rsid w:val="00DB08D7"/>
    <w:rsid w:val="00DB273D"/>
    <w:rsid w:val="00DB3925"/>
    <w:rsid w:val="00DB4F2F"/>
    <w:rsid w:val="00DB5B12"/>
    <w:rsid w:val="00DC55EB"/>
    <w:rsid w:val="00DC5B34"/>
    <w:rsid w:val="00DD0F93"/>
    <w:rsid w:val="00DD1C54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11ABA"/>
    <w:rsid w:val="00E11D82"/>
    <w:rsid w:val="00E13D4B"/>
    <w:rsid w:val="00E14548"/>
    <w:rsid w:val="00E168B2"/>
    <w:rsid w:val="00E204C1"/>
    <w:rsid w:val="00E20627"/>
    <w:rsid w:val="00E21405"/>
    <w:rsid w:val="00E2323E"/>
    <w:rsid w:val="00E31A4E"/>
    <w:rsid w:val="00E36512"/>
    <w:rsid w:val="00E366B8"/>
    <w:rsid w:val="00E41E58"/>
    <w:rsid w:val="00E424EF"/>
    <w:rsid w:val="00E42632"/>
    <w:rsid w:val="00E43ABF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2110"/>
    <w:rsid w:val="00E82246"/>
    <w:rsid w:val="00E82FD4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28A3"/>
    <w:rsid w:val="00EC4499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F015D0"/>
    <w:rsid w:val="00F02072"/>
    <w:rsid w:val="00F03DE8"/>
    <w:rsid w:val="00F046F8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64D9"/>
    <w:rsid w:val="00F36ECA"/>
    <w:rsid w:val="00F3703E"/>
    <w:rsid w:val="00F378EC"/>
    <w:rsid w:val="00F424AA"/>
    <w:rsid w:val="00F4326B"/>
    <w:rsid w:val="00F45028"/>
    <w:rsid w:val="00F462D7"/>
    <w:rsid w:val="00F47DE8"/>
    <w:rsid w:val="00F510C8"/>
    <w:rsid w:val="00F54D83"/>
    <w:rsid w:val="00F55B96"/>
    <w:rsid w:val="00F57401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9E7"/>
    <w:rsid w:val="00F86CAA"/>
    <w:rsid w:val="00F90E0A"/>
    <w:rsid w:val="00F90FE2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6095"/>
    <w:rsid w:val="00FA7DEB"/>
    <w:rsid w:val="00FB52BF"/>
    <w:rsid w:val="00FB5B3D"/>
    <w:rsid w:val="00FB7850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1BFD"/>
    <w:rsid w:val="00FE1F02"/>
    <w:rsid w:val="00FE26B2"/>
    <w:rsid w:val="00FE2759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B6F1EA-18D5-4AC9-ADB5-1280CBE4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53E9-B8A5-4B86-96F1-1451ACFCE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11A92-F27E-4203-8EDC-56CA678C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4980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 Molina</cp:lastModifiedBy>
  <cp:revision>17</cp:revision>
  <cp:lastPrinted>2019-06-21T14:27:00Z</cp:lastPrinted>
  <dcterms:created xsi:type="dcterms:W3CDTF">2019-06-21T14:30:00Z</dcterms:created>
  <dcterms:modified xsi:type="dcterms:W3CDTF">2019-08-20T22:32:00Z</dcterms:modified>
</cp:coreProperties>
</file>